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43180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5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66040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19" w:lineRule="exact"/>
        <w:rPr>
          <w:sz w:val="24"/>
          <w:szCs w:val="24"/>
          <w:color w:val="auto"/>
        </w:rPr>
      </w:pPr>
    </w:p>
    <w:p>
      <w:pPr>
        <w:ind w:left="520" w:hanging="512"/>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54" w:lineRule="exact"/>
        <w:rPr>
          <w:rFonts w:ascii="MS PGothic" w:cs="MS PGothic" w:eastAsia="MS PGothic" w:hAnsi="MS PGothic"/>
          <w:sz w:val="18"/>
          <w:szCs w:val="18"/>
          <w:color w:val="auto"/>
        </w:rPr>
      </w:pPr>
    </w:p>
    <w:p>
      <w:pPr>
        <w:ind w:left="4240"/>
        <w:spacing w:after="0"/>
        <w:rPr>
          <w:rFonts w:ascii="MS PGothic" w:cs="MS PGothic" w:eastAsia="MS PGothic" w:hAnsi="MS PGothic"/>
          <w:sz w:val="18"/>
          <w:szCs w:val="18"/>
          <w:color w:val="auto"/>
        </w:rPr>
      </w:pPr>
      <w:r>
        <w:rPr>
          <w:rFonts w:ascii="Arial" w:cs="Arial" w:eastAsia="Arial" w:hAnsi="Arial"/>
          <w:sz w:val="16"/>
          <w:szCs w:val="16"/>
          <w:b w:val="1"/>
          <w:bCs w:val="1"/>
          <w:color w:val="auto"/>
        </w:rPr>
        <w:t>For the fiscal year ended February 3, 2018</w:t>
      </w:r>
    </w:p>
    <w:p>
      <w:pPr>
        <w:spacing w:after="0" w:line="45" w:lineRule="exact"/>
        <w:rPr>
          <w:rFonts w:ascii="MS PGothic" w:cs="MS PGothic" w:eastAsia="MS PGothic" w:hAnsi="MS PGothic"/>
          <w:sz w:val="18"/>
          <w:szCs w:val="18"/>
          <w:color w:val="auto"/>
        </w:rPr>
      </w:pPr>
    </w:p>
    <w:p>
      <w:pPr>
        <w:ind w:left="5600"/>
        <w:spacing w:after="0"/>
        <w:rPr>
          <w:rFonts w:ascii="MS PGothic" w:cs="MS PGothic" w:eastAsia="MS PGothic" w:hAnsi="MS PGothic"/>
          <w:sz w:val="18"/>
          <w:szCs w:val="18"/>
          <w:color w:val="auto"/>
        </w:rPr>
      </w:pPr>
      <w:r>
        <w:rPr>
          <w:rFonts w:ascii="Arial" w:cs="Arial" w:eastAsia="Arial" w:hAnsi="Arial"/>
          <w:sz w:val="16"/>
          <w:szCs w:val="16"/>
          <w:b w:val="1"/>
          <w:bCs w:val="1"/>
          <w:color w:val="auto"/>
        </w:rPr>
        <w:t>OR</w:t>
      </w:r>
    </w:p>
    <w:p>
      <w:pPr>
        <w:spacing w:after="0" w:line="55" w:lineRule="exact"/>
        <w:rPr>
          <w:sz w:val="24"/>
          <w:szCs w:val="24"/>
          <w:color w:val="auto"/>
        </w:rPr>
      </w:pPr>
    </w:p>
    <w:p>
      <w:pPr>
        <w:ind w:left="520" w:hanging="512"/>
        <w:spacing w:after="0"/>
        <w:tabs>
          <w:tab w:leader="none" w:pos="5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54" w:lineRule="exact"/>
        <w:rPr>
          <w:sz w:val="24"/>
          <w:szCs w:val="24"/>
          <w:color w:val="auto"/>
        </w:rPr>
      </w:pPr>
    </w:p>
    <w:p>
      <w:pPr>
        <w:ind w:left="3720"/>
        <w:spacing w:after="0"/>
        <w:tabs>
          <w:tab w:leader="none" w:pos="670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3723005</wp:posOffset>
            </wp:positionH>
            <wp:positionV relativeFrom="paragraph">
              <wp:posOffset>-4445</wp:posOffset>
            </wp:positionV>
            <wp:extent cx="11658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65860" cy="8890"/>
                    </a:xfrm>
                    <a:prstGeom prst="rect">
                      <a:avLst/>
                    </a:prstGeom>
                    <a:noFill/>
                  </pic:spPr>
                </pic:pic>
              </a:graphicData>
            </a:graphic>
          </wp:anchor>
        </w:drawing>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001-36107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2045970</wp:posOffset>
            </wp:positionH>
            <wp:positionV relativeFrom="paragraph">
              <wp:posOffset>54610</wp:posOffset>
            </wp:positionV>
            <wp:extent cx="3173095" cy="7543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73095" cy="7543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jc w:val="center"/>
        <w:spacing w:after="0"/>
        <w:rPr>
          <w:sz w:val="20"/>
          <w:szCs w:val="20"/>
          <w:color w:val="auto"/>
        </w:rPr>
      </w:pPr>
      <w:r>
        <w:rPr>
          <w:rFonts w:ascii="Arial" w:cs="Arial" w:eastAsia="Arial" w:hAnsi="Arial"/>
          <w:sz w:val="41"/>
          <w:szCs w:val="41"/>
          <w:b w:val="1"/>
          <w:bCs w:val="1"/>
          <w:color w:val="auto"/>
        </w:rPr>
        <w:t>BURLINGTON STORES, INC.</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52070</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02" w:lineRule="exact"/>
        <w:rPr>
          <w:sz w:val="24"/>
          <w:szCs w:val="24"/>
          <w:color w:val="auto"/>
        </w:rPr>
      </w:pPr>
    </w:p>
    <w:tbl>
      <w:tblPr>
        <w:tblLayout w:type="fixed"/>
        <w:tblInd w:w="0" w:type="dxa"/>
        <w:tblCellMar>
          <w:top w:w="0" w:type="dxa"/>
          <w:left w:w="0" w:type="dxa"/>
          <w:bottom w:w="0" w:type="dxa"/>
          <w:right w:w="0" w:type="dxa"/>
        </w:tblCellMar>
      </w:tblPr>
      <w:tr>
        <w:trPr>
          <w:trHeight w:val="198"/>
        </w:trPr>
        <w:tc>
          <w:tcPr>
            <w:tcW w:w="2400" w:type="dxa"/>
            <w:vAlign w:val="bottom"/>
          </w:tcPr>
          <w:p>
            <w:pPr>
              <w:spacing w:after="0"/>
              <w:rPr>
                <w:sz w:val="17"/>
                <w:szCs w:val="17"/>
                <w:color w:val="auto"/>
              </w:rPr>
            </w:pPr>
          </w:p>
        </w:tc>
        <w:tc>
          <w:tcPr>
            <w:tcW w:w="4500" w:type="dxa"/>
            <w:vAlign w:val="bottom"/>
            <w:gridSpan w:val="4"/>
          </w:tcPr>
          <w:p>
            <w:pPr>
              <w:jc w:val="center"/>
              <w:ind w:right="3560"/>
              <w:spacing w:after="0"/>
              <w:rPr>
                <w:sz w:val="20"/>
                <w:szCs w:val="20"/>
                <w:color w:val="auto"/>
              </w:rPr>
            </w:pPr>
            <w:r>
              <w:rPr>
                <w:rFonts w:ascii="Arial" w:cs="Arial" w:eastAsia="Arial" w:hAnsi="Arial"/>
                <w:sz w:val="16"/>
                <w:szCs w:val="16"/>
                <w:b w:val="1"/>
                <w:bCs w:val="1"/>
                <w:color w:val="auto"/>
                <w:w w:val="93"/>
              </w:rPr>
              <w:t>Delaware</w:t>
            </w: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80" w:type="dxa"/>
            <w:vAlign w:val="bottom"/>
          </w:tcPr>
          <w:p>
            <w:pPr>
              <w:jc w:val="right"/>
              <w:ind w:right="769"/>
              <w:spacing w:after="0"/>
              <w:rPr>
                <w:sz w:val="20"/>
                <w:szCs w:val="20"/>
                <w:color w:val="auto"/>
              </w:rPr>
            </w:pPr>
            <w:r>
              <w:rPr>
                <w:rFonts w:ascii="Arial" w:cs="Arial" w:eastAsia="Arial" w:hAnsi="Arial"/>
                <w:sz w:val="16"/>
                <w:szCs w:val="16"/>
                <w:b w:val="1"/>
                <w:bCs w:val="1"/>
                <w:color w:val="auto"/>
              </w:rPr>
              <w:t>80-0895227</w:t>
            </w:r>
          </w:p>
        </w:tc>
        <w:tc>
          <w:tcPr>
            <w:tcW w:w="0" w:type="dxa"/>
            <w:vAlign w:val="bottom"/>
          </w:tcPr>
          <w:p>
            <w:pPr>
              <w:spacing w:after="0"/>
              <w:rPr>
                <w:sz w:val="1"/>
                <w:szCs w:val="1"/>
                <w:color w:val="auto"/>
              </w:rPr>
            </w:pPr>
          </w:p>
        </w:tc>
      </w:tr>
      <w:tr>
        <w:trPr>
          <w:trHeight w:val="135"/>
        </w:trPr>
        <w:tc>
          <w:tcPr>
            <w:tcW w:w="6900" w:type="dxa"/>
            <w:vAlign w:val="bottom"/>
            <w:gridSpan w:val="5"/>
          </w:tcPr>
          <w:p>
            <w:pPr>
              <w:jc w:val="center"/>
              <w:ind w:right="1180"/>
              <w:spacing w:after="0" w:line="135" w:lineRule="exact"/>
              <w:rPr>
                <w:sz w:val="20"/>
                <w:szCs w:val="20"/>
                <w:color w:val="auto"/>
              </w:rPr>
            </w:pPr>
            <w:r>
              <w:rPr>
                <w:rFonts w:ascii="Arial" w:cs="Arial" w:eastAsia="Arial" w:hAnsi="Arial"/>
                <w:sz w:val="13"/>
                <w:szCs w:val="13"/>
                <w:b w:val="1"/>
                <w:bCs w:val="1"/>
                <w:color w:val="auto"/>
                <w:w w:val="89"/>
              </w:rPr>
              <w:t>(State or Other Jurisdiction of</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80" w:type="dxa"/>
            <w:vAlign w:val="bottom"/>
          </w:tcPr>
          <w:p>
            <w:pPr>
              <w:jc w:val="center"/>
              <w:ind w:right="329"/>
              <w:spacing w:after="0" w:line="135" w:lineRule="exact"/>
              <w:rPr>
                <w:sz w:val="20"/>
                <w:szCs w:val="20"/>
                <w:color w:val="auto"/>
              </w:rPr>
            </w:pPr>
            <w:r>
              <w:rPr>
                <w:rFonts w:ascii="Arial" w:cs="Arial" w:eastAsia="Arial" w:hAnsi="Arial"/>
                <w:sz w:val="13"/>
                <w:szCs w:val="13"/>
                <w:b w:val="1"/>
                <w:bCs w:val="1"/>
                <w:color w:val="auto"/>
                <w:w w:val="92"/>
              </w:rPr>
              <w:t>(I.R.S. Employer</w:t>
            </w:r>
          </w:p>
        </w:tc>
        <w:tc>
          <w:tcPr>
            <w:tcW w:w="0" w:type="dxa"/>
            <w:vAlign w:val="bottom"/>
          </w:tcPr>
          <w:p>
            <w:pPr>
              <w:spacing w:after="0"/>
              <w:rPr>
                <w:sz w:val="1"/>
                <w:szCs w:val="1"/>
                <w:color w:val="auto"/>
              </w:rPr>
            </w:pPr>
          </w:p>
        </w:tc>
      </w:tr>
      <w:tr>
        <w:trPr>
          <w:trHeight w:val="164"/>
        </w:trPr>
        <w:tc>
          <w:tcPr>
            <w:tcW w:w="6900" w:type="dxa"/>
            <w:vAlign w:val="bottom"/>
            <w:gridSpan w:val="5"/>
          </w:tcPr>
          <w:p>
            <w:pPr>
              <w:jc w:val="center"/>
              <w:ind w:right="1160"/>
              <w:spacing w:after="0"/>
              <w:rPr>
                <w:sz w:val="20"/>
                <w:szCs w:val="20"/>
                <w:color w:val="auto"/>
              </w:rPr>
            </w:pPr>
            <w:r>
              <w:rPr>
                <w:rFonts w:ascii="Arial" w:cs="Arial" w:eastAsia="Arial" w:hAnsi="Arial"/>
                <w:sz w:val="13"/>
                <w:szCs w:val="13"/>
                <w:b w:val="1"/>
                <w:bCs w:val="1"/>
                <w:color w:val="auto"/>
                <w:w w:val="90"/>
              </w:rPr>
              <w:t>Incorporation or Organization)</w:t>
            </w: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80" w:type="dxa"/>
            <w:vAlign w:val="bottom"/>
          </w:tcPr>
          <w:p>
            <w:pPr>
              <w:jc w:val="center"/>
              <w:ind w:right="309"/>
              <w:spacing w:after="0"/>
              <w:rPr>
                <w:sz w:val="20"/>
                <w:szCs w:val="20"/>
                <w:color w:val="auto"/>
              </w:rPr>
            </w:pPr>
            <w:r>
              <w:rPr>
                <w:rFonts w:ascii="Arial" w:cs="Arial" w:eastAsia="Arial" w:hAnsi="Arial"/>
                <w:sz w:val="13"/>
                <w:szCs w:val="13"/>
                <w:b w:val="1"/>
                <w:bCs w:val="1"/>
                <w:color w:val="auto"/>
                <w:w w:val="89"/>
              </w:rPr>
              <w:t>Identification No.)</w:t>
            </w:r>
          </w:p>
        </w:tc>
        <w:tc>
          <w:tcPr>
            <w:tcW w:w="0" w:type="dxa"/>
            <w:vAlign w:val="bottom"/>
          </w:tcPr>
          <w:p>
            <w:pPr>
              <w:spacing w:after="0"/>
              <w:rPr>
                <w:sz w:val="1"/>
                <w:szCs w:val="1"/>
                <w:color w:val="auto"/>
              </w:rPr>
            </w:pPr>
          </w:p>
        </w:tc>
      </w:tr>
      <w:tr>
        <w:trPr>
          <w:trHeight w:val="218"/>
        </w:trPr>
        <w:tc>
          <w:tcPr>
            <w:tcW w:w="6900" w:type="dxa"/>
            <w:vAlign w:val="bottom"/>
            <w:gridSpan w:val="5"/>
          </w:tcPr>
          <w:p>
            <w:pPr>
              <w:jc w:val="center"/>
              <w:ind w:right="1180"/>
              <w:spacing w:after="0"/>
              <w:rPr>
                <w:sz w:val="20"/>
                <w:szCs w:val="20"/>
                <w:color w:val="auto"/>
              </w:rPr>
            </w:pPr>
            <w:r>
              <w:rPr>
                <w:rFonts w:ascii="Arial" w:cs="Arial" w:eastAsia="Arial" w:hAnsi="Arial"/>
                <w:sz w:val="16"/>
                <w:szCs w:val="16"/>
                <w:b w:val="1"/>
                <w:bCs w:val="1"/>
                <w:color w:val="auto"/>
                <w:w w:val="92"/>
              </w:rPr>
              <w:t>2006 Route 130 North</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900" w:type="dxa"/>
            <w:vAlign w:val="bottom"/>
            <w:gridSpan w:val="5"/>
          </w:tcPr>
          <w:p>
            <w:pPr>
              <w:jc w:val="center"/>
              <w:ind w:right="1160"/>
              <w:spacing w:after="0"/>
              <w:rPr>
                <w:sz w:val="20"/>
                <w:szCs w:val="20"/>
                <w:color w:val="auto"/>
              </w:rPr>
            </w:pPr>
            <w:r>
              <w:rPr>
                <w:rFonts w:ascii="Arial" w:cs="Arial" w:eastAsia="Arial" w:hAnsi="Arial"/>
                <w:sz w:val="16"/>
                <w:szCs w:val="16"/>
                <w:b w:val="1"/>
                <w:bCs w:val="1"/>
                <w:color w:val="auto"/>
                <w:w w:val="91"/>
              </w:rPr>
              <w:t>Burlington, New Jersey</w:t>
            </w: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80" w:type="dxa"/>
            <w:vAlign w:val="bottom"/>
          </w:tcPr>
          <w:p>
            <w:pPr>
              <w:jc w:val="right"/>
              <w:ind w:right="969"/>
              <w:spacing w:after="0"/>
              <w:rPr>
                <w:sz w:val="20"/>
                <w:szCs w:val="20"/>
                <w:color w:val="auto"/>
              </w:rPr>
            </w:pPr>
            <w:r>
              <w:rPr>
                <w:rFonts w:ascii="Arial" w:cs="Arial" w:eastAsia="Arial" w:hAnsi="Arial"/>
                <w:sz w:val="16"/>
                <w:szCs w:val="16"/>
                <w:b w:val="1"/>
                <w:bCs w:val="1"/>
                <w:color w:val="auto"/>
              </w:rPr>
              <w:t>08016</w:t>
            </w:r>
          </w:p>
        </w:tc>
        <w:tc>
          <w:tcPr>
            <w:tcW w:w="0" w:type="dxa"/>
            <w:vAlign w:val="bottom"/>
          </w:tcPr>
          <w:p>
            <w:pPr>
              <w:spacing w:after="0"/>
              <w:rPr>
                <w:sz w:val="1"/>
                <w:szCs w:val="1"/>
                <w:color w:val="auto"/>
              </w:rPr>
            </w:pPr>
          </w:p>
        </w:tc>
      </w:tr>
      <w:tr>
        <w:trPr>
          <w:trHeight w:val="164"/>
        </w:trPr>
        <w:tc>
          <w:tcPr>
            <w:tcW w:w="6900" w:type="dxa"/>
            <w:vAlign w:val="bottom"/>
            <w:gridSpan w:val="5"/>
          </w:tcPr>
          <w:p>
            <w:pPr>
              <w:jc w:val="center"/>
              <w:ind w:right="1180"/>
              <w:spacing w:after="0"/>
              <w:rPr>
                <w:sz w:val="20"/>
                <w:szCs w:val="20"/>
                <w:color w:val="auto"/>
              </w:rPr>
            </w:pPr>
            <w:r>
              <w:rPr>
                <w:rFonts w:ascii="Arial" w:cs="Arial" w:eastAsia="Arial" w:hAnsi="Arial"/>
                <w:sz w:val="13"/>
                <w:szCs w:val="13"/>
                <w:b w:val="1"/>
                <w:bCs w:val="1"/>
                <w:color w:val="auto"/>
                <w:w w:val="87"/>
              </w:rPr>
              <w:t>(Address of Principal Executive Offices)</w:t>
            </w: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80" w:type="dxa"/>
            <w:vAlign w:val="bottom"/>
          </w:tcPr>
          <w:p>
            <w:pPr>
              <w:jc w:val="center"/>
              <w:ind w:right="309"/>
              <w:spacing w:after="0"/>
              <w:rPr>
                <w:sz w:val="20"/>
                <w:szCs w:val="20"/>
                <w:color w:val="auto"/>
              </w:rPr>
            </w:pPr>
            <w:r>
              <w:rPr>
                <w:rFonts w:ascii="Arial" w:cs="Arial" w:eastAsia="Arial" w:hAnsi="Arial"/>
                <w:sz w:val="13"/>
                <w:szCs w:val="13"/>
                <w:b w:val="1"/>
                <w:bCs w:val="1"/>
                <w:color w:val="auto"/>
                <w:w w:val="90"/>
              </w:rPr>
              <w:t>(Zip Code)</w:t>
            </w:r>
          </w:p>
        </w:tc>
        <w:tc>
          <w:tcPr>
            <w:tcW w:w="0" w:type="dxa"/>
            <w:vAlign w:val="bottom"/>
          </w:tcPr>
          <w:p>
            <w:pPr>
              <w:spacing w:after="0"/>
              <w:rPr>
                <w:sz w:val="1"/>
                <w:szCs w:val="1"/>
                <w:color w:val="auto"/>
              </w:rPr>
            </w:pPr>
          </w:p>
        </w:tc>
      </w:tr>
      <w:tr>
        <w:trPr>
          <w:trHeight w:val="200"/>
        </w:trPr>
        <w:tc>
          <w:tcPr>
            <w:tcW w:w="6860" w:type="dxa"/>
            <w:vAlign w:val="bottom"/>
            <w:gridSpan w:val="4"/>
          </w:tcPr>
          <w:p>
            <w:pPr>
              <w:jc w:val="center"/>
              <w:ind w:left="4487"/>
              <w:spacing w:after="0"/>
              <w:rPr>
                <w:sz w:val="20"/>
                <w:szCs w:val="20"/>
                <w:color w:val="auto"/>
              </w:rPr>
            </w:pPr>
            <w:r>
              <w:rPr>
                <w:rFonts w:ascii="Arial" w:cs="Arial" w:eastAsia="Arial" w:hAnsi="Arial"/>
                <w:sz w:val="16"/>
                <w:szCs w:val="16"/>
                <w:b w:val="1"/>
                <w:bCs w:val="1"/>
                <w:color w:val="auto"/>
                <w:w w:val="93"/>
              </w:rPr>
              <w:t>(609) 387-7800</w:t>
            </w: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2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120" w:type="dxa"/>
            <w:vAlign w:val="bottom"/>
            <w:gridSpan w:val="4"/>
          </w:tcPr>
          <w:p>
            <w:pPr>
              <w:jc w:val="center"/>
              <w:ind w:left="563"/>
              <w:spacing w:after="0"/>
              <w:rPr>
                <w:sz w:val="20"/>
                <w:szCs w:val="20"/>
                <w:color w:val="auto"/>
              </w:rPr>
            </w:pPr>
            <w:r>
              <w:rPr>
                <w:rFonts w:ascii="Arial" w:cs="Arial" w:eastAsia="Arial" w:hAnsi="Arial"/>
                <w:sz w:val="13"/>
                <w:szCs w:val="13"/>
                <w:b w:val="1"/>
                <w:bCs w:val="1"/>
                <w:color w:val="auto"/>
                <w:w w:val="86"/>
              </w:rPr>
              <w:t>(Registrant’s telephone number, including area code)</w:t>
            </w: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24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440" w:type="dxa"/>
            <w:vAlign w:val="bottom"/>
            <w:gridSpan w:val="6"/>
          </w:tcPr>
          <w:p>
            <w:pPr>
              <w:jc w:val="center"/>
              <w:ind w:left="243"/>
              <w:spacing w:after="0"/>
              <w:rPr>
                <w:sz w:val="20"/>
                <w:szCs w:val="20"/>
                <w:color w:val="auto"/>
              </w:rPr>
            </w:pPr>
            <w:r>
              <w:rPr>
                <w:rFonts w:ascii="Arial" w:cs="Arial" w:eastAsia="Arial" w:hAnsi="Arial"/>
                <w:sz w:val="16"/>
                <w:szCs w:val="16"/>
                <w:b w:val="1"/>
                <w:bCs w:val="1"/>
                <w:color w:val="auto"/>
                <w:w w:val="90"/>
              </w:rPr>
              <w:t>Securities registered pursuant to Section 12(b) of the Act:</w:t>
            </w:r>
          </w:p>
        </w:tc>
        <w:tc>
          <w:tcPr>
            <w:tcW w:w="2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2400" w:type="dxa"/>
            <w:vAlign w:val="bottom"/>
          </w:tcPr>
          <w:p>
            <w:pPr>
              <w:spacing w:after="0"/>
              <w:rPr>
                <w:sz w:val="14"/>
                <w:szCs w:val="14"/>
                <w:color w:val="auto"/>
              </w:rPr>
            </w:pPr>
          </w:p>
        </w:tc>
        <w:tc>
          <w:tcPr>
            <w:tcW w:w="4500" w:type="dxa"/>
            <w:vAlign w:val="bottom"/>
            <w:gridSpan w:val="4"/>
          </w:tcPr>
          <w:p>
            <w:pPr>
              <w:jc w:val="center"/>
              <w:ind w:right="3560"/>
              <w:spacing w:after="0"/>
              <w:rPr>
                <w:sz w:val="20"/>
                <w:szCs w:val="20"/>
                <w:color w:val="auto"/>
              </w:rPr>
            </w:pPr>
            <w:r>
              <w:rPr>
                <w:rFonts w:ascii="Arial" w:cs="Arial" w:eastAsia="Arial" w:hAnsi="Arial"/>
                <w:sz w:val="13"/>
                <w:szCs w:val="13"/>
                <w:b w:val="1"/>
                <w:bCs w:val="1"/>
                <w:color w:val="auto"/>
                <w:w w:val="83"/>
              </w:rPr>
              <w:t>Title of each class</w:t>
            </w:r>
          </w:p>
        </w:tc>
        <w:tc>
          <w:tcPr>
            <w:tcW w:w="560" w:type="dxa"/>
            <w:vAlign w:val="bottom"/>
          </w:tcPr>
          <w:p>
            <w:pPr>
              <w:spacing w:after="0"/>
              <w:rPr>
                <w:sz w:val="14"/>
                <w:szCs w:val="14"/>
                <w:color w:val="auto"/>
              </w:rPr>
            </w:pPr>
          </w:p>
        </w:tc>
        <w:tc>
          <w:tcPr>
            <w:tcW w:w="2400" w:type="dxa"/>
            <w:vAlign w:val="bottom"/>
            <w:gridSpan w:val="3"/>
          </w:tcPr>
          <w:p>
            <w:pPr>
              <w:ind w:left="60"/>
              <w:spacing w:after="0"/>
              <w:rPr>
                <w:sz w:val="20"/>
                <w:szCs w:val="20"/>
                <w:color w:val="auto"/>
              </w:rPr>
            </w:pPr>
            <w:r>
              <w:rPr>
                <w:rFonts w:ascii="Arial" w:cs="Arial" w:eastAsia="Arial" w:hAnsi="Arial"/>
                <w:sz w:val="13"/>
                <w:szCs w:val="13"/>
                <w:b w:val="1"/>
                <w:bCs w:val="1"/>
                <w:color w:val="auto"/>
                <w:w w:val="84"/>
              </w:rPr>
              <w:t>Name of each exchange on which registered</w:t>
            </w:r>
          </w:p>
        </w:tc>
        <w:tc>
          <w:tcPr>
            <w:tcW w:w="0" w:type="dxa"/>
            <w:vAlign w:val="bottom"/>
          </w:tcPr>
          <w:p>
            <w:pPr>
              <w:spacing w:after="0"/>
              <w:rPr>
                <w:sz w:val="1"/>
                <w:szCs w:val="1"/>
                <w:color w:val="auto"/>
              </w:rPr>
            </w:pPr>
          </w:p>
        </w:tc>
      </w:tr>
      <w:tr>
        <w:trPr>
          <w:trHeight w:val="204"/>
        </w:trPr>
        <w:tc>
          <w:tcPr>
            <w:tcW w:w="2400" w:type="dxa"/>
            <w:vAlign w:val="bottom"/>
          </w:tcPr>
          <w:p>
            <w:pPr>
              <w:ind w:left="1340"/>
              <w:spacing w:after="0"/>
              <w:rPr>
                <w:sz w:val="20"/>
                <w:szCs w:val="20"/>
                <w:color w:val="auto"/>
              </w:rPr>
            </w:pPr>
            <w:r>
              <w:rPr>
                <w:rFonts w:ascii="Arial" w:cs="Arial" w:eastAsia="Arial" w:hAnsi="Arial"/>
                <w:sz w:val="16"/>
                <w:szCs w:val="16"/>
                <w:b w:val="1"/>
                <w:bCs w:val="1"/>
                <w:color w:val="auto"/>
                <w:w w:val="85"/>
              </w:rPr>
              <w:t>Common Stock,</w:t>
            </w:r>
          </w:p>
        </w:tc>
        <w:tc>
          <w:tcPr>
            <w:tcW w:w="9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par value $</w:t>
            </w:r>
          </w:p>
        </w:tc>
        <w:tc>
          <w:tcPr>
            <w:tcW w:w="3560" w:type="dxa"/>
            <w:vAlign w:val="bottom"/>
            <w:gridSpan w:val="3"/>
          </w:tcPr>
          <w:p>
            <w:pPr>
              <w:spacing w:after="0"/>
              <w:rPr>
                <w:sz w:val="20"/>
                <w:szCs w:val="20"/>
                <w:color w:val="auto"/>
              </w:rPr>
            </w:pPr>
            <w:r>
              <w:rPr>
                <w:rFonts w:ascii="Arial" w:cs="Arial" w:eastAsia="Arial" w:hAnsi="Arial"/>
                <w:sz w:val="16"/>
                <w:szCs w:val="16"/>
                <w:b w:val="1"/>
                <w:bCs w:val="1"/>
                <w:color w:val="auto"/>
              </w:rPr>
              <w:t>0.0001 per share</w:t>
            </w: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340" w:type="dxa"/>
            <w:vAlign w:val="bottom"/>
            <w:tcBorders>
              <w:top w:val="single" w:sz="8" w:color="auto"/>
            </w:tcBorders>
            <w:gridSpan w:val="2"/>
          </w:tcPr>
          <w:p>
            <w:pPr>
              <w:jc w:val="center"/>
              <w:ind w:right="69"/>
              <w:spacing w:after="0"/>
              <w:rPr>
                <w:sz w:val="20"/>
                <w:szCs w:val="20"/>
                <w:color w:val="auto"/>
              </w:rPr>
            </w:pPr>
            <w:r>
              <w:rPr>
                <w:rFonts w:ascii="Arial" w:cs="Arial" w:eastAsia="Arial" w:hAnsi="Arial"/>
                <w:sz w:val="16"/>
                <w:szCs w:val="16"/>
                <w:b w:val="1"/>
                <w:bCs w:val="1"/>
                <w:color w:val="auto"/>
                <w:w w:val="91"/>
              </w:rPr>
              <w:t>New York Stock Exchange</w:t>
            </w:r>
          </w:p>
        </w:tc>
        <w:tc>
          <w:tcPr>
            <w:tcW w:w="0" w:type="dxa"/>
            <w:vAlign w:val="bottom"/>
          </w:tcPr>
          <w:p>
            <w:pPr>
              <w:spacing w:after="0"/>
              <w:rPr>
                <w:sz w:val="1"/>
                <w:szCs w:val="1"/>
                <w:color w:val="auto"/>
              </w:rPr>
            </w:pPr>
          </w:p>
        </w:tc>
      </w:tr>
      <w:tr>
        <w:trPr>
          <w:trHeight w:val="229"/>
        </w:trPr>
        <w:tc>
          <w:tcPr>
            <w:tcW w:w="24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520" w:type="dxa"/>
            <w:vAlign w:val="bottom"/>
            <w:gridSpan w:val="7"/>
          </w:tcPr>
          <w:p>
            <w:pPr>
              <w:jc w:val="center"/>
              <w:ind w:right="1689"/>
              <w:spacing w:after="0"/>
              <w:rPr>
                <w:sz w:val="20"/>
                <w:szCs w:val="20"/>
                <w:color w:val="auto"/>
              </w:rPr>
            </w:pPr>
            <w:r>
              <w:rPr>
                <w:rFonts w:ascii="Arial" w:cs="Arial" w:eastAsia="Arial" w:hAnsi="Arial"/>
                <w:sz w:val="16"/>
                <w:szCs w:val="16"/>
                <w:b w:val="1"/>
                <w:bCs w:val="1"/>
                <w:color w:val="auto"/>
                <w:w w:val="90"/>
              </w:rPr>
              <w:t>Securities registered pursuant to Section 12(g) of the Act: None</w:t>
            </w:r>
          </w:p>
        </w:tc>
        <w:tc>
          <w:tcPr>
            <w:tcW w:w="0" w:type="dxa"/>
            <w:vAlign w:val="bottom"/>
          </w:tcPr>
          <w:p>
            <w:pPr>
              <w:spacing w:after="0"/>
              <w:rPr>
                <w:sz w:val="1"/>
                <w:szCs w:val="1"/>
                <w:color w:val="auto"/>
              </w:rPr>
            </w:pPr>
          </w:p>
        </w:tc>
      </w:tr>
      <w:tr>
        <w:trPr>
          <w:trHeight w:val="60"/>
        </w:trPr>
        <w:tc>
          <w:tcPr>
            <w:tcW w:w="24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40" w:type="dxa"/>
            <w:vAlign w:val="bottom"/>
          </w:tcPr>
          <w:p>
            <w:pPr>
              <w:spacing w:after="0"/>
              <w:rPr>
                <w:sz w:val="5"/>
                <w:szCs w:val="5"/>
                <w:color w:val="auto"/>
              </w:rPr>
            </w:pPr>
          </w:p>
        </w:tc>
        <w:tc>
          <w:tcPr>
            <w:tcW w:w="228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560" w:type="dxa"/>
            <w:vAlign w:val="bottom"/>
            <w:vMerge w:val="restart"/>
          </w:tcPr>
          <w:p>
            <w:pPr>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80" w:type="dxa"/>
            <w:vAlign w:val="bottom"/>
            <w:vMerge w:val="restart"/>
          </w:tcPr>
          <w:p>
            <w:pPr>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04"/>
        </w:trPr>
        <w:tc>
          <w:tcPr>
            <w:tcW w:w="6900" w:type="dxa"/>
            <w:vAlign w:val="bottom"/>
            <w:gridSpan w:val="5"/>
          </w:tcPr>
          <w:p>
            <w:pPr>
              <w:spacing w:after="0"/>
              <w:rPr>
                <w:sz w:val="20"/>
                <w:szCs w:val="20"/>
                <w:color w:val="auto"/>
              </w:rPr>
            </w:pPr>
            <w:r>
              <w:rPr>
                <w:rFonts w:ascii="Arial" w:cs="Arial" w:eastAsia="Arial" w:hAnsi="Arial"/>
                <w:sz w:val="14"/>
                <w:szCs w:val="14"/>
                <w:color w:val="auto"/>
                <w:w w:val="95"/>
              </w:rPr>
              <w:t>Indicate by check mark if the registrant is a well-known seasoned issuer, as defined in Rule 405 of the Securities Act.</w:t>
            </w:r>
          </w:p>
        </w:tc>
        <w:tc>
          <w:tcPr>
            <w:tcW w:w="560" w:type="dxa"/>
            <w:vAlign w:val="bottom"/>
            <w:vMerge w:val="continue"/>
          </w:tcPr>
          <w:p>
            <w:pPr>
              <w:spacing w:after="0"/>
              <w:rPr>
                <w:sz w:val="17"/>
                <w:szCs w:val="17"/>
                <w:color w:val="auto"/>
              </w:rPr>
            </w:pPr>
          </w:p>
        </w:tc>
        <w:tc>
          <w:tcPr>
            <w:tcW w:w="320" w:type="dxa"/>
            <w:vAlign w:val="bottom"/>
            <w:gridSpan w:val="2"/>
          </w:tcPr>
          <w:p>
            <w:pPr>
              <w:spacing w:after="0"/>
              <w:rPr>
                <w:sz w:val="20"/>
                <w:szCs w:val="20"/>
                <w:color w:val="auto"/>
              </w:rPr>
            </w:pPr>
            <w:r>
              <w:rPr>
                <w:rFonts w:ascii="Arial" w:cs="Arial" w:eastAsia="Arial" w:hAnsi="Arial"/>
                <w:sz w:val="14"/>
                <w:szCs w:val="14"/>
                <w:color w:val="auto"/>
              </w:rPr>
              <w:t>No</w:t>
            </w:r>
          </w:p>
        </w:tc>
        <w:tc>
          <w:tcPr>
            <w:tcW w:w="2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6900" w:type="dxa"/>
            <w:vAlign w:val="bottom"/>
            <w:gridSpan w:val="5"/>
          </w:tcPr>
          <w:p>
            <w:pPr>
              <w:spacing w:after="0"/>
              <w:rPr>
                <w:sz w:val="20"/>
                <w:szCs w:val="20"/>
                <w:color w:val="auto"/>
              </w:rPr>
            </w:pPr>
            <w:r>
              <w:rPr>
                <w:rFonts w:ascii="Arial" w:cs="Arial" w:eastAsia="Arial" w:hAnsi="Arial"/>
                <w:sz w:val="14"/>
                <w:szCs w:val="14"/>
                <w:color w:val="auto"/>
                <w:w w:val="94"/>
              </w:rPr>
              <w:t>Indicate by check mark if the registrant is not required to file reports pursuant to Section 13 or Section 15(d) of the Act.</w:t>
            </w:r>
          </w:p>
        </w:tc>
        <w:tc>
          <w:tcPr>
            <w:tcW w:w="560" w:type="dxa"/>
            <w:vAlign w:val="bottom"/>
          </w:tcPr>
          <w:p>
            <w:pPr>
              <w:ind w:left="140"/>
              <w:spacing w:after="0" w:line="161" w:lineRule="exact"/>
              <w:rPr>
                <w:sz w:val="20"/>
                <w:szCs w:val="20"/>
                <w:color w:val="auto"/>
              </w:rPr>
            </w:pPr>
            <w:r>
              <w:rPr>
                <w:rFonts w:ascii="Arial" w:cs="Arial" w:eastAsia="Arial" w:hAnsi="Arial"/>
                <w:sz w:val="14"/>
                <w:szCs w:val="14"/>
                <w:color w:val="auto"/>
                <w:w w:val="95"/>
              </w:rPr>
              <w:t xml:space="preserve">Yes </w:t>
            </w:r>
            <w:r>
              <w:rPr>
                <w:rFonts w:ascii="MS PGothic" w:cs="MS PGothic" w:eastAsia="MS PGothic" w:hAnsi="MS PGothic"/>
                <w:sz w:val="14"/>
                <w:szCs w:val="14"/>
                <w:color w:val="auto"/>
                <w:w w:val="95"/>
              </w:rPr>
              <w:t>☐</w:t>
            </w:r>
          </w:p>
        </w:tc>
        <w:tc>
          <w:tcPr>
            <w:tcW w:w="60" w:type="dxa"/>
            <w:vAlign w:val="bottom"/>
          </w:tcPr>
          <w:p>
            <w:pPr>
              <w:spacing w:after="0"/>
              <w:rPr>
                <w:sz w:val="19"/>
                <w:szCs w:val="19"/>
                <w:color w:val="auto"/>
              </w:rPr>
            </w:pPr>
          </w:p>
        </w:tc>
        <w:tc>
          <w:tcPr>
            <w:tcW w:w="260" w:type="dxa"/>
            <w:vAlign w:val="bottom"/>
          </w:tcPr>
          <w:p>
            <w:pPr>
              <w:ind w:left="80"/>
              <w:spacing w:after="0"/>
              <w:rPr>
                <w:sz w:val="20"/>
                <w:szCs w:val="20"/>
                <w:color w:val="auto"/>
              </w:rPr>
            </w:pPr>
            <w:r>
              <w:rPr>
                <w:rFonts w:ascii="Arial" w:cs="Arial" w:eastAsia="Arial" w:hAnsi="Arial"/>
                <w:sz w:val="14"/>
                <w:szCs w:val="14"/>
                <w:color w:val="auto"/>
                <w:w w:val="89"/>
              </w:rPr>
              <w:t>No</w:t>
            </w:r>
          </w:p>
        </w:tc>
        <w:tc>
          <w:tcPr>
            <w:tcW w:w="2080" w:type="dxa"/>
            <w:vAlign w:val="bottom"/>
          </w:tcPr>
          <w:p>
            <w:pPr>
              <w:ind w:left="60"/>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4" w:lineRule="exact"/>
        <w:rPr>
          <w:sz w:val="24"/>
          <w:szCs w:val="24"/>
          <w:color w:val="auto"/>
        </w:rPr>
      </w:pPr>
    </w:p>
    <w:p>
      <w:pPr>
        <w:ind w:right="100"/>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5" w:lineRule="exact"/>
        <w:rPr>
          <w:sz w:val="24"/>
          <w:szCs w:val="24"/>
          <w:color w:val="auto"/>
        </w:rPr>
      </w:pPr>
    </w:p>
    <w:p>
      <w:pPr>
        <w:ind w:right="220"/>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ind w:right="60"/>
        <w:spacing w:after="0" w:line="176"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5" w:lineRule="exact"/>
        <w:rPr>
          <w:sz w:val="24"/>
          <w:szCs w:val="24"/>
          <w:color w:val="auto"/>
        </w:rPr>
      </w:pPr>
    </w:p>
    <w:p>
      <w:pPr>
        <w:ind w:right="640"/>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2" w:lineRule="exact"/>
        <w:rPr>
          <w:sz w:val="24"/>
          <w:szCs w:val="24"/>
          <w:color w:val="auto"/>
        </w:rPr>
      </w:pPr>
    </w:p>
    <w:tbl>
      <w:tblPr>
        <w:tblLayout w:type="fixed"/>
        <w:tblInd w:w="0" w:type="dxa"/>
        <w:tblCellMar>
          <w:top w:w="0" w:type="dxa"/>
          <w:left w:w="0" w:type="dxa"/>
          <w:bottom w:w="0" w:type="dxa"/>
          <w:right w:w="0" w:type="dxa"/>
        </w:tblCellMar>
      </w:tblPr>
      <w:tr>
        <w:trPr>
          <w:trHeight w:val="226"/>
        </w:trPr>
        <w:tc>
          <w:tcPr>
            <w:tcW w:w="186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5020" w:type="dxa"/>
            <w:vAlign w:val="bottom"/>
          </w:tcPr>
          <w:p>
            <w:pPr>
              <w:ind w:left="560"/>
              <w:spacing w:after="0" w:line="141" w:lineRule="exact"/>
              <w:rPr>
                <w:sz w:val="20"/>
                <w:szCs w:val="20"/>
                <w:color w:val="auto"/>
              </w:rPr>
            </w:pPr>
            <w:r>
              <w:rPr>
                <w:rFonts w:ascii="MS PGothic" w:cs="MS PGothic" w:eastAsia="MS PGothic" w:hAnsi="MS PGothic"/>
                <w:sz w:val="14"/>
                <w:szCs w:val="14"/>
                <w:color w:val="auto"/>
              </w:rPr>
              <w:t>☒</w:t>
            </w:r>
          </w:p>
        </w:tc>
        <w:tc>
          <w:tcPr>
            <w:tcW w:w="3760" w:type="dxa"/>
            <w:vAlign w:val="bottom"/>
          </w:tcPr>
          <w:p>
            <w:pPr>
              <w:ind w:left="1520"/>
              <w:spacing w:after="0"/>
              <w:rPr>
                <w:sz w:val="20"/>
                <w:szCs w:val="20"/>
                <w:color w:val="auto"/>
              </w:rPr>
            </w:pPr>
            <w:r>
              <w:rPr>
                <w:rFonts w:ascii="Arial" w:cs="Arial" w:eastAsia="Arial" w:hAnsi="Arial"/>
                <w:sz w:val="14"/>
                <w:szCs w:val="14"/>
                <w:color w:val="auto"/>
              </w:rPr>
              <w:t>Accelerated filer</w:t>
            </w:r>
          </w:p>
        </w:tc>
        <w:tc>
          <w:tcPr>
            <w:tcW w:w="780" w:type="dxa"/>
            <w:vAlign w:val="bottom"/>
          </w:tcPr>
          <w:p>
            <w:pPr>
              <w:ind w:left="6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80"/>
        </w:trPr>
        <w:tc>
          <w:tcPr>
            <w:tcW w:w="1860" w:type="dxa"/>
            <w:vAlign w:val="bottom"/>
          </w:tcPr>
          <w:p>
            <w:pPr>
              <w:spacing w:after="0"/>
              <w:rPr>
                <w:sz w:val="20"/>
                <w:szCs w:val="20"/>
                <w:color w:val="auto"/>
              </w:rPr>
            </w:pPr>
            <w:r>
              <w:rPr>
                <w:rFonts w:ascii="Arial" w:cs="Arial" w:eastAsia="Arial" w:hAnsi="Arial"/>
                <w:sz w:val="14"/>
                <w:szCs w:val="14"/>
                <w:color w:val="auto"/>
              </w:rPr>
              <w:t>Non-Accelerated filer</w:t>
            </w:r>
          </w:p>
        </w:tc>
        <w:tc>
          <w:tcPr>
            <w:tcW w:w="5020" w:type="dxa"/>
            <w:vAlign w:val="bottom"/>
          </w:tcPr>
          <w:p>
            <w:pPr>
              <w:ind w:left="56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(Do not check if a smaller reporting company)</w:t>
            </w:r>
          </w:p>
        </w:tc>
        <w:tc>
          <w:tcPr>
            <w:tcW w:w="3760" w:type="dxa"/>
            <w:vAlign w:val="bottom"/>
          </w:tcPr>
          <w:p>
            <w:pPr>
              <w:ind w:left="1520"/>
              <w:spacing w:after="0"/>
              <w:rPr>
                <w:sz w:val="20"/>
                <w:szCs w:val="20"/>
                <w:color w:val="auto"/>
              </w:rPr>
            </w:pPr>
            <w:r>
              <w:rPr>
                <w:rFonts w:ascii="Arial" w:cs="Arial" w:eastAsia="Arial" w:hAnsi="Arial"/>
                <w:sz w:val="14"/>
                <w:szCs w:val="14"/>
                <w:color w:val="auto"/>
              </w:rPr>
              <w:t>Smaller reporting company</w:t>
            </w:r>
          </w:p>
        </w:tc>
        <w:tc>
          <w:tcPr>
            <w:tcW w:w="780" w:type="dxa"/>
            <w:vAlign w:val="bottom"/>
          </w:tcPr>
          <w:p>
            <w:pPr>
              <w:ind w:left="6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6"/>
        </w:trPr>
        <w:tc>
          <w:tcPr>
            <w:tcW w:w="186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3760" w:type="dxa"/>
            <w:vAlign w:val="bottom"/>
          </w:tcPr>
          <w:p>
            <w:pPr>
              <w:ind w:left="1520"/>
              <w:spacing w:after="0"/>
              <w:rPr>
                <w:sz w:val="20"/>
                <w:szCs w:val="20"/>
                <w:color w:val="auto"/>
              </w:rPr>
            </w:pPr>
            <w:r>
              <w:rPr>
                <w:rFonts w:ascii="Arial" w:cs="Arial" w:eastAsia="Arial" w:hAnsi="Arial"/>
                <w:sz w:val="14"/>
                <w:szCs w:val="14"/>
                <w:color w:val="auto"/>
              </w:rPr>
              <w:t>Emerging growth company</w:t>
            </w:r>
          </w:p>
        </w:tc>
        <w:tc>
          <w:tcPr>
            <w:tcW w:w="780" w:type="dxa"/>
            <w:vAlign w:val="bottom"/>
          </w:tcPr>
          <w:p>
            <w:pPr>
              <w:ind w:left="64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26" w:lineRule="exact"/>
        <w:rPr>
          <w:sz w:val="24"/>
          <w:szCs w:val="24"/>
          <w:color w:val="auto"/>
        </w:rPr>
      </w:pPr>
    </w:p>
    <w:p>
      <w:pPr>
        <w:ind w:right="16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61" w:lineRule="exact"/>
        <w:tabs>
          <w:tab w:leader="none" w:pos="6060" w:val="left"/>
          <w:tab w:leader="none" w:pos="6620" w:val="left"/>
        </w:tabs>
        <w:rPr>
          <w:sz w:val="20"/>
          <w:szCs w:val="20"/>
          <w:color w:val="auto"/>
        </w:rPr>
      </w:pPr>
      <w:r>
        <w:rPr>
          <w:rFonts w:ascii="Arial" w:cs="Arial" w:eastAsia="Arial" w:hAnsi="Arial"/>
          <w:sz w:val="14"/>
          <w:szCs w:val="14"/>
          <w:color w:val="auto"/>
        </w:rPr>
        <w:t>Indicate by check mark whether the registrant is a shell company (as defined in Rule 12b-2 of the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59" w:lineRule="exact"/>
        <w:rPr>
          <w:sz w:val="24"/>
          <w:szCs w:val="24"/>
          <w:color w:val="auto"/>
        </w:rPr>
      </w:pPr>
    </w:p>
    <w:p>
      <w:pPr>
        <w:ind w:right="100"/>
        <w:spacing w:after="0" w:line="246" w:lineRule="auto"/>
        <w:rPr>
          <w:sz w:val="20"/>
          <w:szCs w:val="20"/>
          <w:color w:val="auto"/>
        </w:rPr>
      </w:pPr>
      <w:r>
        <w:rPr>
          <w:rFonts w:ascii="Arial" w:cs="Arial" w:eastAsia="Arial" w:hAnsi="Arial"/>
          <w:sz w:val="14"/>
          <w:szCs w:val="14"/>
          <w:color w:val="auto"/>
        </w:rPr>
        <w:t>The aggregate market value of the common stock held by non-affiliates of the registrant on July 28, 2017, the last business day of the registrant’s most recently completed second fiscal quarter, was $5,887,925,990. The aggregate market value was computed by reference to the closing price of the common stock on such date.</w:t>
      </w:r>
    </w:p>
    <w:p>
      <w:pPr>
        <w:spacing w:after="0" w:line="1" w:lineRule="exact"/>
        <w:rPr>
          <w:sz w:val="24"/>
          <w:szCs w:val="24"/>
          <w:color w:val="auto"/>
        </w:rPr>
      </w:pPr>
    </w:p>
    <w:p>
      <w:pPr>
        <w:spacing w:after="0"/>
        <w:rPr>
          <w:sz w:val="20"/>
          <w:szCs w:val="20"/>
          <w:color w:val="auto"/>
        </w:rPr>
      </w:pPr>
      <w:r>
        <w:rPr>
          <w:rFonts w:ascii="Arial" w:cs="Arial" w:eastAsia="Arial" w:hAnsi="Arial"/>
          <w:sz w:val="14"/>
          <w:szCs w:val="14"/>
          <w:color w:val="auto"/>
        </w:rPr>
        <w:t>As of March 2, 2018, there were 67,728,992 shares of common stock of the registrant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111125</wp:posOffset>
            </wp:positionV>
            <wp:extent cx="14490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8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Documents Incorporated By Reference:</w:t>
      </w:r>
    </w:p>
    <w:p>
      <w:pPr>
        <w:spacing w:after="0" w:line="25" w:lineRule="exact"/>
        <w:rPr>
          <w:sz w:val="24"/>
          <w:szCs w:val="24"/>
          <w:color w:val="auto"/>
        </w:rPr>
      </w:pPr>
    </w:p>
    <w:p>
      <w:pPr>
        <w:ind w:right="560"/>
        <w:spacing w:after="0" w:line="243" w:lineRule="auto"/>
        <w:rPr>
          <w:sz w:val="20"/>
          <w:szCs w:val="20"/>
          <w:color w:val="auto"/>
        </w:rPr>
      </w:pPr>
      <w:r>
        <w:rPr>
          <w:rFonts w:ascii="Arial" w:cs="Arial" w:eastAsia="Arial" w:hAnsi="Arial"/>
          <w:sz w:val="14"/>
          <w:szCs w:val="14"/>
          <w:color w:val="auto"/>
        </w:rPr>
        <w:t>Certain provisions of the registrant’s definitive proxy statement for the 2018 Annual Meeting of Stockholders, to be filed within 120 days of the close of the registrant’s 2017 fiscal year, are incorporated by reference in Part III of this Form 10-K to the extent described herein.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465455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 w:name="page2"/>
    <w:bookmarkEnd w:id="1"/>
    <w:p>
      <w:pPr>
        <w:jc w:val="center"/>
        <w:ind w:left="900"/>
        <w:spacing w:after="0"/>
        <w:rPr>
          <w:sz w:val="20"/>
          <w:szCs w:val="20"/>
          <w:color w:val="auto"/>
        </w:rPr>
      </w:pPr>
      <w:r>
        <w:rPr>
          <w:rFonts w:ascii="Arial" w:cs="Arial" w:eastAsia="Arial" w:hAnsi="Arial"/>
          <w:sz w:val="18"/>
          <w:szCs w:val="18"/>
          <w:b w:val="1"/>
          <w:bCs w:val="1"/>
          <w:color w:val="auto"/>
        </w:rPr>
        <w:t>BURLINGTON STORES, INC.</w:t>
      </w:r>
    </w:p>
    <w:p>
      <w:pPr>
        <w:spacing w:after="0" w:line="27" w:lineRule="exact"/>
        <w:rPr>
          <w:sz w:val="20"/>
          <w:szCs w:val="20"/>
          <w:color w:val="auto"/>
        </w:rPr>
      </w:pPr>
    </w:p>
    <w:p>
      <w:pPr>
        <w:jc w:val="center"/>
        <w:ind w:left="900"/>
        <w:spacing w:after="0"/>
        <w:rPr>
          <w:sz w:val="20"/>
          <w:szCs w:val="20"/>
          <w:color w:val="auto"/>
        </w:rPr>
      </w:pPr>
      <w:r>
        <w:rPr>
          <w:rFonts w:ascii="Arial" w:cs="Arial" w:eastAsia="Arial" w:hAnsi="Arial"/>
          <w:sz w:val="18"/>
          <w:szCs w:val="18"/>
          <w:b w:val="1"/>
          <w:bCs w:val="1"/>
          <w:color w:val="auto"/>
        </w:rPr>
        <w:t>INDEX TO REPORT ON FORM 10-K</w:t>
      </w:r>
    </w:p>
    <w:p>
      <w:pPr>
        <w:spacing w:after="0" w:line="207" w:lineRule="exact"/>
        <w:rPr>
          <w:sz w:val="20"/>
          <w:szCs w:val="20"/>
          <w:color w:val="auto"/>
        </w:rPr>
      </w:pPr>
    </w:p>
    <w:p>
      <w:pPr>
        <w:jc w:val="center"/>
        <w:ind w:left="900"/>
        <w:spacing w:after="0"/>
        <w:rPr>
          <w:sz w:val="20"/>
          <w:szCs w:val="20"/>
          <w:color w:val="auto"/>
        </w:rPr>
      </w:pPr>
      <w:r>
        <w:rPr>
          <w:rFonts w:ascii="Arial" w:cs="Arial" w:eastAsia="Arial" w:hAnsi="Arial"/>
          <w:sz w:val="18"/>
          <w:szCs w:val="18"/>
          <w:b w:val="1"/>
          <w:bCs w:val="1"/>
          <w:color w:val="auto"/>
        </w:rPr>
        <w:t>FOR THE FISCAL YEAR ENDED FEBRUARY 3, 2018</w:t>
      </w:r>
    </w:p>
    <w:p>
      <w:pPr>
        <w:spacing w:after="0" w:line="288" w:lineRule="exact"/>
        <w:rPr>
          <w:sz w:val="20"/>
          <w:szCs w:val="20"/>
          <w:color w:val="auto"/>
        </w:rPr>
      </w:pPr>
    </w:p>
    <w:p>
      <w:pPr>
        <w:jc w:val="right"/>
        <w:ind w:right="240"/>
        <w:spacing w:after="0"/>
        <w:rPr>
          <w:sz w:val="20"/>
          <w:szCs w:val="20"/>
          <w:color w:val="auto"/>
        </w:rPr>
      </w:pPr>
      <w:r>
        <w:rPr>
          <w:rFonts w:ascii="Arial" w:cs="Arial" w:eastAsia="Arial" w:hAnsi="Arial"/>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5485130</wp:posOffset>
            </wp:positionH>
            <wp:positionV relativeFrom="paragraph">
              <wp:posOffset>6350</wp:posOffset>
            </wp:positionV>
            <wp:extent cx="17665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6657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6"/>
        </w:trPr>
        <w:tc>
          <w:tcPr>
            <w:tcW w:w="640" w:type="dxa"/>
            <w:vAlign w:val="bottom"/>
            <w:tcBorders>
              <w:bottom w:val="single" w:sz="8" w:color="0000EE"/>
            </w:tcBorders>
          </w:tcPr>
          <w:p>
            <w:pPr>
              <w:spacing w:after="0" w:line="186" w:lineRule="exact"/>
              <w:rPr>
                <w:rFonts w:ascii="Arial" w:cs="Arial" w:eastAsia="Arial" w:hAnsi="Arial"/>
                <w:sz w:val="18"/>
                <w:szCs w:val="18"/>
                <w:b w:val="1"/>
                <w:bCs w:val="1"/>
                <w:color w:val="0000EE"/>
                <w:w w:val="96"/>
              </w:rPr>
            </w:pPr>
            <w:hyperlink w:anchor="page3">
              <w:r>
                <w:rPr>
                  <w:rFonts w:ascii="Arial" w:cs="Arial" w:eastAsia="Arial" w:hAnsi="Arial"/>
                  <w:sz w:val="18"/>
                  <w:szCs w:val="18"/>
                  <w:b w:val="1"/>
                  <w:bCs w:val="1"/>
                  <w:color w:val="0000EE"/>
                  <w:w w:val="96"/>
                </w:rPr>
                <w:t>PART I.</w:t>
              </w:r>
            </w:hyperlink>
          </w:p>
        </w:tc>
        <w:tc>
          <w:tcPr>
            <w:tcW w:w="480" w:type="dxa"/>
            <w:vAlign w:val="bottom"/>
            <w:gridSpan w:val="4"/>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331"/>
        </w:trPr>
        <w:tc>
          <w:tcPr>
            <w:tcW w:w="1120" w:type="dxa"/>
            <w:vAlign w:val="bottom"/>
            <w:gridSpan w:val="5"/>
          </w:tcPr>
          <w:p>
            <w:pPr>
              <w:spacing w:after="0"/>
              <w:rPr>
                <w:sz w:val="20"/>
                <w:szCs w:val="20"/>
                <w:color w:val="auto"/>
              </w:rPr>
            </w:pPr>
            <w:r>
              <w:rPr>
                <w:rFonts w:ascii="Arial" w:cs="Arial" w:eastAsia="Arial" w:hAnsi="Arial"/>
                <w:sz w:val="18"/>
                <w:szCs w:val="18"/>
                <w:color w:val="auto"/>
              </w:rPr>
              <w:t>Item 1.</w:t>
            </w:r>
          </w:p>
        </w:tc>
        <w:tc>
          <w:tcPr>
            <w:tcW w:w="7300" w:type="dxa"/>
            <w:vAlign w:val="bottom"/>
            <w:gridSpan w:val="21"/>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r>
      <w:tr>
        <w:trPr>
          <w:trHeight w:val="20"/>
        </w:trPr>
        <w:tc>
          <w:tcPr>
            <w:tcW w:w="7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10"/>
        </w:trPr>
        <w:tc>
          <w:tcPr>
            <w:tcW w:w="1120" w:type="dxa"/>
            <w:vAlign w:val="bottom"/>
            <w:gridSpan w:val="5"/>
          </w:tcPr>
          <w:p>
            <w:pPr>
              <w:spacing w:after="0"/>
              <w:rPr>
                <w:sz w:val="20"/>
                <w:szCs w:val="20"/>
                <w:color w:val="auto"/>
              </w:rPr>
            </w:pPr>
            <w:r>
              <w:rPr>
                <w:rFonts w:ascii="Arial" w:cs="Arial" w:eastAsia="Arial" w:hAnsi="Arial"/>
                <w:sz w:val="18"/>
                <w:szCs w:val="18"/>
                <w:color w:val="auto"/>
              </w:rPr>
              <w:t>Item 1A.</w:t>
            </w:r>
          </w:p>
        </w:tc>
        <w:tc>
          <w:tcPr>
            <w:tcW w:w="92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Risk Factors</w:t>
              </w:r>
            </w:hyperlink>
          </w:p>
        </w:tc>
        <w:tc>
          <w:tcPr>
            <w:tcW w:w="6380" w:type="dxa"/>
            <w:vAlign w:val="bottom"/>
            <w:gridSpan w:val="17"/>
          </w:tcPr>
          <w:p>
            <w:pPr>
              <w:spacing w:after="0"/>
              <w:rPr>
                <w:sz w:val="18"/>
                <w:szCs w:val="18"/>
                <w:color w:val="auto"/>
              </w:rPr>
            </w:pPr>
          </w:p>
        </w:tc>
      </w:tr>
      <w:tr>
        <w:trPr>
          <w:trHeight w:val="210"/>
        </w:trPr>
        <w:tc>
          <w:tcPr>
            <w:tcW w:w="1120" w:type="dxa"/>
            <w:vAlign w:val="bottom"/>
            <w:gridSpan w:val="5"/>
          </w:tcPr>
          <w:p>
            <w:pPr>
              <w:spacing w:after="0"/>
              <w:rPr>
                <w:sz w:val="20"/>
                <w:szCs w:val="20"/>
                <w:color w:val="auto"/>
              </w:rPr>
            </w:pPr>
            <w:r>
              <w:rPr>
                <w:rFonts w:ascii="Arial" w:cs="Arial" w:eastAsia="Arial" w:hAnsi="Arial"/>
                <w:sz w:val="18"/>
                <w:szCs w:val="18"/>
                <w:color w:val="auto"/>
              </w:rPr>
              <w:t>Item 1B.</w:t>
            </w:r>
          </w:p>
        </w:tc>
        <w:tc>
          <w:tcPr>
            <w:tcW w:w="2060" w:type="dxa"/>
            <w:vAlign w:val="bottom"/>
            <w:tcBorders>
              <w:bottom w:val="single" w:sz="8" w:color="0000EE"/>
            </w:tcBorders>
            <w:gridSpan w:val="11"/>
          </w:tcPr>
          <w:p>
            <w:pPr>
              <w:spacing w:after="0"/>
              <w:rPr>
                <w:rFonts w:ascii="Arial" w:cs="Arial" w:eastAsia="Arial" w:hAnsi="Arial"/>
                <w:sz w:val="18"/>
                <w:szCs w:val="18"/>
                <w:color w:val="0000EE"/>
                <w:w w:val="90"/>
              </w:rPr>
            </w:pPr>
            <w:hyperlink w:anchor="page18">
              <w:r>
                <w:rPr>
                  <w:rFonts w:ascii="Arial" w:cs="Arial" w:eastAsia="Arial" w:hAnsi="Arial"/>
                  <w:sz w:val="18"/>
                  <w:szCs w:val="18"/>
                  <w:color w:val="0000EE"/>
                  <w:w w:val="90"/>
                </w:rPr>
                <w:t>Unresolved Staff Comments</w:t>
              </w:r>
            </w:hyperlink>
          </w:p>
        </w:tc>
        <w:tc>
          <w:tcPr>
            <w:tcW w:w="5240" w:type="dxa"/>
            <w:vAlign w:val="bottom"/>
            <w:gridSpan w:val="10"/>
          </w:tcPr>
          <w:p>
            <w:pPr>
              <w:spacing w:after="0"/>
              <w:rPr>
                <w:sz w:val="18"/>
                <w:szCs w:val="18"/>
                <w:color w:val="auto"/>
              </w:rPr>
            </w:pPr>
          </w:p>
        </w:tc>
      </w:tr>
      <w:tr>
        <w:trPr>
          <w:trHeight w:val="210"/>
        </w:trPr>
        <w:tc>
          <w:tcPr>
            <w:tcW w:w="1120" w:type="dxa"/>
            <w:vAlign w:val="bottom"/>
            <w:gridSpan w:val="5"/>
          </w:tcPr>
          <w:p>
            <w:pPr>
              <w:spacing w:after="0"/>
              <w:rPr>
                <w:sz w:val="20"/>
                <w:szCs w:val="20"/>
                <w:color w:val="auto"/>
              </w:rPr>
            </w:pPr>
            <w:r>
              <w:rPr>
                <w:rFonts w:ascii="Arial" w:cs="Arial" w:eastAsia="Arial" w:hAnsi="Arial"/>
                <w:sz w:val="18"/>
                <w:szCs w:val="18"/>
                <w:color w:val="auto"/>
              </w:rPr>
              <w:t>Item 2.</w:t>
            </w:r>
          </w:p>
        </w:tc>
        <w:tc>
          <w:tcPr>
            <w:tcW w:w="740" w:type="dxa"/>
            <w:vAlign w:val="bottom"/>
            <w:tcBorders>
              <w:bottom w:val="single" w:sz="8" w:color="0000EE"/>
            </w:tcBorders>
            <w:gridSpan w:val="3"/>
          </w:tcPr>
          <w:p>
            <w:pPr>
              <w:spacing w:after="0"/>
              <w:rPr>
                <w:rFonts w:ascii="Arial" w:cs="Arial" w:eastAsia="Arial" w:hAnsi="Arial"/>
                <w:sz w:val="18"/>
                <w:szCs w:val="18"/>
                <w:color w:val="0000EE"/>
                <w:w w:val="87"/>
              </w:rPr>
            </w:pPr>
            <w:hyperlink w:anchor="page18">
              <w:r>
                <w:rPr>
                  <w:rFonts w:ascii="Arial" w:cs="Arial" w:eastAsia="Arial" w:hAnsi="Arial"/>
                  <w:sz w:val="18"/>
                  <w:szCs w:val="18"/>
                  <w:color w:val="0000EE"/>
                  <w:w w:val="87"/>
                </w:rPr>
                <w:t>Properties</w:t>
              </w:r>
            </w:hyperlink>
          </w:p>
        </w:tc>
        <w:tc>
          <w:tcPr>
            <w:tcW w:w="6560" w:type="dxa"/>
            <w:vAlign w:val="bottom"/>
            <w:gridSpan w:val="18"/>
          </w:tcPr>
          <w:p>
            <w:pPr>
              <w:spacing w:after="0"/>
              <w:rPr>
                <w:sz w:val="18"/>
                <w:szCs w:val="18"/>
                <w:color w:val="auto"/>
              </w:rPr>
            </w:pPr>
          </w:p>
        </w:tc>
      </w:tr>
      <w:tr>
        <w:trPr>
          <w:trHeight w:val="210"/>
        </w:trPr>
        <w:tc>
          <w:tcPr>
            <w:tcW w:w="1120" w:type="dxa"/>
            <w:vAlign w:val="bottom"/>
            <w:gridSpan w:val="5"/>
          </w:tcPr>
          <w:p>
            <w:pPr>
              <w:spacing w:after="0"/>
              <w:rPr>
                <w:sz w:val="20"/>
                <w:szCs w:val="20"/>
                <w:color w:val="auto"/>
              </w:rPr>
            </w:pPr>
            <w:r>
              <w:rPr>
                <w:rFonts w:ascii="Arial" w:cs="Arial" w:eastAsia="Arial" w:hAnsi="Arial"/>
                <w:sz w:val="18"/>
                <w:szCs w:val="18"/>
                <w:color w:val="auto"/>
              </w:rPr>
              <w:t>Item 3.</w:t>
            </w:r>
          </w:p>
        </w:tc>
        <w:tc>
          <w:tcPr>
            <w:tcW w:w="7300" w:type="dxa"/>
            <w:vAlign w:val="bottom"/>
            <w:gridSpan w:val="21"/>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Legal Proceedings</w:t>
              </w:r>
            </w:hyperlink>
          </w:p>
        </w:tc>
      </w:tr>
      <w:tr>
        <w:trPr>
          <w:trHeight w:val="20"/>
        </w:trPr>
        <w:tc>
          <w:tcPr>
            <w:tcW w:w="7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20" w:type="dxa"/>
            <w:vAlign w:val="bottom"/>
            <w:tcBorders>
              <w:right w:val="single" w:sz="8" w:color="0000EE"/>
            </w:tcBorders>
            <w:gridSpan w:val="4"/>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10"/>
        </w:trPr>
        <w:tc>
          <w:tcPr>
            <w:tcW w:w="1120" w:type="dxa"/>
            <w:vAlign w:val="bottom"/>
            <w:gridSpan w:val="5"/>
          </w:tcPr>
          <w:p>
            <w:pPr>
              <w:spacing w:after="0"/>
              <w:rPr>
                <w:sz w:val="20"/>
                <w:szCs w:val="20"/>
                <w:color w:val="auto"/>
              </w:rPr>
            </w:pPr>
            <w:r>
              <w:rPr>
                <w:rFonts w:ascii="Arial" w:cs="Arial" w:eastAsia="Arial" w:hAnsi="Arial"/>
                <w:sz w:val="18"/>
                <w:szCs w:val="18"/>
                <w:color w:val="auto"/>
              </w:rPr>
              <w:t>Item 4.</w:t>
            </w:r>
          </w:p>
        </w:tc>
        <w:tc>
          <w:tcPr>
            <w:tcW w:w="7300" w:type="dxa"/>
            <w:vAlign w:val="bottom"/>
            <w:gridSpan w:val="21"/>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Mine Safety Disclosures</w:t>
              </w:r>
            </w:hyperlink>
          </w:p>
        </w:tc>
      </w:tr>
      <w:tr>
        <w:trPr>
          <w:trHeight w:val="331"/>
        </w:trPr>
        <w:tc>
          <w:tcPr>
            <w:tcW w:w="1120" w:type="dxa"/>
            <w:vAlign w:val="bottom"/>
            <w:gridSpan w:val="5"/>
          </w:tcPr>
          <w:p>
            <w:pPr>
              <w:spacing w:after="0"/>
              <w:rPr>
                <w:rFonts w:ascii="Arial" w:cs="Arial" w:eastAsia="Arial" w:hAnsi="Arial"/>
                <w:sz w:val="18"/>
                <w:szCs w:val="18"/>
                <w:b w:val="1"/>
                <w:bCs w:val="1"/>
                <w:color w:val="0000EE"/>
              </w:rPr>
            </w:pPr>
            <w:hyperlink w:anchor="page20">
              <w:r>
                <w:rPr>
                  <w:rFonts w:ascii="Arial" w:cs="Arial" w:eastAsia="Arial" w:hAnsi="Arial"/>
                  <w:sz w:val="18"/>
                  <w:szCs w:val="18"/>
                  <w:b w:val="1"/>
                  <w:bCs w:val="1"/>
                  <w:color w:val="0000EE"/>
                </w:rPr>
                <w:t>PART II.</w:t>
              </w:r>
            </w:hyperlink>
          </w:p>
        </w:tc>
        <w:tc>
          <w:tcPr>
            <w:tcW w:w="2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318"/>
        </w:trPr>
        <w:tc>
          <w:tcPr>
            <w:tcW w:w="70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rPr>
              <w:t>Item 5.</w:t>
            </w:r>
          </w:p>
        </w:tc>
        <w:tc>
          <w:tcPr>
            <w:tcW w:w="420" w:type="dxa"/>
            <w:vAlign w:val="bottom"/>
            <w:gridSpan w:val="3"/>
          </w:tcPr>
          <w:p>
            <w:pPr>
              <w:spacing w:after="0"/>
              <w:rPr>
                <w:sz w:val="24"/>
                <w:szCs w:val="24"/>
                <w:color w:val="auto"/>
              </w:rPr>
            </w:pPr>
          </w:p>
        </w:tc>
        <w:tc>
          <w:tcPr>
            <w:tcW w:w="7300" w:type="dxa"/>
            <w:vAlign w:val="bottom"/>
            <w:gridSpan w:val="21"/>
          </w:tcPr>
          <w:p>
            <w:pPr>
              <w:spacing w:after="0"/>
              <w:rPr>
                <w:rFonts w:ascii="Arial" w:cs="Arial" w:eastAsia="Arial" w:hAnsi="Arial"/>
                <w:sz w:val="18"/>
                <w:szCs w:val="18"/>
                <w:color w:val="0000EE"/>
                <w:w w:val="97"/>
              </w:rPr>
            </w:pPr>
            <w:hyperlink w:anchor="page20">
              <w:r>
                <w:rPr>
                  <w:rFonts w:ascii="Arial" w:cs="Arial" w:eastAsia="Arial" w:hAnsi="Arial"/>
                  <w:sz w:val="18"/>
                  <w:szCs w:val="18"/>
                  <w:color w:val="0000EE"/>
                  <w:w w:val="97"/>
                </w:rPr>
                <w:t>Market for Registrant’s Common Equity, Related Stockholder Matters and Issuer Purchases of</w:t>
              </w:r>
            </w:hyperlink>
          </w:p>
        </w:tc>
      </w:tr>
      <w:tr>
        <w:trPr>
          <w:trHeight w:val="196"/>
        </w:trPr>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2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0"/>
              </w:rPr>
            </w:pPr>
            <w:hyperlink w:anchor="page20">
              <w:r>
                <w:rPr>
                  <w:rFonts w:ascii="Arial" w:cs="Arial" w:eastAsia="Arial" w:hAnsi="Arial"/>
                  <w:sz w:val="18"/>
                  <w:szCs w:val="18"/>
                  <w:color w:val="0000EE"/>
                  <w:w w:val="90"/>
                </w:rPr>
                <w:t>Equity Securities</w:t>
              </w:r>
            </w:hyperlink>
          </w:p>
        </w:tc>
        <w:tc>
          <w:tcPr>
            <w:tcW w:w="5340" w:type="dxa"/>
            <w:vAlign w:val="bottom"/>
            <w:tcBorders>
              <w:top w:val="single" w:sz="8" w:color="0000EE"/>
            </w:tcBorders>
            <w:gridSpan w:val="14"/>
          </w:tcPr>
          <w:p>
            <w:pPr>
              <w:spacing w:after="0"/>
              <w:rPr>
                <w:sz w:val="17"/>
                <w:szCs w:val="17"/>
                <w:color w:val="auto"/>
              </w:rPr>
            </w:pPr>
          </w:p>
        </w:tc>
        <w:tc>
          <w:tcPr>
            <w:tcW w:w="500" w:type="dxa"/>
            <w:vAlign w:val="bottom"/>
          </w:tcPr>
          <w:p>
            <w:pPr>
              <w:spacing w:after="0"/>
              <w:rPr>
                <w:sz w:val="17"/>
                <w:szCs w:val="17"/>
                <w:color w:val="auto"/>
              </w:rPr>
            </w:pPr>
          </w:p>
        </w:tc>
      </w:tr>
      <w:tr>
        <w:trPr>
          <w:trHeight w:val="196"/>
        </w:trPr>
        <w:tc>
          <w:tcPr>
            <w:tcW w:w="1120" w:type="dxa"/>
            <w:vAlign w:val="bottom"/>
            <w:gridSpan w:val="5"/>
          </w:tcPr>
          <w:p>
            <w:pPr>
              <w:spacing w:after="0" w:line="196" w:lineRule="exact"/>
              <w:rPr>
                <w:sz w:val="20"/>
                <w:szCs w:val="20"/>
                <w:color w:val="auto"/>
              </w:rPr>
            </w:pPr>
            <w:r>
              <w:rPr>
                <w:rFonts w:ascii="Arial" w:cs="Arial" w:eastAsia="Arial" w:hAnsi="Arial"/>
                <w:sz w:val="18"/>
                <w:szCs w:val="18"/>
                <w:color w:val="auto"/>
              </w:rPr>
              <w:t>Item 6.</w:t>
            </w:r>
          </w:p>
        </w:tc>
        <w:tc>
          <w:tcPr>
            <w:tcW w:w="172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23">
              <w:r>
                <w:rPr>
                  <w:rFonts w:ascii="Arial" w:cs="Arial" w:eastAsia="Arial" w:hAnsi="Arial"/>
                  <w:sz w:val="18"/>
                  <w:szCs w:val="18"/>
                  <w:color w:val="0000EE"/>
                  <w:w w:val="89"/>
                </w:rPr>
                <w:t>Selected Financial Data</w:t>
              </w:r>
            </w:hyperlink>
          </w:p>
        </w:tc>
        <w:tc>
          <w:tcPr>
            <w:tcW w:w="5580" w:type="dxa"/>
            <w:vAlign w:val="bottom"/>
            <w:gridSpan w:val="13"/>
          </w:tcPr>
          <w:p>
            <w:pPr>
              <w:spacing w:after="0"/>
              <w:rPr>
                <w:sz w:val="17"/>
                <w:szCs w:val="17"/>
                <w:color w:val="auto"/>
              </w:rPr>
            </w:pPr>
          </w:p>
        </w:tc>
      </w:tr>
      <w:tr>
        <w:trPr>
          <w:trHeight w:val="210"/>
        </w:trPr>
        <w:tc>
          <w:tcPr>
            <w:tcW w:w="1120" w:type="dxa"/>
            <w:vAlign w:val="bottom"/>
            <w:gridSpan w:val="5"/>
          </w:tcPr>
          <w:p>
            <w:pPr>
              <w:spacing w:after="0"/>
              <w:rPr>
                <w:sz w:val="20"/>
                <w:szCs w:val="20"/>
                <w:color w:val="auto"/>
              </w:rPr>
            </w:pPr>
            <w:r>
              <w:rPr>
                <w:rFonts w:ascii="Arial" w:cs="Arial" w:eastAsia="Arial" w:hAnsi="Arial"/>
                <w:sz w:val="18"/>
                <w:szCs w:val="18"/>
                <w:color w:val="auto"/>
              </w:rPr>
              <w:t>Item 7.</w:t>
            </w:r>
          </w:p>
        </w:tc>
        <w:tc>
          <w:tcPr>
            <w:tcW w:w="7300" w:type="dxa"/>
            <w:vAlign w:val="bottom"/>
            <w:gridSpan w:val="21"/>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Management’s Discussion and Analysis of Financial Condition and Results of Operations</w:t>
              </w:r>
            </w:hyperlink>
          </w:p>
        </w:tc>
      </w:tr>
      <w:tr>
        <w:trPr>
          <w:trHeight w:val="210"/>
        </w:trPr>
        <w:tc>
          <w:tcPr>
            <w:tcW w:w="1120" w:type="dxa"/>
            <w:vAlign w:val="bottom"/>
            <w:gridSpan w:val="5"/>
          </w:tcPr>
          <w:p>
            <w:pPr>
              <w:spacing w:after="0"/>
              <w:rPr>
                <w:sz w:val="20"/>
                <w:szCs w:val="20"/>
                <w:color w:val="auto"/>
              </w:rPr>
            </w:pPr>
            <w:r>
              <w:rPr>
                <w:rFonts w:ascii="Arial" w:cs="Arial" w:eastAsia="Arial" w:hAnsi="Arial"/>
                <w:sz w:val="18"/>
                <w:szCs w:val="18"/>
                <w:color w:val="auto"/>
              </w:rPr>
              <w:t>Item 7A.</w:t>
            </w:r>
          </w:p>
        </w:tc>
        <w:tc>
          <w:tcPr>
            <w:tcW w:w="6460" w:type="dxa"/>
            <w:vAlign w:val="bottom"/>
            <w:tcBorders>
              <w:top w:val="single" w:sz="8" w:color="0000EE"/>
            </w:tcBorders>
            <w:gridSpan w:val="18"/>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Quantitative and Qualitative Disclosures About Market Risk</w:t>
              </w:r>
            </w:hyperlink>
          </w:p>
        </w:tc>
        <w:tc>
          <w:tcPr>
            <w:tcW w:w="840" w:type="dxa"/>
            <w:vAlign w:val="bottom"/>
            <w:gridSpan w:val="3"/>
          </w:tcPr>
          <w:p>
            <w:pPr>
              <w:spacing w:after="0"/>
              <w:rPr>
                <w:sz w:val="18"/>
                <w:szCs w:val="18"/>
                <w:color w:val="auto"/>
              </w:rPr>
            </w:pPr>
          </w:p>
        </w:tc>
      </w:tr>
      <w:tr>
        <w:trPr>
          <w:trHeight w:val="210"/>
        </w:trPr>
        <w:tc>
          <w:tcPr>
            <w:tcW w:w="1120" w:type="dxa"/>
            <w:vAlign w:val="bottom"/>
            <w:gridSpan w:val="5"/>
          </w:tcPr>
          <w:p>
            <w:pPr>
              <w:spacing w:after="0"/>
              <w:rPr>
                <w:sz w:val="20"/>
                <w:szCs w:val="20"/>
                <w:color w:val="auto"/>
              </w:rPr>
            </w:pPr>
            <w:r>
              <w:rPr>
                <w:rFonts w:ascii="Arial" w:cs="Arial" w:eastAsia="Arial" w:hAnsi="Arial"/>
                <w:sz w:val="18"/>
                <w:szCs w:val="18"/>
                <w:color w:val="auto"/>
              </w:rPr>
              <w:t>Item 8.</w:t>
            </w:r>
          </w:p>
        </w:tc>
        <w:tc>
          <w:tcPr>
            <w:tcW w:w="3340" w:type="dxa"/>
            <w:vAlign w:val="bottom"/>
            <w:tcBorders>
              <w:top w:val="single" w:sz="8" w:color="0000EE"/>
              <w:bottom w:val="single" w:sz="8" w:color="0000EE"/>
            </w:tcBorders>
            <w:gridSpan w:val="14"/>
          </w:tcPr>
          <w:p>
            <w:pPr>
              <w:spacing w:after="0"/>
              <w:rPr>
                <w:rFonts w:ascii="Arial" w:cs="Arial" w:eastAsia="Arial" w:hAnsi="Arial"/>
                <w:sz w:val="18"/>
                <w:szCs w:val="18"/>
                <w:color w:val="0000EE"/>
                <w:w w:val="89"/>
              </w:rPr>
            </w:pPr>
            <w:hyperlink w:anchor="page47">
              <w:r>
                <w:rPr>
                  <w:rFonts w:ascii="Arial" w:cs="Arial" w:eastAsia="Arial" w:hAnsi="Arial"/>
                  <w:sz w:val="18"/>
                  <w:szCs w:val="18"/>
                  <w:color w:val="0000EE"/>
                  <w:w w:val="89"/>
                </w:rPr>
                <w:t>Financial Statements and Supplementary Data</w:t>
              </w:r>
            </w:hyperlink>
          </w:p>
        </w:tc>
        <w:tc>
          <w:tcPr>
            <w:tcW w:w="1020" w:type="dxa"/>
            <w:vAlign w:val="bottom"/>
            <w:tcBorders>
              <w:top w:val="single" w:sz="8" w:color="0000EE"/>
            </w:tcBorders>
            <w:gridSpan w:val="2"/>
          </w:tcPr>
          <w:p>
            <w:pPr>
              <w:spacing w:after="0"/>
              <w:rPr>
                <w:sz w:val="18"/>
                <w:szCs w:val="18"/>
                <w:color w:val="auto"/>
              </w:rPr>
            </w:pPr>
          </w:p>
        </w:tc>
        <w:tc>
          <w:tcPr>
            <w:tcW w:w="2940" w:type="dxa"/>
            <w:vAlign w:val="bottom"/>
            <w:gridSpan w:val="5"/>
          </w:tcPr>
          <w:p>
            <w:pPr>
              <w:spacing w:after="0"/>
              <w:rPr>
                <w:sz w:val="18"/>
                <w:szCs w:val="18"/>
                <w:color w:val="auto"/>
              </w:rPr>
            </w:pPr>
          </w:p>
        </w:tc>
      </w:tr>
      <w:tr>
        <w:trPr>
          <w:trHeight w:val="210"/>
        </w:trPr>
        <w:tc>
          <w:tcPr>
            <w:tcW w:w="1120" w:type="dxa"/>
            <w:vAlign w:val="bottom"/>
            <w:gridSpan w:val="5"/>
          </w:tcPr>
          <w:p>
            <w:pPr>
              <w:spacing w:after="0"/>
              <w:rPr>
                <w:sz w:val="20"/>
                <w:szCs w:val="20"/>
                <w:color w:val="auto"/>
              </w:rPr>
            </w:pPr>
            <w:r>
              <w:rPr>
                <w:rFonts w:ascii="Arial" w:cs="Arial" w:eastAsia="Arial" w:hAnsi="Arial"/>
                <w:sz w:val="18"/>
                <w:szCs w:val="18"/>
                <w:color w:val="auto"/>
              </w:rPr>
              <w:t>Item 9.</w:t>
            </w:r>
          </w:p>
        </w:tc>
        <w:tc>
          <w:tcPr>
            <w:tcW w:w="7300" w:type="dxa"/>
            <w:vAlign w:val="bottom"/>
            <w:gridSpan w:val="21"/>
          </w:tcPr>
          <w:p>
            <w:pPr>
              <w:spacing w:after="0"/>
              <w:rPr>
                <w:rFonts w:ascii="Arial" w:cs="Arial" w:eastAsia="Arial" w:hAnsi="Arial"/>
                <w:sz w:val="18"/>
                <w:szCs w:val="18"/>
                <w:color w:val="0000EE"/>
              </w:rPr>
            </w:pPr>
            <w:hyperlink w:anchor="page87">
              <w:r>
                <w:rPr>
                  <w:rFonts w:ascii="Arial" w:cs="Arial" w:eastAsia="Arial" w:hAnsi="Arial"/>
                  <w:sz w:val="18"/>
                  <w:szCs w:val="18"/>
                  <w:color w:val="0000EE"/>
                </w:rPr>
                <w:t>Changes in and Disagreements With Accountants on Accounting and Financial Disclosure</w:t>
              </w:r>
            </w:hyperlink>
          </w:p>
        </w:tc>
      </w:tr>
      <w:tr>
        <w:trPr>
          <w:trHeight w:val="210"/>
        </w:trPr>
        <w:tc>
          <w:tcPr>
            <w:tcW w:w="1120" w:type="dxa"/>
            <w:vAlign w:val="bottom"/>
            <w:gridSpan w:val="5"/>
          </w:tcPr>
          <w:p>
            <w:pPr>
              <w:spacing w:after="0"/>
              <w:rPr>
                <w:sz w:val="20"/>
                <w:szCs w:val="20"/>
                <w:color w:val="auto"/>
              </w:rPr>
            </w:pPr>
            <w:r>
              <w:rPr>
                <w:rFonts w:ascii="Arial" w:cs="Arial" w:eastAsia="Arial" w:hAnsi="Arial"/>
                <w:sz w:val="18"/>
                <w:szCs w:val="18"/>
                <w:color w:val="auto"/>
              </w:rPr>
              <w:t>Item 9A.</w:t>
            </w:r>
          </w:p>
        </w:tc>
        <w:tc>
          <w:tcPr>
            <w:tcW w:w="178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88"/>
              </w:rPr>
            </w:pPr>
            <w:hyperlink w:anchor="page87">
              <w:r>
                <w:rPr>
                  <w:rFonts w:ascii="Arial" w:cs="Arial" w:eastAsia="Arial" w:hAnsi="Arial"/>
                  <w:sz w:val="18"/>
                  <w:szCs w:val="18"/>
                  <w:color w:val="0000EE"/>
                  <w:w w:val="88"/>
                </w:rPr>
                <w:t>Controls and Procedures</w:t>
              </w:r>
            </w:hyperlink>
          </w:p>
        </w:tc>
        <w:tc>
          <w:tcPr>
            <w:tcW w:w="4740" w:type="dxa"/>
            <w:vAlign w:val="bottom"/>
            <w:tcBorders>
              <w:top w:val="single" w:sz="8" w:color="0000EE"/>
            </w:tcBorders>
            <w:gridSpan w:val="10"/>
          </w:tcPr>
          <w:p>
            <w:pPr>
              <w:spacing w:after="0"/>
              <w:rPr>
                <w:sz w:val="18"/>
                <w:szCs w:val="18"/>
                <w:color w:val="auto"/>
              </w:rPr>
            </w:pPr>
          </w:p>
        </w:tc>
        <w:tc>
          <w:tcPr>
            <w:tcW w:w="780" w:type="dxa"/>
            <w:vAlign w:val="bottom"/>
            <w:gridSpan w:val="2"/>
          </w:tcPr>
          <w:p>
            <w:pPr>
              <w:spacing w:after="0"/>
              <w:rPr>
                <w:sz w:val="18"/>
                <w:szCs w:val="18"/>
                <w:color w:val="auto"/>
              </w:rPr>
            </w:pPr>
          </w:p>
        </w:tc>
      </w:tr>
      <w:tr>
        <w:trPr>
          <w:trHeight w:val="210"/>
        </w:trPr>
        <w:tc>
          <w:tcPr>
            <w:tcW w:w="1120" w:type="dxa"/>
            <w:vAlign w:val="bottom"/>
            <w:gridSpan w:val="5"/>
          </w:tcPr>
          <w:p>
            <w:pPr>
              <w:spacing w:after="0"/>
              <w:rPr>
                <w:sz w:val="20"/>
                <w:szCs w:val="20"/>
                <w:color w:val="auto"/>
              </w:rPr>
            </w:pPr>
            <w:r>
              <w:rPr>
                <w:rFonts w:ascii="Arial" w:cs="Arial" w:eastAsia="Arial" w:hAnsi="Arial"/>
                <w:sz w:val="18"/>
                <w:szCs w:val="18"/>
                <w:color w:val="auto"/>
              </w:rPr>
              <w:t>Item 9B.</w:t>
            </w:r>
          </w:p>
        </w:tc>
        <w:tc>
          <w:tcPr>
            <w:tcW w:w="7300" w:type="dxa"/>
            <w:vAlign w:val="bottom"/>
            <w:gridSpan w:val="21"/>
          </w:tcPr>
          <w:p>
            <w:pPr>
              <w:spacing w:after="0"/>
              <w:rPr>
                <w:rFonts w:ascii="Arial" w:cs="Arial" w:eastAsia="Arial" w:hAnsi="Arial"/>
                <w:sz w:val="18"/>
                <w:szCs w:val="18"/>
                <w:color w:val="0000EE"/>
              </w:rPr>
            </w:pPr>
            <w:hyperlink w:anchor="page89">
              <w:r>
                <w:rPr>
                  <w:rFonts w:ascii="Arial" w:cs="Arial" w:eastAsia="Arial" w:hAnsi="Arial"/>
                  <w:sz w:val="18"/>
                  <w:szCs w:val="18"/>
                  <w:color w:val="0000EE"/>
                </w:rPr>
                <w:t>Other Information</w:t>
              </w:r>
            </w:hyperlink>
          </w:p>
        </w:tc>
      </w:tr>
      <w:tr>
        <w:trPr>
          <w:trHeight w:val="331"/>
        </w:trPr>
        <w:tc>
          <w:tcPr>
            <w:tcW w:w="780" w:type="dxa"/>
            <w:vAlign w:val="bottom"/>
            <w:tcBorders>
              <w:bottom w:val="single" w:sz="8" w:color="0000EE"/>
            </w:tcBorders>
            <w:gridSpan w:val="4"/>
          </w:tcPr>
          <w:p>
            <w:pPr>
              <w:spacing w:after="0"/>
              <w:rPr>
                <w:rFonts w:ascii="Arial" w:cs="Arial" w:eastAsia="Arial" w:hAnsi="Arial"/>
                <w:sz w:val="18"/>
                <w:szCs w:val="18"/>
                <w:b w:val="1"/>
                <w:bCs w:val="1"/>
                <w:color w:val="0000EE"/>
              </w:rPr>
            </w:pPr>
            <w:hyperlink w:anchor="page89">
              <w:r>
                <w:rPr>
                  <w:rFonts w:ascii="Arial" w:cs="Arial" w:eastAsia="Arial" w:hAnsi="Arial"/>
                  <w:sz w:val="18"/>
                  <w:szCs w:val="18"/>
                  <w:b w:val="1"/>
                  <w:bCs w:val="1"/>
                  <w:color w:val="0000EE"/>
                </w:rPr>
                <w:t>PART III.</w:t>
              </w:r>
            </w:hyperlink>
          </w:p>
        </w:tc>
        <w:tc>
          <w:tcPr>
            <w:tcW w:w="340" w:type="dxa"/>
            <w:vAlign w:val="bottom"/>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318"/>
        </w:trPr>
        <w:tc>
          <w:tcPr>
            <w:tcW w:w="1120" w:type="dxa"/>
            <w:vAlign w:val="bottom"/>
            <w:gridSpan w:val="5"/>
          </w:tcPr>
          <w:p>
            <w:pPr>
              <w:spacing w:after="0"/>
              <w:rPr>
                <w:sz w:val="20"/>
                <w:szCs w:val="20"/>
                <w:color w:val="auto"/>
              </w:rPr>
            </w:pPr>
            <w:r>
              <w:rPr>
                <w:rFonts w:ascii="Arial" w:cs="Arial" w:eastAsia="Arial" w:hAnsi="Arial"/>
                <w:sz w:val="18"/>
                <w:szCs w:val="18"/>
                <w:color w:val="auto"/>
              </w:rPr>
              <w:t>Item 10.</w:t>
            </w:r>
          </w:p>
        </w:tc>
        <w:tc>
          <w:tcPr>
            <w:tcW w:w="7300" w:type="dxa"/>
            <w:vAlign w:val="bottom"/>
            <w:gridSpan w:val="21"/>
          </w:tcPr>
          <w:p>
            <w:pPr>
              <w:spacing w:after="0"/>
              <w:rPr>
                <w:rFonts w:ascii="Arial" w:cs="Arial" w:eastAsia="Arial" w:hAnsi="Arial"/>
                <w:sz w:val="18"/>
                <w:szCs w:val="18"/>
                <w:color w:val="0000EE"/>
              </w:rPr>
            </w:pPr>
            <w:hyperlink w:anchor="page89">
              <w:r>
                <w:rPr>
                  <w:rFonts w:ascii="Arial" w:cs="Arial" w:eastAsia="Arial" w:hAnsi="Arial"/>
                  <w:sz w:val="18"/>
                  <w:szCs w:val="18"/>
                  <w:color w:val="0000EE"/>
                </w:rPr>
                <w:t>Directors, Executive Officers and Corporate Governance</w:t>
              </w:r>
            </w:hyperlink>
          </w:p>
        </w:tc>
      </w:tr>
      <w:tr>
        <w:trPr>
          <w:trHeight w:val="210"/>
        </w:trPr>
        <w:tc>
          <w:tcPr>
            <w:tcW w:w="1120" w:type="dxa"/>
            <w:vAlign w:val="bottom"/>
            <w:gridSpan w:val="5"/>
          </w:tcPr>
          <w:p>
            <w:pPr>
              <w:spacing w:after="0"/>
              <w:rPr>
                <w:sz w:val="20"/>
                <w:szCs w:val="20"/>
                <w:color w:val="auto"/>
              </w:rPr>
            </w:pPr>
            <w:r>
              <w:rPr>
                <w:rFonts w:ascii="Arial" w:cs="Arial" w:eastAsia="Arial" w:hAnsi="Arial"/>
                <w:sz w:val="18"/>
                <w:szCs w:val="18"/>
                <w:color w:val="auto"/>
              </w:rPr>
              <w:t>Item 11.</w:t>
            </w:r>
          </w:p>
        </w:tc>
        <w:tc>
          <w:tcPr>
            <w:tcW w:w="182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90"/>
              </w:rPr>
            </w:pPr>
            <w:hyperlink w:anchor="page89">
              <w:r>
                <w:rPr>
                  <w:rFonts w:ascii="Arial" w:cs="Arial" w:eastAsia="Arial" w:hAnsi="Arial"/>
                  <w:sz w:val="18"/>
                  <w:szCs w:val="18"/>
                  <w:color w:val="0000EE"/>
                  <w:w w:val="90"/>
                </w:rPr>
                <w:t>Executive Compensation</w:t>
              </w:r>
            </w:hyperlink>
          </w:p>
        </w:tc>
        <w:tc>
          <w:tcPr>
            <w:tcW w:w="2280" w:type="dxa"/>
            <w:vAlign w:val="bottom"/>
            <w:tcBorders>
              <w:top w:val="single" w:sz="8" w:color="0000EE"/>
            </w:tcBorders>
            <w:gridSpan w:val="5"/>
          </w:tcPr>
          <w:p>
            <w:pPr>
              <w:spacing w:after="0"/>
              <w:rPr>
                <w:sz w:val="18"/>
                <w:szCs w:val="18"/>
                <w:color w:val="auto"/>
              </w:rPr>
            </w:pPr>
          </w:p>
        </w:tc>
        <w:tc>
          <w:tcPr>
            <w:tcW w:w="3200" w:type="dxa"/>
            <w:vAlign w:val="bottom"/>
            <w:gridSpan w:val="6"/>
          </w:tcPr>
          <w:p>
            <w:pPr>
              <w:spacing w:after="0"/>
              <w:rPr>
                <w:sz w:val="18"/>
                <w:szCs w:val="18"/>
                <w:color w:val="auto"/>
              </w:rPr>
            </w:pPr>
          </w:p>
        </w:tc>
      </w:tr>
      <w:tr>
        <w:trPr>
          <w:trHeight w:val="210"/>
        </w:trPr>
        <w:tc>
          <w:tcPr>
            <w:tcW w:w="1120" w:type="dxa"/>
            <w:vAlign w:val="bottom"/>
            <w:gridSpan w:val="5"/>
          </w:tcPr>
          <w:p>
            <w:pPr>
              <w:spacing w:after="0"/>
              <w:rPr>
                <w:sz w:val="20"/>
                <w:szCs w:val="20"/>
                <w:color w:val="auto"/>
              </w:rPr>
            </w:pPr>
            <w:r>
              <w:rPr>
                <w:rFonts w:ascii="Arial" w:cs="Arial" w:eastAsia="Arial" w:hAnsi="Arial"/>
                <w:sz w:val="18"/>
                <w:szCs w:val="18"/>
                <w:color w:val="auto"/>
              </w:rPr>
              <w:t>Item 12.</w:t>
            </w:r>
          </w:p>
        </w:tc>
        <w:tc>
          <w:tcPr>
            <w:tcW w:w="7300" w:type="dxa"/>
            <w:vAlign w:val="bottom"/>
            <w:tcBorders>
              <w:bottom w:val="single" w:sz="8" w:color="0000EE"/>
            </w:tcBorders>
            <w:gridSpan w:val="21"/>
          </w:tcPr>
          <w:p>
            <w:pPr>
              <w:spacing w:after="0"/>
              <w:rPr>
                <w:rFonts w:ascii="Arial" w:cs="Arial" w:eastAsia="Arial" w:hAnsi="Arial"/>
                <w:sz w:val="18"/>
                <w:szCs w:val="18"/>
                <w:color w:val="0000EE"/>
                <w:w w:val="90"/>
              </w:rPr>
            </w:pPr>
            <w:hyperlink w:anchor="page89">
              <w:r>
                <w:rPr>
                  <w:rFonts w:ascii="Arial" w:cs="Arial" w:eastAsia="Arial" w:hAnsi="Arial"/>
                  <w:sz w:val="18"/>
                  <w:szCs w:val="18"/>
                  <w:color w:val="0000EE"/>
                  <w:w w:val="90"/>
                </w:rPr>
                <w:t>Security Ownership of Certain Beneficial Owners and Management and Related Stockholder Matters</w:t>
              </w:r>
            </w:hyperlink>
          </w:p>
        </w:tc>
      </w:tr>
      <w:tr>
        <w:trPr>
          <w:trHeight w:val="210"/>
        </w:trPr>
        <w:tc>
          <w:tcPr>
            <w:tcW w:w="1120" w:type="dxa"/>
            <w:vAlign w:val="bottom"/>
            <w:gridSpan w:val="5"/>
          </w:tcPr>
          <w:p>
            <w:pPr>
              <w:spacing w:after="0"/>
              <w:rPr>
                <w:sz w:val="20"/>
                <w:szCs w:val="20"/>
                <w:color w:val="auto"/>
              </w:rPr>
            </w:pPr>
            <w:r>
              <w:rPr>
                <w:rFonts w:ascii="Arial" w:cs="Arial" w:eastAsia="Arial" w:hAnsi="Arial"/>
                <w:sz w:val="18"/>
                <w:szCs w:val="18"/>
                <w:color w:val="auto"/>
              </w:rPr>
              <w:t>Item 13.</w:t>
            </w:r>
          </w:p>
        </w:tc>
        <w:tc>
          <w:tcPr>
            <w:tcW w:w="7300" w:type="dxa"/>
            <w:vAlign w:val="bottom"/>
            <w:gridSpan w:val="21"/>
          </w:tcPr>
          <w:p>
            <w:pPr>
              <w:spacing w:after="0"/>
              <w:rPr>
                <w:rFonts w:ascii="Arial" w:cs="Arial" w:eastAsia="Arial" w:hAnsi="Arial"/>
                <w:sz w:val="18"/>
                <w:szCs w:val="18"/>
                <w:color w:val="0000EE"/>
              </w:rPr>
            </w:pPr>
            <w:hyperlink w:anchor="page89">
              <w:r>
                <w:rPr>
                  <w:rFonts w:ascii="Arial" w:cs="Arial" w:eastAsia="Arial" w:hAnsi="Arial"/>
                  <w:sz w:val="18"/>
                  <w:szCs w:val="18"/>
                  <w:color w:val="0000EE"/>
                </w:rPr>
                <w:t>Certain Relationships and Related Transactions, and Director Independence</w:t>
              </w:r>
            </w:hyperlink>
          </w:p>
        </w:tc>
      </w:tr>
      <w:tr>
        <w:trPr>
          <w:trHeight w:val="210"/>
        </w:trPr>
        <w:tc>
          <w:tcPr>
            <w:tcW w:w="1120" w:type="dxa"/>
            <w:vAlign w:val="bottom"/>
            <w:gridSpan w:val="5"/>
          </w:tcPr>
          <w:p>
            <w:pPr>
              <w:spacing w:after="0"/>
              <w:rPr>
                <w:sz w:val="20"/>
                <w:szCs w:val="20"/>
                <w:color w:val="auto"/>
              </w:rPr>
            </w:pPr>
            <w:r>
              <w:rPr>
                <w:rFonts w:ascii="Arial" w:cs="Arial" w:eastAsia="Arial" w:hAnsi="Arial"/>
                <w:sz w:val="18"/>
                <w:szCs w:val="18"/>
                <w:color w:val="auto"/>
              </w:rPr>
              <w:t>Item 14.</w:t>
            </w:r>
          </w:p>
        </w:tc>
        <w:tc>
          <w:tcPr>
            <w:tcW w:w="5460" w:type="dxa"/>
            <w:vAlign w:val="bottom"/>
            <w:tcBorders>
              <w:top w:val="single" w:sz="8" w:color="0000EE"/>
            </w:tcBorders>
            <w:gridSpan w:val="17"/>
          </w:tcPr>
          <w:p>
            <w:pPr>
              <w:spacing w:after="0"/>
              <w:rPr>
                <w:rFonts w:ascii="Arial" w:cs="Arial" w:eastAsia="Arial" w:hAnsi="Arial"/>
                <w:sz w:val="18"/>
                <w:szCs w:val="18"/>
                <w:color w:val="0000EE"/>
              </w:rPr>
            </w:pPr>
            <w:hyperlink w:anchor="page89">
              <w:r>
                <w:rPr>
                  <w:rFonts w:ascii="Arial" w:cs="Arial" w:eastAsia="Arial" w:hAnsi="Arial"/>
                  <w:sz w:val="18"/>
                  <w:szCs w:val="18"/>
                  <w:color w:val="0000EE"/>
                </w:rPr>
                <w:t>Principal Accountant Fees and Services</w:t>
              </w:r>
            </w:hyperlink>
          </w:p>
        </w:tc>
        <w:tc>
          <w:tcPr>
            <w:tcW w:w="1840" w:type="dxa"/>
            <w:vAlign w:val="bottom"/>
            <w:gridSpan w:val="4"/>
          </w:tcPr>
          <w:p>
            <w:pPr>
              <w:spacing w:after="0"/>
              <w:rPr>
                <w:sz w:val="18"/>
                <w:szCs w:val="18"/>
                <w:color w:val="auto"/>
              </w:rPr>
            </w:pPr>
          </w:p>
        </w:tc>
      </w:tr>
      <w:tr>
        <w:trPr>
          <w:trHeight w:val="331"/>
        </w:trPr>
        <w:tc>
          <w:tcPr>
            <w:tcW w:w="1120" w:type="dxa"/>
            <w:vAlign w:val="bottom"/>
            <w:gridSpan w:val="5"/>
          </w:tcPr>
          <w:p>
            <w:pPr>
              <w:spacing w:after="0"/>
              <w:rPr>
                <w:rFonts w:ascii="Arial" w:cs="Arial" w:eastAsia="Arial" w:hAnsi="Arial"/>
                <w:sz w:val="18"/>
                <w:szCs w:val="18"/>
                <w:b w:val="1"/>
                <w:bCs w:val="1"/>
                <w:color w:val="0000EE"/>
              </w:rPr>
            </w:pPr>
            <w:hyperlink w:anchor="page90">
              <w:r>
                <w:rPr>
                  <w:rFonts w:ascii="Arial" w:cs="Arial" w:eastAsia="Arial" w:hAnsi="Arial"/>
                  <w:sz w:val="18"/>
                  <w:szCs w:val="18"/>
                  <w:b w:val="1"/>
                  <w:bCs w:val="1"/>
                  <w:color w:val="0000EE"/>
                </w:rPr>
                <w:t>PART IV.</w:t>
              </w:r>
            </w:hyperlink>
          </w:p>
        </w:tc>
        <w:tc>
          <w:tcPr>
            <w:tcW w:w="2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318"/>
        </w:trPr>
        <w:tc>
          <w:tcPr>
            <w:tcW w:w="74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auto"/>
              </w:rPr>
              <w:t>Item 15.</w:t>
            </w:r>
          </w:p>
        </w:tc>
        <w:tc>
          <w:tcPr>
            <w:tcW w:w="380" w:type="dxa"/>
            <w:vAlign w:val="bottom"/>
            <w:gridSpan w:val="2"/>
          </w:tcPr>
          <w:p>
            <w:pPr>
              <w:spacing w:after="0"/>
              <w:rPr>
                <w:sz w:val="24"/>
                <w:szCs w:val="24"/>
                <w:color w:val="auto"/>
              </w:rPr>
            </w:pPr>
          </w:p>
        </w:tc>
        <w:tc>
          <w:tcPr>
            <w:tcW w:w="7300" w:type="dxa"/>
            <w:vAlign w:val="bottom"/>
            <w:gridSpan w:val="21"/>
          </w:tcPr>
          <w:p>
            <w:pPr>
              <w:spacing w:after="0"/>
              <w:rPr>
                <w:rFonts w:ascii="Arial" w:cs="Arial" w:eastAsia="Arial" w:hAnsi="Arial"/>
                <w:sz w:val="18"/>
                <w:szCs w:val="18"/>
                <w:color w:val="0000EE"/>
              </w:rPr>
            </w:pPr>
            <w:hyperlink w:anchor="page90">
              <w:r>
                <w:rPr>
                  <w:rFonts w:ascii="Arial" w:cs="Arial" w:eastAsia="Arial" w:hAnsi="Arial"/>
                  <w:sz w:val="18"/>
                  <w:szCs w:val="18"/>
                  <w:color w:val="0000EE"/>
                </w:rPr>
                <w:t>Exhibits and Financial Statement Schedules</w:t>
              </w:r>
            </w:hyperlink>
          </w:p>
        </w:tc>
      </w:tr>
      <w:tr>
        <w:trPr>
          <w:trHeight w:val="345"/>
        </w:trPr>
        <w:tc>
          <w:tcPr>
            <w:tcW w:w="1120" w:type="dxa"/>
            <w:vAlign w:val="bottom"/>
            <w:gridSpan w:val="5"/>
          </w:tcPr>
          <w:p>
            <w:pPr>
              <w:spacing w:after="0"/>
              <w:rPr>
                <w:sz w:val="20"/>
                <w:szCs w:val="20"/>
                <w:color w:val="auto"/>
              </w:rPr>
            </w:pPr>
            <w:r>
              <w:rPr>
                <w:rFonts w:ascii="Arial" w:cs="Arial" w:eastAsia="Arial" w:hAnsi="Arial"/>
                <w:sz w:val="18"/>
                <w:szCs w:val="18"/>
                <w:color w:val="auto"/>
              </w:rPr>
              <w:t>Item 16.</w:t>
            </w:r>
          </w:p>
        </w:tc>
        <w:tc>
          <w:tcPr>
            <w:tcW w:w="156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2"/>
              </w:rPr>
            </w:pPr>
            <w:hyperlink w:anchor="page101">
              <w:r>
                <w:rPr>
                  <w:rFonts w:ascii="Arial" w:cs="Arial" w:eastAsia="Arial" w:hAnsi="Arial"/>
                  <w:sz w:val="18"/>
                  <w:szCs w:val="18"/>
                  <w:color w:val="0000EE"/>
                  <w:w w:val="92"/>
                </w:rPr>
                <w:t>Form 10-K Summary</w:t>
              </w:r>
            </w:hyperlink>
          </w:p>
        </w:tc>
        <w:tc>
          <w:tcPr>
            <w:tcW w:w="1600" w:type="dxa"/>
            <w:vAlign w:val="bottom"/>
            <w:tcBorders>
              <w:top w:val="single" w:sz="8" w:color="0000EE"/>
            </w:tcBorders>
            <w:gridSpan w:val="6"/>
          </w:tcPr>
          <w:p>
            <w:pPr>
              <w:spacing w:after="0"/>
              <w:rPr>
                <w:sz w:val="24"/>
                <w:szCs w:val="24"/>
                <w:color w:val="auto"/>
              </w:rPr>
            </w:pPr>
          </w:p>
        </w:tc>
        <w:tc>
          <w:tcPr>
            <w:tcW w:w="4140" w:type="dxa"/>
            <w:vAlign w:val="bottom"/>
            <w:gridSpan w:val="8"/>
          </w:tcPr>
          <w:p>
            <w:pPr>
              <w:spacing w:after="0"/>
              <w:rPr>
                <w:sz w:val="24"/>
                <w:szCs w:val="24"/>
                <w:color w:val="auto"/>
              </w:rPr>
            </w:pPr>
          </w:p>
        </w:tc>
      </w:tr>
    </w:tbl>
    <w:p>
      <w:pPr>
        <w:spacing w:after="0" w:line="144"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02">
        <w:r>
          <w:rPr>
            <w:rFonts w:ascii="Arial" w:cs="Arial" w:eastAsia="Arial" w:hAnsi="Arial"/>
            <w:sz w:val="18"/>
            <w:szCs w:val="18"/>
            <w:b w:val="1"/>
            <w:bCs w:val="1"/>
            <w:u w:val="single" w:color="auto"/>
            <w:color w:val="0000EE"/>
          </w:rPr>
          <w:t>SIGNATURES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767715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16</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16</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17</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17</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color w:val="auto"/>
        </w:rPr>
        <w:t>18</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21</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23</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43</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45</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85</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85</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87</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6"/>
          <w:szCs w:val="16"/>
          <w:color w:val="auto"/>
        </w:rPr>
        <w:t>87</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87</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87</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87</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87</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6"/>
          <w:szCs w:val="16"/>
          <w:color w:val="auto"/>
        </w:rPr>
        <w:t>88</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94</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95</w:t>
      </w:r>
    </w:p>
    <w:p>
      <w:pPr>
        <w:sectPr>
          <w:pgSz w:w="11900" w:h="16838" w:orient="portrait"/>
          <w:cols w:equalWidth="0" w:num="2">
            <w:col w:w="10520" w:space="720"/>
            <w:col w:w="180"/>
          </w:cols>
          <w:pgMar w:left="240" w:top="337"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w:t>
      </w:r>
    </w:p>
    <w:p>
      <w:pPr>
        <w:spacing w:after="0" w:line="11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We are a nationally recognized retailer of high-quality, branded merchandise at everyday low prices. We opened our first store in Burlington, New Jersey in 1972, selling primarily coats and outerwear. Since then, we have expanded our store base to 629 stores as of February 3, 2018, inclusive of an internet store, in 45 states and Puerto Rico, and diversified our product categories by offering an extensive selection of in-season, fashion-focused merchandise, including: women’s ready-to-wear apparel, accessories, footwear, menswear, youth apparel, baby, home, coats, beauty and gifts. We sell a broad selection of merchandise acquired directly from nationally recognized manufacturers and other suppliers. For the fiscal year ended February 3, 2018, we generated net sales of $6,084.8 million, and earned net income, Adjusted Net Income, Adjusted EBITDA and Adjusted EBIT (as defined in Part II, Item 7, Management’s Discussion and Analysis of Financial Condition and Results of Operations - Key Performance Measures) of $384.9 million, $405.8 million, $696.1 million and $518.3 million, respectively.</w:t>
      </w:r>
    </w:p>
    <w:p>
      <w:pPr>
        <w:spacing w:after="0" w:line="179" w:lineRule="exact"/>
        <w:rPr>
          <w:sz w:val="20"/>
          <w:szCs w:val="20"/>
          <w:color w:val="auto"/>
        </w:rPr>
      </w:pPr>
    </w:p>
    <w:p>
      <w:pPr>
        <w:ind w:right="20" w:firstLine="518"/>
        <w:spacing w:after="0" w:line="279" w:lineRule="auto"/>
        <w:rPr>
          <w:sz w:val="20"/>
          <w:szCs w:val="20"/>
          <w:color w:val="auto"/>
        </w:rPr>
      </w:pPr>
      <w:r>
        <w:rPr>
          <w:rFonts w:ascii="Arial" w:cs="Arial" w:eastAsia="Arial" w:hAnsi="Arial"/>
          <w:sz w:val="17"/>
          <w:szCs w:val="17"/>
          <w:color w:val="auto"/>
        </w:rPr>
        <w:t>As used in this Annual Report, the terms “Company,” “we,” “us,” or “our” refer to Burlington Stores, Inc. and all of its subsidiaries. We were organized in 2013 under the name Burlington Holdings, Inc. and currently exist as a Delaware corporation. Our indirect wholly-owned subsidiary, Burlington Coat Factory Warehouse Corporation (BCFWC), was initially organized in 1972 as a New Jersey corporation, was reincorporated in 1983 in Delaware and currently exists as a Delaware corporation. We completed an initial public offering of our common stock in October 2013.</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End</w:t>
      </w:r>
    </w:p>
    <w:p>
      <w:pPr>
        <w:spacing w:after="0" w:line="121" w:lineRule="exact"/>
        <w:rPr>
          <w:sz w:val="20"/>
          <w:szCs w:val="20"/>
          <w:color w:val="auto"/>
        </w:rPr>
      </w:pPr>
    </w:p>
    <w:p>
      <w:pPr>
        <w:ind w:right="60" w:firstLine="518"/>
        <w:spacing w:after="0" w:line="342" w:lineRule="auto"/>
        <w:rPr>
          <w:sz w:val="20"/>
          <w:szCs w:val="20"/>
          <w:color w:val="auto"/>
        </w:rPr>
      </w:pPr>
      <w:r>
        <w:rPr>
          <w:rFonts w:ascii="Arial" w:cs="Arial" w:eastAsia="Arial" w:hAnsi="Arial"/>
          <w:sz w:val="16"/>
          <w:szCs w:val="16"/>
          <w:color w:val="auto"/>
        </w:rPr>
        <w:t>We define our fiscal year as the 52- or 53-week period ending on the Saturday closest to January 31. This is an annual report for the 53-week fiscal year ended February 3, 2018 (Fiscal 2017). The fiscal years ended January 28, 2017 (Fiscal 2016) and January 30, 2016 (Fiscal 2015) consisted of 52 weeks.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Stores</w:t>
      </w:r>
    </w:p>
    <w:p>
      <w:pPr>
        <w:spacing w:after="0" w:line="121" w:lineRule="exact"/>
        <w:rPr>
          <w:sz w:val="20"/>
          <w:szCs w:val="20"/>
          <w:color w:val="auto"/>
        </w:rPr>
      </w:pPr>
    </w:p>
    <w:p>
      <w:pPr>
        <w:ind w:right="260" w:firstLine="518"/>
        <w:spacing w:after="0" w:line="264" w:lineRule="auto"/>
        <w:rPr>
          <w:sz w:val="20"/>
          <w:szCs w:val="20"/>
          <w:color w:val="auto"/>
        </w:rPr>
      </w:pPr>
      <w:r>
        <w:rPr>
          <w:rFonts w:ascii="Arial" w:cs="Arial" w:eastAsia="Arial" w:hAnsi="Arial"/>
          <w:sz w:val="18"/>
          <w:szCs w:val="18"/>
          <w:color w:val="auto"/>
        </w:rPr>
        <w:t>As of February 3, 2018, we operated 629 stores, inclusive of an internet store. Over 99% of our net sales are derived from stores we operate as Burlington stores (Burlington Stores). We believe that our customers are attracted to our stores principally by the availability of a large assortment of first-quality, current, brand-name merchandise at everyday low prices.</w:t>
      </w:r>
    </w:p>
    <w:p>
      <w:pPr>
        <w:spacing w:after="0" w:line="181"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Burlington Stores offer customers a complete line of merchandise, including: women’s ready-to-wear apparel, accessories, footwear, menswear, youth apparel, baby, home, coats, beauty and gifts. We continue to emphasize our rich heritage of coats and outerwear, and we believe that we are viewed as the destination for coat shoppers. Our broad selection provides a wide range of apparel, accessories and furnishings for all ages. We purchase both pre-season and in-season merchandise, allowing us to respond timely to changing market conditions and consumer fashion preferences. Furthermore, we believe Burlington Stores’ substantial selection of staple, destination products attracts customers from beyond our local trade areas. We believe these products drive incremental store traffic and differentiate us from our competitors.</w:t>
      </w:r>
    </w:p>
    <w:p>
      <w:pPr>
        <w:spacing w:after="0" w:line="178" w:lineRule="exact"/>
        <w:rPr>
          <w:sz w:val="20"/>
          <w:szCs w:val="20"/>
          <w:color w:val="auto"/>
        </w:rPr>
      </w:pPr>
    </w:p>
    <w:p>
      <w:pPr>
        <w:ind w:right="160" w:firstLine="518"/>
        <w:spacing w:after="0" w:line="264" w:lineRule="auto"/>
        <w:rPr>
          <w:sz w:val="20"/>
          <w:szCs w:val="20"/>
          <w:color w:val="auto"/>
        </w:rPr>
      </w:pPr>
      <w:r>
        <w:rPr>
          <w:rFonts w:ascii="Arial" w:cs="Arial" w:eastAsia="Arial" w:hAnsi="Arial"/>
          <w:sz w:val="18"/>
          <w:szCs w:val="18"/>
          <w:color w:val="auto"/>
        </w:rPr>
        <w:t>In some of our stores, we grant unaffiliated third parties the right to use designated store space solely for the purpose of selling such third parties’ goods, primarily designer handbags. We do not own or have any rights to any trademarks, licenses or other intellectual property used in connection with the brands sold by such unaffiliated third parties.</w:t>
      </w:r>
    </w:p>
    <w:p>
      <w:pPr>
        <w:spacing w:after="0" w:line="181"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We believe the breadth of our selection and our ability to successfully operate in stores of varying square footage represent a competitive advantage. Our average store size is approximately 74,000 square feet. We believe that, as we continue to reduce our comparable store inventory, we will be able to reduce the square footage of our stores while continuing to maintain our broad assortment. As a result, we believe major landlords seek us as a tenant because the appeal of our merchandise profile attracts a desired customer base.</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3" w:name="page4"/>
    <w:bookmarkEnd w:id="3"/>
    <w:p>
      <w:pPr>
        <w:ind w:left="520"/>
        <w:spacing w:after="0"/>
        <w:rPr>
          <w:sz w:val="20"/>
          <w:szCs w:val="20"/>
          <w:color w:val="auto"/>
        </w:rPr>
      </w:pPr>
      <w:r>
        <w:rPr>
          <w:rFonts w:ascii="Arial" w:cs="Arial" w:eastAsia="Arial" w:hAnsi="Arial"/>
          <w:sz w:val="18"/>
          <w:szCs w:val="18"/>
          <w:color w:val="auto"/>
        </w:rPr>
        <w:t>Our store base is geographically diversified with stores located in 45 states and Puerto Rico as set forth below:</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000" w:type="dxa"/>
            <w:vAlign w:val="bottom"/>
            <w:gridSpan w:val="2"/>
          </w:tcPr>
          <w:p>
            <w:pPr>
              <w:ind w:left="200"/>
              <w:spacing w:after="0"/>
              <w:rPr>
                <w:sz w:val="20"/>
                <w:szCs w:val="20"/>
                <w:color w:val="auto"/>
              </w:rPr>
            </w:pPr>
            <w:r>
              <w:rPr>
                <w:rFonts w:ascii="Arial" w:cs="Arial" w:eastAsia="Arial" w:hAnsi="Arial"/>
                <w:sz w:val="14"/>
                <w:szCs w:val="14"/>
                <w:b w:val="1"/>
                <w:bCs w:val="1"/>
                <w:color w:val="auto"/>
              </w:rPr>
              <w:t>State</w:t>
            </w:r>
          </w:p>
        </w:tc>
        <w:tc>
          <w:tcPr>
            <w:tcW w:w="1420" w:type="dxa"/>
            <w:vAlign w:val="bottom"/>
          </w:tcPr>
          <w:p>
            <w:pPr>
              <w:ind w:left="140"/>
              <w:spacing w:after="0"/>
              <w:rPr>
                <w:sz w:val="20"/>
                <w:szCs w:val="20"/>
                <w:color w:val="auto"/>
              </w:rPr>
            </w:pPr>
            <w:r>
              <w:rPr>
                <w:rFonts w:ascii="Arial" w:cs="Arial" w:eastAsia="Arial" w:hAnsi="Arial"/>
                <w:sz w:val="14"/>
                <w:szCs w:val="14"/>
                <w:b w:val="1"/>
                <w:bCs w:val="1"/>
                <w:color w:val="auto"/>
              </w:rPr>
              <w:t>Number of Stores</w:t>
            </w:r>
          </w:p>
        </w:tc>
        <w:tc>
          <w:tcPr>
            <w:tcW w:w="920" w:type="dxa"/>
            <w:vAlign w:val="bottom"/>
          </w:tcPr>
          <w:p>
            <w:pPr>
              <w:spacing w:after="0"/>
              <w:rPr>
                <w:sz w:val="14"/>
                <w:szCs w:val="14"/>
                <w:color w:val="auto"/>
              </w:rPr>
            </w:pPr>
          </w:p>
        </w:tc>
        <w:tc>
          <w:tcPr>
            <w:tcW w:w="1000" w:type="dxa"/>
            <w:vAlign w:val="bottom"/>
            <w:gridSpan w:val="2"/>
          </w:tcPr>
          <w:p>
            <w:pPr>
              <w:ind w:left="200"/>
              <w:spacing w:after="0"/>
              <w:rPr>
                <w:sz w:val="20"/>
                <w:szCs w:val="20"/>
                <w:color w:val="auto"/>
              </w:rPr>
            </w:pPr>
            <w:r>
              <w:rPr>
                <w:rFonts w:ascii="Arial" w:cs="Arial" w:eastAsia="Arial" w:hAnsi="Arial"/>
                <w:sz w:val="14"/>
                <w:szCs w:val="14"/>
                <w:b w:val="1"/>
                <w:bCs w:val="1"/>
                <w:color w:val="auto"/>
              </w:rPr>
              <w:t>State</w:t>
            </w:r>
          </w:p>
        </w:tc>
        <w:tc>
          <w:tcPr>
            <w:tcW w:w="1400" w:type="dxa"/>
            <w:vAlign w:val="bottom"/>
          </w:tcPr>
          <w:p>
            <w:pPr>
              <w:ind w:left="140"/>
              <w:spacing w:after="0"/>
              <w:rPr>
                <w:sz w:val="20"/>
                <w:szCs w:val="20"/>
                <w:color w:val="auto"/>
              </w:rPr>
            </w:pPr>
            <w:r>
              <w:rPr>
                <w:rFonts w:ascii="Arial" w:cs="Arial" w:eastAsia="Arial" w:hAnsi="Arial"/>
                <w:sz w:val="14"/>
                <w:szCs w:val="14"/>
                <w:b w:val="1"/>
                <w:bCs w:val="1"/>
                <w:color w:val="auto"/>
              </w:rPr>
              <w:t>Number of Stores</w:t>
            </w:r>
          </w:p>
        </w:tc>
        <w:tc>
          <w:tcPr>
            <w:tcW w:w="920" w:type="dxa"/>
            <w:vAlign w:val="bottom"/>
          </w:tcPr>
          <w:p>
            <w:pPr>
              <w:spacing w:after="0"/>
              <w:rPr>
                <w:sz w:val="14"/>
                <w:szCs w:val="14"/>
                <w:color w:val="auto"/>
              </w:rPr>
            </w:pPr>
          </w:p>
        </w:tc>
        <w:tc>
          <w:tcPr>
            <w:tcW w:w="1020" w:type="dxa"/>
            <w:vAlign w:val="bottom"/>
            <w:gridSpan w:val="2"/>
          </w:tcPr>
          <w:p>
            <w:pPr>
              <w:ind w:left="220"/>
              <w:spacing w:after="0"/>
              <w:rPr>
                <w:sz w:val="20"/>
                <w:szCs w:val="20"/>
                <w:color w:val="auto"/>
              </w:rPr>
            </w:pPr>
            <w:r>
              <w:rPr>
                <w:rFonts w:ascii="Arial" w:cs="Arial" w:eastAsia="Arial" w:hAnsi="Arial"/>
                <w:sz w:val="14"/>
                <w:szCs w:val="14"/>
                <w:b w:val="1"/>
                <w:bCs w:val="1"/>
                <w:color w:val="auto"/>
              </w:rPr>
              <w:t>State</w:t>
            </w:r>
          </w:p>
        </w:tc>
        <w:tc>
          <w:tcPr>
            <w:tcW w:w="1440" w:type="dxa"/>
            <w:vAlign w:val="bottom"/>
          </w:tcPr>
          <w:p>
            <w:pPr>
              <w:ind w:left="160"/>
              <w:spacing w:after="0"/>
              <w:rPr>
                <w:sz w:val="20"/>
                <w:szCs w:val="20"/>
                <w:color w:val="auto"/>
              </w:rPr>
            </w:pPr>
            <w:r>
              <w:rPr>
                <w:rFonts w:ascii="Arial" w:cs="Arial" w:eastAsia="Arial" w:hAnsi="Arial"/>
                <w:sz w:val="14"/>
                <w:szCs w:val="14"/>
                <w:b w:val="1"/>
                <w:bCs w:val="1"/>
                <w:color w:val="auto"/>
              </w:rPr>
              <w:t>Number of Stores</w:t>
            </w:r>
          </w:p>
        </w:tc>
      </w:tr>
      <w:tr>
        <w:trPr>
          <w:trHeight w:val="223"/>
        </w:trPr>
        <w:tc>
          <w:tcPr>
            <w:tcW w:w="20" w:type="dxa"/>
            <w:vAlign w:val="bottom"/>
          </w:tcPr>
          <w:p>
            <w:pPr>
              <w:spacing w:after="0"/>
              <w:rPr>
                <w:sz w:val="19"/>
                <w:szCs w:val="19"/>
                <w:color w:val="auto"/>
              </w:rPr>
            </w:pPr>
          </w:p>
        </w:tc>
        <w:tc>
          <w:tcPr>
            <w:tcW w:w="7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AK</w:t>
            </w:r>
          </w:p>
        </w:tc>
        <w:tc>
          <w:tcPr>
            <w:tcW w:w="260" w:type="dxa"/>
            <w:vAlign w:val="bottom"/>
            <w:tcBorders>
              <w:top w:val="single" w:sz="8" w:color="CFF0FC"/>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9"/>
              </w:rPr>
              <w:t>2</w:t>
            </w:r>
          </w:p>
        </w:tc>
        <w:tc>
          <w:tcPr>
            <w:tcW w:w="92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LA</w:t>
            </w:r>
          </w:p>
        </w:tc>
        <w:tc>
          <w:tcPr>
            <w:tcW w:w="26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9"/>
              </w:rPr>
              <w:t>7</w:t>
            </w:r>
          </w:p>
        </w:tc>
        <w:tc>
          <w:tcPr>
            <w:tcW w:w="92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NY</w:t>
            </w:r>
          </w:p>
        </w:tc>
        <w:tc>
          <w:tcPr>
            <w:tcW w:w="260" w:type="dxa"/>
            <w:vAlign w:val="bottom"/>
            <w:tcBorders>
              <w:top w:val="single" w:sz="8" w:color="CFF0FC"/>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41</w:t>
            </w:r>
          </w:p>
        </w:tc>
      </w:tr>
      <w:tr>
        <w:trPr>
          <w:trHeight w:val="230"/>
        </w:trPr>
        <w:tc>
          <w:tcPr>
            <w:tcW w:w="20" w:type="dxa"/>
            <w:vAlign w:val="bottom"/>
          </w:tcPr>
          <w:p>
            <w:pPr>
              <w:spacing w:after="0"/>
              <w:rPr>
                <w:sz w:val="19"/>
                <w:szCs w:val="19"/>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rPr>
              <w:t>AL</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1920" w:type="dxa"/>
            <w:vAlign w:val="bottom"/>
            <w:gridSpan w:val="3"/>
          </w:tcPr>
          <w:p>
            <w:pPr>
              <w:ind w:left="900"/>
              <w:spacing w:after="0"/>
              <w:rPr>
                <w:sz w:val="20"/>
                <w:szCs w:val="20"/>
                <w:color w:val="auto"/>
              </w:rPr>
            </w:pPr>
            <w:r>
              <w:rPr>
                <w:rFonts w:ascii="Arial" w:cs="Arial" w:eastAsia="Arial" w:hAnsi="Arial"/>
                <w:sz w:val="18"/>
                <w:szCs w:val="18"/>
                <w:color w:val="auto"/>
              </w:rPr>
              <w:t>MA</w:t>
            </w: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14</w:t>
            </w:r>
          </w:p>
        </w:tc>
        <w:tc>
          <w:tcPr>
            <w:tcW w:w="1940" w:type="dxa"/>
            <w:vAlign w:val="bottom"/>
            <w:gridSpan w:val="3"/>
          </w:tcPr>
          <w:p>
            <w:pPr>
              <w:ind w:left="920"/>
              <w:spacing w:after="0"/>
              <w:rPr>
                <w:sz w:val="20"/>
                <w:szCs w:val="20"/>
                <w:color w:val="auto"/>
              </w:rPr>
            </w:pPr>
            <w:r>
              <w:rPr>
                <w:rFonts w:ascii="Arial" w:cs="Arial" w:eastAsia="Arial" w:hAnsi="Arial"/>
                <w:sz w:val="18"/>
                <w:szCs w:val="18"/>
                <w:color w:val="auto"/>
              </w:rPr>
              <w:t>OH</w:t>
            </w: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24</w:t>
            </w:r>
          </w:p>
        </w:tc>
      </w:tr>
      <w:tr>
        <w:trPr>
          <w:trHeight w:val="230"/>
        </w:trPr>
        <w:tc>
          <w:tcPr>
            <w:tcW w:w="20" w:type="dxa"/>
            <w:vAlign w:val="bottom"/>
          </w:tcPr>
          <w:p>
            <w:pPr>
              <w:spacing w:after="0"/>
              <w:rPr>
                <w:sz w:val="19"/>
                <w:szCs w:val="19"/>
                <w:color w:val="auto"/>
              </w:rPr>
            </w:pPr>
          </w:p>
        </w:tc>
        <w:tc>
          <w:tcPr>
            <w:tcW w:w="10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AR</w:t>
            </w:r>
          </w:p>
        </w:tc>
        <w:tc>
          <w:tcPr>
            <w:tcW w:w="14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5</w:t>
            </w:r>
          </w:p>
        </w:tc>
        <w:tc>
          <w:tcPr>
            <w:tcW w:w="1920" w:type="dxa"/>
            <w:vAlign w:val="bottom"/>
            <w:gridSpan w:val="3"/>
            <w:shd w:val="clear" w:color="auto" w:fill="CFF0FC"/>
          </w:tcPr>
          <w:p>
            <w:pPr>
              <w:ind w:left="900"/>
              <w:spacing w:after="0"/>
              <w:rPr>
                <w:sz w:val="20"/>
                <w:szCs w:val="20"/>
                <w:color w:val="auto"/>
              </w:rPr>
            </w:pPr>
            <w:r>
              <w:rPr>
                <w:rFonts w:ascii="Arial" w:cs="Arial" w:eastAsia="Arial" w:hAnsi="Arial"/>
                <w:sz w:val="18"/>
                <w:szCs w:val="18"/>
                <w:color w:val="auto"/>
              </w:rPr>
              <w:t>MD</w:t>
            </w:r>
          </w:p>
        </w:tc>
        <w:tc>
          <w:tcPr>
            <w:tcW w:w="14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16</w:t>
            </w:r>
          </w:p>
        </w:tc>
        <w:tc>
          <w:tcPr>
            <w:tcW w:w="1940" w:type="dxa"/>
            <w:vAlign w:val="bottom"/>
            <w:gridSpan w:val="3"/>
            <w:shd w:val="clear" w:color="auto" w:fill="CFF0FC"/>
          </w:tcPr>
          <w:p>
            <w:pPr>
              <w:ind w:left="920"/>
              <w:spacing w:after="0"/>
              <w:rPr>
                <w:sz w:val="20"/>
                <w:szCs w:val="20"/>
                <w:color w:val="auto"/>
              </w:rPr>
            </w:pPr>
            <w:r>
              <w:rPr>
                <w:rFonts w:ascii="Arial" w:cs="Arial" w:eastAsia="Arial" w:hAnsi="Arial"/>
                <w:sz w:val="18"/>
                <w:szCs w:val="18"/>
                <w:color w:val="auto"/>
              </w:rPr>
              <w:t>OK</w:t>
            </w:r>
          </w:p>
        </w:tc>
        <w:tc>
          <w:tcPr>
            <w:tcW w:w="14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3</w:t>
            </w:r>
          </w:p>
        </w:tc>
      </w:tr>
      <w:tr>
        <w:trPr>
          <w:trHeight w:val="230"/>
        </w:trPr>
        <w:tc>
          <w:tcPr>
            <w:tcW w:w="20" w:type="dxa"/>
            <w:vAlign w:val="bottom"/>
          </w:tcPr>
          <w:p>
            <w:pPr>
              <w:spacing w:after="0"/>
              <w:rPr>
                <w:sz w:val="19"/>
                <w:szCs w:val="19"/>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rPr>
              <w:t>AZ</w:t>
            </w:r>
          </w:p>
        </w:tc>
        <w:tc>
          <w:tcPr>
            <w:tcW w:w="142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1920" w:type="dxa"/>
            <w:vAlign w:val="bottom"/>
            <w:gridSpan w:val="3"/>
          </w:tcPr>
          <w:p>
            <w:pPr>
              <w:ind w:left="900"/>
              <w:spacing w:after="0"/>
              <w:rPr>
                <w:sz w:val="20"/>
                <w:szCs w:val="20"/>
                <w:color w:val="auto"/>
              </w:rPr>
            </w:pPr>
            <w:r>
              <w:rPr>
                <w:rFonts w:ascii="Arial" w:cs="Arial" w:eastAsia="Arial" w:hAnsi="Arial"/>
                <w:sz w:val="18"/>
                <w:szCs w:val="18"/>
                <w:color w:val="auto"/>
              </w:rPr>
              <w:t>ME</w:t>
            </w: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940" w:type="dxa"/>
            <w:vAlign w:val="bottom"/>
            <w:gridSpan w:val="3"/>
          </w:tcPr>
          <w:p>
            <w:pPr>
              <w:ind w:left="920"/>
              <w:spacing w:after="0"/>
              <w:rPr>
                <w:sz w:val="20"/>
                <w:szCs w:val="20"/>
                <w:color w:val="auto"/>
              </w:rPr>
            </w:pPr>
            <w:r>
              <w:rPr>
                <w:rFonts w:ascii="Arial" w:cs="Arial" w:eastAsia="Arial" w:hAnsi="Arial"/>
                <w:sz w:val="18"/>
                <w:szCs w:val="18"/>
                <w:color w:val="auto"/>
              </w:rPr>
              <w:t>OR</w:t>
            </w: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4</w:t>
            </w:r>
          </w:p>
        </w:tc>
      </w:tr>
      <w:tr>
        <w:trPr>
          <w:trHeight w:val="230"/>
        </w:trPr>
        <w:tc>
          <w:tcPr>
            <w:tcW w:w="20" w:type="dxa"/>
            <w:vAlign w:val="bottom"/>
          </w:tcPr>
          <w:p>
            <w:pPr>
              <w:spacing w:after="0"/>
              <w:rPr>
                <w:sz w:val="19"/>
                <w:szCs w:val="19"/>
                <w:color w:val="auto"/>
              </w:rPr>
            </w:pPr>
          </w:p>
        </w:tc>
        <w:tc>
          <w:tcPr>
            <w:tcW w:w="10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CA</w:t>
            </w:r>
          </w:p>
        </w:tc>
        <w:tc>
          <w:tcPr>
            <w:tcW w:w="14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66</w:t>
            </w:r>
          </w:p>
        </w:tc>
        <w:tc>
          <w:tcPr>
            <w:tcW w:w="1920" w:type="dxa"/>
            <w:vAlign w:val="bottom"/>
            <w:gridSpan w:val="3"/>
            <w:shd w:val="clear" w:color="auto" w:fill="CFF0FC"/>
          </w:tcPr>
          <w:p>
            <w:pPr>
              <w:ind w:left="900"/>
              <w:spacing w:after="0"/>
              <w:rPr>
                <w:sz w:val="20"/>
                <w:szCs w:val="20"/>
                <w:color w:val="auto"/>
              </w:rPr>
            </w:pPr>
            <w:r>
              <w:rPr>
                <w:rFonts w:ascii="Arial" w:cs="Arial" w:eastAsia="Arial" w:hAnsi="Arial"/>
                <w:sz w:val="18"/>
                <w:szCs w:val="18"/>
                <w:color w:val="auto"/>
              </w:rPr>
              <w:t>MI</w:t>
            </w:r>
          </w:p>
        </w:tc>
        <w:tc>
          <w:tcPr>
            <w:tcW w:w="14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18</w:t>
            </w:r>
          </w:p>
        </w:tc>
        <w:tc>
          <w:tcPr>
            <w:tcW w:w="1940" w:type="dxa"/>
            <w:vAlign w:val="bottom"/>
            <w:gridSpan w:val="3"/>
            <w:shd w:val="clear" w:color="auto" w:fill="CFF0FC"/>
          </w:tcPr>
          <w:p>
            <w:pPr>
              <w:ind w:left="920"/>
              <w:spacing w:after="0"/>
              <w:rPr>
                <w:sz w:val="20"/>
                <w:szCs w:val="20"/>
                <w:color w:val="auto"/>
              </w:rPr>
            </w:pPr>
            <w:r>
              <w:rPr>
                <w:rFonts w:ascii="Arial" w:cs="Arial" w:eastAsia="Arial" w:hAnsi="Arial"/>
                <w:sz w:val="18"/>
                <w:szCs w:val="18"/>
                <w:color w:val="auto"/>
              </w:rPr>
              <w:t>PA</w:t>
            </w:r>
          </w:p>
        </w:tc>
        <w:tc>
          <w:tcPr>
            <w:tcW w:w="14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33</w:t>
            </w:r>
          </w:p>
        </w:tc>
      </w:tr>
      <w:tr>
        <w:trPr>
          <w:trHeight w:val="230"/>
        </w:trPr>
        <w:tc>
          <w:tcPr>
            <w:tcW w:w="20" w:type="dxa"/>
            <w:vAlign w:val="bottom"/>
          </w:tcPr>
          <w:p>
            <w:pPr>
              <w:spacing w:after="0"/>
              <w:rPr>
                <w:sz w:val="19"/>
                <w:szCs w:val="19"/>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rPr>
              <w:t>CO</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7</w:t>
            </w:r>
          </w:p>
        </w:tc>
        <w:tc>
          <w:tcPr>
            <w:tcW w:w="1920" w:type="dxa"/>
            <w:vAlign w:val="bottom"/>
            <w:gridSpan w:val="3"/>
          </w:tcPr>
          <w:p>
            <w:pPr>
              <w:ind w:left="900"/>
              <w:spacing w:after="0"/>
              <w:rPr>
                <w:sz w:val="20"/>
                <w:szCs w:val="20"/>
                <w:color w:val="auto"/>
              </w:rPr>
            </w:pPr>
            <w:r>
              <w:rPr>
                <w:rFonts w:ascii="Arial" w:cs="Arial" w:eastAsia="Arial" w:hAnsi="Arial"/>
                <w:sz w:val="18"/>
                <w:szCs w:val="18"/>
                <w:color w:val="auto"/>
              </w:rPr>
              <w:t>MN</w:t>
            </w: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8</w:t>
            </w:r>
          </w:p>
        </w:tc>
        <w:tc>
          <w:tcPr>
            <w:tcW w:w="1940" w:type="dxa"/>
            <w:vAlign w:val="bottom"/>
            <w:gridSpan w:val="3"/>
          </w:tcPr>
          <w:p>
            <w:pPr>
              <w:ind w:left="920"/>
              <w:spacing w:after="0"/>
              <w:rPr>
                <w:sz w:val="20"/>
                <w:szCs w:val="20"/>
                <w:color w:val="auto"/>
              </w:rPr>
            </w:pPr>
            <w:r>
              <w:rPr>
                <w:rFonts w:ascii="Arial" w:cs="Arial" w:eastAsia="Arial" w:hAnsi="Arial"/>
                <w:sz w:val="18"/>
                <w:szCs w:val="18"/>
                <w:color w:val="auto"/>
              </w:rPr>
              <w:t>PR</w:t>
            </w: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11</w:t>
            </w:r>
          </w:p>
        </w:tc>
      </w:tr>
      <w:tr>
        <w:trPr>
          <w:trHeight w:val="230"/>
        </w:trPr>
        <w:tc>
          <w:tcPr>
            <w:tcW w:w="20" w:type="dxa"/>
            <w:vAlign w:val="bottom"/>
          </w:tcPr>
          <w:p>
            <w:pPr>
              <w:spacing w:after="0"/>
              <w:rPr>
                <w:sz w:val="19"/>
                <w:szCs w:val="19"/>
                <w:color w:val="auto"/>
              </w:rPr>
            </w:pPr>
          </w:p>
        </w:tc>
        <w:tc>
          <w:tcPr>
            <w:tcW w:w="10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CT</w:t>
            </w:r>
          </w:p>
        </w:tc>
        <w:tc>
          <w:tcPr>
            <w:tcW w:w="14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11</w:t>
            </w:r>
          </w:p>
        </w:tc>
        <w:tc>
          <w:tcPr>
            <w:tcW w:w="1920" w:type="dxa"/>
            <w:vAlign w:val="bottom"/>
            <w:gridSpan w:val="3"/>
            <w:shd w:val="clear" w:color="auto" w:fill="CFF0FC"/>
          </w:tcPr>
          <w:p>
            <w:pPr>
              <w:ind w:left="900"/>
              <w:spacing w:after="0"/>
              <w:rPr>
                <w:sz w:val="20"/>
                <w:szCs w:val="20"/>
                <w:color w:val="auto"/>
              </w:rPr>
            </w:pPr>
            <w:r>
              <w:rPr>
                <w:rFonts w:ascii="Arial" w:cs="Arial" w:eastAsia="Arial" w:hAnsi="Arial"/>
                <w:sz w:val="18"/>
                <w:szCs w:val="18"/>
                <w:color w:val="auto"/>
              </w:rPr>
              <w:t>MO</w:t>
            </w:r>
          </w:p>
        </w:tc>
        <w:tc>
          <w:tcPr>
            <w:tcW w:w="14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9</w:t>
            </w:r>
          </w:p>
        </w:tc>
        <w:tc>
          <w:tcPr>
            <w:tcW w:w="1940" w:type="dxa"/>
            <w:vAlign w:val="bottom"/>
            <w:gridSpan w:val="3"/>
            <w:shd w:val="clear" w:color="auto" w:fill="CFF0FC"/>
          </w:tcPr>
          <w:p>
            <w:pPr>
              <w:ind w:left="920"/>
              <w:spacing w:after="0"/>
              <w:rPr>
                <w:sz w:val="20"/>
                <w:szCs w:val="20"/>
                <w:color w:val="auto"/>
              </w:rPr>
            </w:pPr>
            <w:r>
              <w:rPr>
                <w:rFonts w:ascii="Arial" w:cs="Arial" w:eastAsia="Arial" w:hAnsi="Arial"/>
                <w:sz w:val="18"/>
                <w:szCs w:val="18"/>
                <w:color w:val="auto"/>
              </w:rPr>
              <w:t>RI</w:t>
            </w:r>
          </w:p>
        </w:tc>
        <w:tc>
          <w:tcPr>
            <w:tcW w:w="14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5</w:t>
            </w:r>
          </w:p>
        </w:tc>
      </w:tr>
      <w:tr>
        <w:trPr>
          <w:trHeight w:val="230"/>
        </w:trPr>
        <w:tc>
          <w:tcPr>
            <w:tcW w:w="20" w:type="dxa"/>
            <w:vAlign w:val="bottom"/>
          </w:tcPr>
          <w:p>
            <w:pPr>
              <w:spacing w:after="0"/>
              <w:rPr>
                <w:sz w:val="19"/>
                <w:szCs w:val="19"/>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rPr>
              <w:t>DE</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920" w:type="dxa"/>
            <w:vAlign w:val="bottom"/>
            <w:gridSpan w:val="3"/>
          </w:tcPr>
          <w:p>
            <w:pPr>
              <w:ind w:left="900"/>
              <w:spacing w:after="0"/>
              <w:rPr>
                <w:sz w:val="20"/>
                <w:szCs w:val="20"/>
                <w:color w:val="auto"/>
              </w:rPr>
            </w:pPr>
            <w:r>
              <w:rPr>
                <w:rFonts w:ascii="Arial" w:cs="Arial" w:eastAsia="Arial" w:hAnsi="Arial"/>
                <w:sz w:val="18"/>
                <w:szCs w:val="18"/>
                <w:color w:val="auto"/>
              </w:rPr>
              <w:t>MS</w:t>
            </w: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940" w:type="dxa"/>
            <w:vAlign w:val="bottom"/>
            <w:gridSpan w:val="3"/>
          </w:tcPr>
          <w:p>
            <w:pPr>
              <w:ind w:left="920"/>
              <w:spacing w:after="0"/>
              <w:rPr>
                <w:sz w:val="20"/>
                <w:szCs w:val="20"/>
                <w:color w:val="auto"/>
              </w:rPr>
            </w:pPr>
            <w:r>
              <w:rPr>
                <w:rFonts w:ascii="Arial" w:cs="Arial" w:eastAsia="Arial" w:hAnsi="Arial"/>
                <w:sz w:val="18"/>
                <w:szCs w:val="18"/>
                <w:color w:val="auto"/>
              </w:rPr>
              <w:t>SC</w:t>
            </w: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8</w:t>
            </w:r>
          </w:p>
        </w:tc>
      </w:tr>
      <w:tr>
        <w:trPr>
          <w:trHeight w:val="230"/>
        </w:trPr>
        <w:tc>
          <w:tcPr>
            <w:tcW w:w="20" w:type="dxa"/>
            <w:vAlign w:val="bottom"/>
          </w:tcPr>
          <w:p>
            <w:pPr>
              <w:spacing w:after="0"/>
              <w:rPr>
                <w:sz w:val="19"/>
                <w:szCs w:val="19"/>
                <w:color w:val="auto"/>
              </w:rPr>
            </w:pPr>
          </w:p>
        </w:tc>
        <w:tc>
          <w:tcPr>
            <w:tcW w:w="10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FL</w:t>
            </w:r>
          </w:p>
        </w:tc>
        <w:tc>
          <w:tcPr>
            <w:tcW w:w="14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46</w:t>
            </w:r>
          </w:p>
        </w:tc>
        <w:tc>
          <w:tcPr>
            <w:tcW w:w="1920" w:type="dxa"/>
            <w:vAlign w:val="bottom"/>
            <w:gridSpan w:val="3"/>
            <w:shd w:val="clear" w:color="auto" w:fill="CFF0FC"/>
          </w:tcPr>
          <w:p>
            <w:pPr>
              <w:ind w:left="900"/>
              <w:spacing w:after="0"/>
              <w:rPr>
                <w:sz w:val="20"/>
                <w:szCs w:val="20"/>
                <w:color w:val="auto"/>
              </w:rPr>
            </w:pPr>
            <w:r>
              <w:rPr>
                <w:rFonts w:ascii="Arial" w:cs="Arial" w:eastAsia="Arial" w:hAnsi="Arial"/>
                <w:sz w:val="18"/>
                <w:szCs w:val="18"/>
                <w:color w:val="auto"/>
              </w:rPr>
              <w:t>NC</w:t>
            </w:r>
          </w:p>
        </w:tc>
        <w:tc>
          <w:tcPr>
            <w:tcW w:w="14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15</w:t>
            </w:r>
          </w:p>
        </w:tc>
        <w:tc>
          <w:tcPr>
            <w:tcW w:w="1940" w:type="dxa"/>
            <w:vAlign w:val="bottom"/>
            <w:gridSpan w:val="3"/>
            <w:shd w:val="clear" w:color="auto" w:fill="CFF0FC"/>
          </w:tcPr>
          <w:p>
            <w:pPr>
              <w:ind w:left="920"/>
              <w:spacing w:after="0"/>
              <w:rPr>
                <w:sz w:val="20"/>
                <w:szCs w:val="20"/>
                <w:color w:val="auto"/>
              </w:rPr>
            </w:pPr>
            <w:r>
              <w:rPr>
                <w:rFonts w:ascii="Arial" w:cs="Arial" w:eastAsia="Arial" w:hAnsi="Arial"/>
                <w:sz w:val="18"/>
                <w:szCs w:val="18"/>
                <w:color w:val="auto"/>
              </w:rPr>
              <w:t>SD</w:t>
            </w:r>
          </w:p>
        </w:tc>
        <w:tc>
          <w:tcPr>
            <w:tcW w:w="14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1</w:t>
            </w:r>
          </w:p>
        </w:tc>
      </w:tr>
      <w:tr>
        <w:trPr>
          <w:trHeight w:val="230"/>
        </w:trPr>
        <w:tc>
          <w:tcPr>
            <w:tcW w:w="20" w:type="dxa"/>
            <w:vAlign w:val="bottom"/>
          </w:tcPr>
          <w:p>
            <w:pPr>
              <w:spacing w:after="0"/>
              <w:rPr>
                <w:sz w:val="19"/>
                <w:szCs w:val="19"/>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rPr>
              <w:t>GA</w:t>
            </w:r>
          </w:p>
        </w:tc>
        <w:tc>
          <w:tcPr>
            <w:tcW w:w="1420" w:type="dxa"/>
            <w:vAlign w:val="bottom"/>
          </w:tcPr>
          <w:p>
            <w:pPr>
              <w:jc w:val="center"/>
              <w:spacing w:after="0"/>
              <w:rPr>
                <w:sz w:val="20"/>
                <w:szCs w:val="20"/>
                <w:color w:val="auto"/>
              </w:rPr>
            </w:pPr>
            <w:r>
              <w:rPr>
                <w:rFonts w:ascii="Arial" w:cs="Arial" w:eastAsia="Arial" w:hAnsi="Arial"/>
                <w:sz w:val="18"/>
                <w:szCs w:val="18"/>
                <w:color w:val="auto"/>
                <w:w w:val="89"/>
              </w:rPr>
              <w:t>19</w:t>
            </w:r>
          </w:p>
        </w:tc>
        <w:tc>
          <w:tcPr>
            <w:tcW w:w="1920" w:type="dxa"/>
            <w:vAlign w:val="bottom"/>
            <w:gridSpan w:val="3"/>
          </w:tcPr>
          <w:p>
            <w:pPr>
              <w:ind w:left="900"/>
              <w:spacing w:after="0"/>
              <w:rPr>
                <w:sz w:val="20"/>
                <w:szCs w:val="20"/>
                <w:color w:val="auto"/>
              </w:rPr>
            </w:pPr>
            <w:r>
              <w:rPr>
                <w:rFonts w:ascii="Arial" w:cs="Arial" w:eastAsia="Arial" w:hAnsi="Arial"/>
                <w:sz w:val="18"/>
                <w:szCs w:val="18"/>
                <w:color w:val="auto"/>
              </w:rPr>
              <w:t>ND</w:t>
            </w: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940" w:type="dxa"/>
            <w:vAlign w:val="bottom"/>
            <w:gridSpan w:val="3"/>
          </w:tcPr>
          <w:p>
            <w:pPr>
              <w:ind w:left="920"/>
              <w:spacing w:after="0"/>
              <w:rPr>
                <w:sz w:val="20"/>
                <w:szCs w:val="20"/>
                <w:color w:val="auto"/>
              </w:rPr>
            </w:pPr>
            <w:r>
              <w:rPr>
                <w:rFonts w:ascii="Arial" w:cs="Arial" w:eastAsia="Arial" w:hAnsi="Arial"/>
                <w:sz w:val="18"/>
                <w:szCs w:val="18"/>
                <w:color w:val="auto"/>
              </w:rPr>
              <w:t>TN</w:t>
            </w: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8</w:t>
            </w:r>
          </w:p>
        </w:tc>
      </w:tr>
      <w:tr>
        <w:trPr>
          <w:trHeight w:val="230"/>
        </w:trPr>
        <w:tc>
          <w:tcPr>
            <w:tcW w:w="20" w:type="dxa"/>
            <w:vAlign w:val="bottom"/>
          </w:tcPr>
          <w:p>
            <w:pPr>
              <w:spacing w:after="0"/>
              <w:rPr>
                <w:sz w:val="19"/>
                <w:szCs w:val="19"/>
                <w:color w:val="auto"/>
              </w:rPr>
            </w:pPr>
          </w:p>
        </w:tc>
        <w:tc>
          <w:tcPr>
            <w:tcW w:w="10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IA</w:t>
            </w:r>
          </w:p>
        </w:tc>
        <w:tc>
          <w:tcPr>
            <w:tcW w:w="14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3</w:t>
            </w:r>
          </w:p>
        </w:tc>
        <w:tc>
          <w:tcPr>
            <w:tcW w:w="1920" w:type="dxa"/>
            <w:vAlign w:val="bottom"/>
            <w:gridSpan w:val="3"/>
            <w:shd w:val="clear" w:color="auto" w:fill="CFF0FC"/>
          </w:tcPr>
          <w:p>
            <w:pPr>
              <w:ind w:left="900"/>
              <w:spacing w:after="0"/>
              <w:rPr>
                <w:sz w:val="20"/>
                <w:szCs w:val="20"/>
                <w:color w:val="auto"/>
              </w:rPr>
            </w:pPr>
            <w:r>
              <w:rPr>
                <w:rFonts w:ascii="Arial" w:cs="Arial" w:eastAsia="Arial" w:hAnsi="Arial"/>
                <w:sz w:val="18"/>
                <w:szCs w:val="18"/>
                <w:color w:val="auto"/>
              </w:rPr>
              <w:t>NE</w:t>
            </w:r>
          </w:p>
        </w:tc>
        <w:tc>
          <w:tcPr>
            <w:tcW w:w="14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3</w:t>
            </w:r>
          </w:p>
        </w:tc>
        <w:tc>
          <w:tcPr>
            <w:tcW w:w="1940" w:type="dxa"/>
            <w:vAlign w:val="bottom"/>
            <w:gridSpan w:val="3"/>
            <w:shd w:val="clear" w:color="auto" w:fill="CFF0FC"/>
          </w:tcPr>
          <w:p>
            <w:pPr>
              <w:ind w:left="920"/>
              <w:spacing w:after="0"/>
              <w:rPr>
                <w:sz w:val="20"/>
                <w:szCs w:val="20"/>
                <w:color w:val="auto"/>
              </w:rPr>
            </w:pPr>
            <w:r>
              <w:rPr>
                <w:rFonts w:ascii="Arial" w:cs="Arial" w:eastAsia="Arial" w:hAnsi="Arial"/>
                <w:sz w:val="18"/>
                <w:szCs w:val="18"/>
                <w:color w:val="auto"/>
              </w:rPr>
              <w:t>TX</w:t>
            </w:r>
          </w:p>
        </w:tc>
        <w:tc>
          <w:tcPr>
            <w:tcW w:w="14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67</w:t>
            </w:r>
          </w:p>
        </w:tc>
      </w:tr>
      <w:tr>
        <w:trPr>
          <w:trHeight w:val="230"/>
        </w:trPr>
        <w:tc>
          <w:tcPr>
            <w:tcW w:w="20" w:type="dxa"/>
            <w:vAlign w:val="bottom"/>
          </w:tcPr>
          <w:p>
            <w:pPr>
              <w:spacing w:after="0"/>
              <w:rPr>
                <w:sz w:val="19"/>
                <w:szCs w:val="19"/>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rPr>
              <w:t>ID</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920" w:type="dxa"/>
            <w:vAlign w:val="bottom"/>
            <w:gridSpan w:val="3"/>
          </w:tcPr>
          <w:p>
            <w:pPr>
              <w:ind w:left="900"/>
              <w:spacing w:after="0"/>
              <w:rPr>
                <w:sz w:val="20"/>
                <w:szCs w:val="20"/>
                <w:color w:val="auto"/>
              </w:rPr>
            </w:pPr>
            <w:r>
              <w:rPr>
                <w:rFonts w:ascii="Arial" w:cs="Arial" w:eastAsia="Arial" w:hAnsi="Arial"/>
                <w:sz w:val="18"/>
                <w:szCs w:val="18"/>
                <w:color w:val="auto"/>
              </w:rPr>
              <w:t>NH</w:t>
            </w: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940" w:type="dxa"/>
            <w:vAlign w:val="bottom"/>
            <w:gridSpan w:val="3"/>
          </w:tcPr>
          <w:p>
            <w:pPr>
              <w:ind w:left="920"/>
              <w:spacing w:after="0"/>
              <w:rPr>
                <w:sz w:val="20"/>
                <w:szCs w:val="20"/>
                <w:color w:val="auto"/>
              </w:rPr>
            </w:pPr>
            <w:r>
              <w:rPr>
                <w:rFonts w:ascii="Arial" w:cs="Arial" w:eastAsia="Arial" w:hAnsi="Arial"/>
                <w:sz w:val="18"/>
                <w:szCs w:val="18"/>
                <w:color w:val="auto"/>
              </w:rPr>
              <w:t>UT</w:t>
            </w: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5</w:t>
            </w:r>
          </w:p>
        </w:tc>
      </w:tr>
      <w:tr>
        <w:trPr>
          <w:trHeight w:val="230"/>
        </w:trPr>
        <w:tc>
          <w:tcPr>
            <w:tcW w:w="20" w:type="dxa"/>
            <w:vAlign w:val="bottom"/>
          </w:tcPr>
          <w:p>
            <w:pPr>
              <w:spacing w:after="0"/>
              <w:rPr>
                <w:sz w:val="19"/>
                <w:szCs w:val="19"/>
                <w:color w:val="auto"/>
              </w:rPr>
            </w:pPr>
          </w:p>
        </w:tc>
        <w:tc>
          <w:tcPr>
            <w:tcW w:w="10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IL</w:t>
            </w:r>
          </w:p>
        </w:tc>
        <w:tc>
          <w:tcPr>
            <w:tcW w:w="14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34</w:t>
            </w:r>
          </w:p>
        </w:tc>
        <w:tc>
          <w:tcPr>
            <w:tcW w:w="1920" w:type="dxa"/>
            <w:vAlign w:val="bottom"/>
            <w:gridSpan w:val="3"/>
            <w:shd w:val="clear" w:color="auto" w:fill="CFF0FC"/>
          </w:tcPr>
          <w:p>
            <w:pPr>
              <w:ind w:left="900"/>
              <w:spacing w:after="0"/>
              <w:rPr>
                <w:sz w:val="20"/>
                <w:szCs w:val="20"/>
                <w:color w:val="auto"/>
              </w:rPr>
            </w:pPr>
            <w:r>
              <w:rPr>
                <w:rFonts w:ascii="Arial" w:cs="Arial" w:eastAsia="Arial" w:hAnsi="Arial"/>
                <w:sz w:val="18"/>
                <w:szCs w:val="18"/>
                <w:color w:val="auto"/>
              </w:rPr>
              <w:t>NJ</w:t>
            </w:r>
          </w:p>
        </w:tc>
        <w:tc>
          <w:tcPr>
            <w:tcW w:w="14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31</w:t>
            </w:r>
          </w:p>
        </w:tc>
        <w:tc>
          <w:tcPr>
            <w:tcW w:w="1940" w:type="dxa"/>
            <w:vAlign w:val="bottom"/>
            <w:gridSpan w:val="3"/>
            <w:shd w:val="clear" w:color="auto" w:fill="CFF0FC"/>
          </w:tcPr>
          <w:p>
            <w:pPr>
              <w:ind w:left="920"/>
              <w:spacing w:after="0"/>
              <w:rPr>
                <w:sz w:val="20"/>
                <w:szCs w:val="20"/>
                <w:color w:val="auto"/>
              </w:rPr>
            </w:pPr>
            <w:r>
              <w:rPr>
                <w:rFonts w:ascii="Arial" w:cs="Arial" w:eastAsia="Arial" w:hAnsi="Arial"/>
                <w:sz w:val="18"/>
                <w:szCs w:val="18"/>
                <w:color w:val="auto"/>
              </w:rPr>
              <w:t>VA</w:t>
            </w:r>
          </w:p>
        </w:tc>
        <w:tc>
          <w:tcPr>
            <w:tcW w:w="14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18</w:t>
            </w:r>
          </w:p>
        </w:tc>
      </w:tr>
      <w:tr>
        <w:trPr>
          <w:trHeight w:val="230"/>
        </w:trPr>
        <w:tc>
          <w:tcPr>
            <w:tcW w:w="20" w:type="dxa"/>
            <w:vAlign w:val="bottom"/>
          </w:tcPr>
          <w:p>
            <w:pPr>
              <w:spacing w:after="0"/>
              <w:rPr>
                <w:sz w:val="19"/>
                <w:szCs w:val="19"/>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rPr>
              <w:t>IN</w:t>
            </w:r>
          </w:p>
        </w:tc>
        <w:tc>
          <w:tcPr>
            <w:tcW w:w="142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1920" w:type="dxa"/>
            <w:vAlign w:val="bottom"/>
            <w:gridSpan w:val="3"/>
          </w:tcPr>
          <w:p>
            <w:pPr>
              <w:ind w:left="900"/>
              <w:spacing w:after="0"/>
              <w:rPr>
                <w:sz w:val="20"/>
                <w:szCs w:val="20"/>
                <w:color w:val="auto"/>
              </w:rPr>
            </w:pPr>
            <w:r>
              <w:rPr>
                <w:rFonts w:ascii="Arial" w:cs="Arial" w:eastAsia="Arial" w:hAnsi="Arial"/>
                <w:sz w:val="18"/>
                <w:szCs w:val="18"/>
                <w:color w:val="auto"/>
              </w:rPr>
              <w:t>NM</w:t>
            </w: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940" w:type="dxa"/>
            <w:vAlign w:val="bottom"/>
            <w:gridSpan w:val="3"/>
          </w:tcPr>
          <w:p>
            <w:pPr>
              <w:ind w:left="920"/>
              <w:spacing w:after="0"/>
              <w:rPr>
                <w:sz w:val="20"/>
                <w:szCs w:val="20"/>
                <w:color w:val="auto"/>
              </w:rPr>
            </w:pPr>
            <w:r>
              <w:rPr>
                <w:rFonts w:ascii="Arial" w:cs="Arial" w:eastAsia="Arial" w:hAnsi="Arial"/>
                <w:sz w:val="18"/>
                <w:szCs w:val="18"/>
                <w:color w:val="auto"/>
              </w:rPr>
              <w:t>WA</w:t>
            </w: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12</w:t>
            </w:r>
          </w:p>
        </w:tc>
      </w:tr>
      <w:tr>
        <w:trPr>
          <w:trHeight w:val="230"/>
        </w:trPr>
        <w:tc>
          <w:tcPr>
            <w:tcW w:w="20" w:type="dxa"/>
            <w:vAlign w:val="bottom"/>
          </w:tcPr>
          <w:p>
            <w:pPr>
              <w:spacing w:after="0"/>
              <w:rPr>
                <w:sz w:val="19"/>
                <w:szCs w:val="19"/>
                <w:color w:val="auto"/>
              </w:rPr>
            </w:pPr>
          </w:p>
        </w:tc>
        <w:tc>
          <w:tcPr>
            <w:tcW w:w="10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KS</w:t>
            </w:r>
          </w:p>
        </w:tc>
        <w:tc>
          <w:tcPr>
            <w:tcW w:w="14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5</w:t>
            </w:r>
          </w:p>
        </w:tc>
        <w:tc>
          <w:tcPr>
            <w:tcW w:w="1920" w:type="dxa"/>
            <w:vAlign w:val="bottom"/>
            <w:gridSpan w:val="3"/>
            <w:shd w:val="clear" w:color="auto" w:fill="CFF0FC"/>
          </w:tcPr>
          <w:p>
            <w:pPr>
              <w:ind w:left="900"/>
              <w:spacing w:after="0"/>
              <w:rPr>
                <w:sz w:val="20"/>
                <w:szCs w:val="20"/>
                <w:color w:val="auto"/>
              </w:rPr>
            </w:pPr>
            <w:r>
              <w:rPr>
                <w:rFonts w:ascii="Arial" w:cs="Arial" w:eastAsia="Arial" w:hAnsi="Arial"/>
                <w:sz w:val="18"/>
                <w:szCs w:val="18"/>
                <w:color w:val="auto"/>
              </w:rPr>
              <w:t>NV</w:t>
            </w:r>
          </w:p>
        </w:tc>
        <w:tc>
          <w:tcPr>
            <w:tcW w:w="14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7</w:t>
            </w:r>
          </w:p>
        </w:tc>
        <w:tc>
          <w:tcPr>
            <w:tcW w:w="1940" w:type="dxa"/>
            <w:vAlign w:val="bottom"/>
            <w:gridSpan w:val="3"/>
            <w:shd w:val="clear" w:color="auto" w:fill="CFF0FC"/>
          </w:tcPr>
          <w:p>
            <w:pPr>
              <w:ind w:left="920"/>
              <w:spacing w:after="0"/>
              <w:rPr>
                <w:sz w:val="20"/>
                <w:szCs w:val="20"/>
                <w:color w:val="auto"/>
              </w:rPr>
            </w:pPr>
            <w:r>
              <w:rPr>
                <w:rFonts w:ascii="Arial" w:cs="Arial" w:eastAsia="Arial" w:hAnsi="Arial"/>
                <w:sz w:val="18"/>
                <w:szCs w:val="18"/>
                <w:color w:val="auto"/>
              </w:rPr>
              <w:t>WI</w:t>
            </w:r>
          </w:p>
        </w:tc>
        <w:tc>
          <w:tcPr>
            <w:tcW w:w="14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10</w:t>
            </w:r>
          </w:p>
        </w:tc>
      </w:tr>
      <w:tr>
        <w:trPr>
          <w:trHeight w:val="230"/>
        </w:trPr>
        <w:tc>
          <w:tcPr>
            <w:tcW w:w="20" w:type="dxa"/>
            <w:vAlign w:val="bottom"/>
          </w:tcPr>
          <w:p>
            <w:pPr>
              <w:spacing w:after="0"/>
              <w:rPr>
                <w:sz w:val="20"/>
                <w:szCs w:val="20"/>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rPr>
              <w:t>KY</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9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spacing w:after="0"/>
              <w:rPr>
                <w:sz w:val="20"/>
                <w:szCs w:val="20"/>
                <w:color w:val="auto"/>
              </w:rPr>
            </w:pPr>
          </w:p>
        </w:tc>
      </w:tr>
    </w:tbl>
    <w:p>
      <w:pPr>
        <w:spacing w:after="0" w:line="200" w:lineRule="exact"/>
        <w:rPr>
          <w:sz w:val="20"/>
          <w:szCs w:val="20"/>
          <w:color w:val="auto"/>
        </w:rPr>
      </w:pPr>
    </w:p>
    <w:p>
      <w:pPr>
        <w:spacing w:after="0" w:line="23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internet store is excluded from the above table.</w:t>
      </w:r>
    </w:p>
    <w:p>
      <w:pPr>
        <w:spacing w:after="0" w:line="225"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Our store sales area is organized by merchandise category with flexibility to quickly expand or contract category offerings in response to changes in consumer preferences. Our typical store features open sight lines, bright overhead lighting and clear signage to promote easy navigation through the store. We highlight the best brands and freshest product in four way fixtures along the aisles with additional merchandise arranged by size in H-racks. We believe our clean, organized merchandise presentation highlights the brands, value, selection and sizing within assortments and promotes a self-service, treasure hunt experience for our customers.</w:t>
      </w:r>
    </w:p>
    <w:p>
      <w:pPr>
        <w:spacing w:after="0" w:line="188"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Our store managers are accountable for the sales and profitability of their stores. The store leadership team is comprised of a store manager and one or more assistant managers. The stores are led by their regional team, consisting of a regional vice president and regional managers in operations, human resources and loss prevention. The regional vice president sets the priorities for the team and ensures the stores are supported in their overall mission to grow sales and profitability.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Store Expansion and Real Estate Strategy</w:t>
      </w:r>
    </w:p>
    <w:p>
      <w:pPr>
        <w:spacing w:after="0" w:line="121" w:lineRule="exact"/>
        <w:rPr>
          <w:sz w:val="20"/>
          <w:szCs w:val="20"/>
          <w:color w:val="auto"/>
        </w:rPr>
      </w:pPr>
    </w:p>
    <w:p>
      <w:pPr>
        <w:ind w:right="440" w:firstLine="518"/>
        <w:spacing w:after="0" w:line="286" w:lineRule="auto"/>
        <w:rPr>
          <w:sz w:val="20"/>
          <w:szCs w:val="20"/>
          <w:color w:val="auto"/>
        </w:rPr>
      </w:pPr>
      <w:r>
        <w:rPr>
          <w:rFonts w:ascii="Arial" w:cs="Arial" w:eastAsia="Arial" w:hAnsi="Arial"/>
          <w:sz w:val="17"/>
          <w:szCs w:val="17"/>
          <w:color w:val="auto"/>
        </w:rPr>
        <w:t>We continue to explore expansion opportunities both within our current market areas and in other regions. We believe that our ability to find satisfactory locations for our stores is essential for the continued growth of our business. The opening of stores generally is contingent upon a number of factors, including the availability of desirable locations with suitable structures and the negotiation of acceptable lease terms.</w:t>
      </w:r>
    </w:p>
    <w:p>
      <w:pPr>
        <w:spacing w:after="0" w:line="166" w:lineRule="exact"/>
        <w:rPr>
          <w:sz w:val="20"/>
          <w:szCs w:val="20"/>
          <w:color w:val="auto"/>
        </w:rPr>
      </w:pPr>
    </w:p>
    <w:p>
      <w:pPr>
        <w:ind w:right="60" w:firstLine="518"/>
        <w:spacing w:after="0" w:line="279" w:lineRule="auto"/>
        <w:rPr>
          <w:sz w:val="20"/>
          <w:szCs w:val="20"/>
          <w:color w:val="auto"/>
        </w:rPr>
      </w:pPr>
      <w:r>
        <w:rPr>
          <w:rFonts w:ascii="Arial" w:cs="Arial" w:eastAsia="Arial" w:hAnsi="Arial"/>
          <w:sz w:val="17"/>
          <w:szCs w:val="17"/>
          <w:color w:val="auto"/>
        </w:rPr>
        <w:t>We have a proven track record of new store expansion. Our store base has grown from 13 stores in 1980 to 629 stores, inclusive of an internet store, as of February 3, 2018. If we identify appropriate locations, we believe that we will be able to execute our growth strategy without significantly impacting our current stores. We have identified numerous market opportunities that we believe will allow us to reach 1,000 stores over the long-term. The table below shows our store openings and closings each of the last three fiscal years, exclusive of relocations.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Fiscal 2017</w:t>
            </w:r>
          </w:p>
        </w:tc>
        <w:tc>
          <w:tcPr>
            <w:tcW w:w="12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Fiscal 2016</w:t>
            </w:r>
          </w:p>
        </w:tc>
        <w:tc>
          <w:tcPr>
            <w:tcW w:w="11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Fiscal 2015</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Stores (beginning of period)</w:t>
            </w:r>
          </w:p>
        </w:tc>
        <w:tc>
          <w:tcPr>
            <w:tcW w:w="218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592</w:t>
            </w:r>
          </w:p>
        </w:tc>
        <w:tc>
          <w:tcPr>
            <w:tcW w:w="20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567</w:t>
            </w:r>
          </w:p>
        </w:tc>
        <w:tc>
          <w:tcPr>
            <w:tcW w:w="20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542</w:t>
            </w:r>
          </w:p>
        </w:tc>
        <w:tc>
          <w:tcPr>
            <w:tcW w:w="80" w:type="dxa"/>
            <w:vAlign w:val="bottom"/>
            <w:tcBorders>
              <w:top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Stores opened</w:t>
            </w:r>
          </w:p>
        </w:tc>
        <w:tc>
          <w:tcPr>
            <w:tcW w:w="324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Stores closed</w:t>
            </w:r>
          </w:p>
        </w:tc>
        <w:tc>
          <w:tcPr>
            <w:tcW w:w="344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(6)</w:t>
            </w: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w:t>
            </w: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20" w:type="dxa"/>
            <w:vAlign w:val="bottom"/>
            <w:gridSpan w:val="2"/>
          </w:tcPr>
          <w:p>
            <w:pPr>
              <w:ind w:left="1140"/>
              <w:spacing w:after="0"/>
              <w:rPr>
                <w:sz w:val="20"/>
                <w:szCs w:val="20"/>
                <w:color w:val="auto"/>
              </w:rPr>
            </w:pPr>
            <w:r>
              <w:rPr>
                <w:rFonts w:ascii="Arial" w:cs="Arial" w:eastAsia="Arial" w:hAnsi="Arial"/>
                <w:sz w:val="18"/>
                <w:szCs w:val="18"/>
                <w:color w:val="auto"/>
              </w:rPr>
              <w:t>Stores (end of period)</w:t>
            </w:r>
          </w:p>
        </w:tc>
        <w:tc>
          <w:tcPr>
            <w:tcW w:w="218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629</w:t>
            </w:r>
          </w:p>
        </w:tc>
        <w:tc>
          <w:tcPr>
            <w:tcW w:w="20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592</w:t>
            </w:r>
          </w:p>
        </w:tc>
        <w:tc>
          <w:tcPr>
            <w:tcW w:w="20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567</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180" w:type="dxa"/>
            <w:vAlign w:val="bottom"/>
            <w:vMerge w:val="restart"/>
          </w:tcPr>
          <w:p>
            <w:pPr>
              <w:jc w:val="right"/>
              <w:ind w:right="750"/>
              <w:spacing w:after="0"/>
              <w:rPr>
                <w:sz w:val="20"/>
                <w:szCs w:val="20"/>
                <w:color w:val="auto"/>
              </w:rPr>
            </w:pPr>
            <w:r>
              <w:rPr>
                <w:rFonts w:ascii="Arial" w:cs="Arial" w:eastAsia="Arial" w:hAnsi="Arial"/>
                <w:sz w:val="18"/>
                <w:szCs w:val="18"/>
                <w:color w:val="auto"/>
              </w:rPr>
              <w:t>2</w:t>
            </w: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16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18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3260" w:type="dxa"/>
            <w:vAlign w:val="bottom"/>
            <w:tcBorders>
              <w:bottom w:val="single" w:sz="8" w:color="9A9A9A"/>
            </w:tcBorders>
          </w:tcPr>
          <w:p>
            <w:pPr>
              <w:spacing w:after="0"/>
              <w:rPr>
                <w:sz w:val="10"/>
                <w:szCs w:val="10"/>
                <w:color w:val="auto"/>
              </w:rPr>
            </w:pPr>
          </w:p>
        </w:tc>
        <w:tc>
          <w:tcPr>
            <w:tcW w:w="21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Distribution and Warehousing</w:t>
      </w:r>
    </w:p>
    <w:p>
      <w:pPr>
        <w:spacing w:after="0" w:line="229" w:lineRule="exact"/>
        <w:rPr>
          <w:sz w:val="20"/>
          <w:szCs w:val="20"/>
          <w:color w:val="auto"/>
        </w:rPr>
      </w:pPr>
    </w:p>
    <w:p>
      <w:pPr>
        <w:ind w:right="240" w:firstLine="518"/>
        <w:spacing w:after="0" w:line="279" w:lineRule="auto"/>
        <w:rPr>
          <w:sz w:val="20"/>
          <w:szCs w:val="20"/>
          <w:color w:val="auto"/>
        </w:rPr>
      </w:pPr>
      <w:r>
        <w:rPr>
          <w:rFonts w:ascii="Arial" w:cs="Arial" w:eastAsia="Arial" w:hAnsi="Arial"/>
          <w:sz w:val="17"/>
          <w:szCs w:val="17"/>
          <w:color w:val="auto"/>
        </w:rPr>
        <w:t>We have four distribution centers that shipped approximately 96% of merchandise units to our stores in Fiscal 2017. The remaining 4% of merchandise units are drop shipped by our vendors directly to our stores. Our two east coast distribution centers are located in Edgewater Park, New Jersey and Burlington, New Jersey. Our two west coast distribution centers are located in San Bernardino, California and Redlands, California. These four distribution centers occupy an aggregate of 2,786,000 square feet, and each includes processing, shipping and storage capabilities.</w:t>
      </w:r>
    </w:p>
    <w:p>
      <w:pPr>
        <w:spacing w:after="0" w:line="171"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We also operate three warehousing facilities to support our distribution centers. The east coast has two supporting warehouses in Burlington, New Jersey. The west coast has one supporting warehouse in Redlands, California. These three warehousing facilities occupy an aggregate of 1,456,000 square feet and primarily serve as storage facilities.</w:t>
      </w:r>
    </w:p>
    <w:p>
      <w:pPr>
        <w:spacing w:after="0" w:line="181" w:lineRule="exact"/>
        <w:rPr>
          <w:sz w:val="20"/>
          <w:szCs w:val="20"/>
          <w:color w:val="auto"/>
        </w:rPr>
      </w:pPr>
    </w:p>
    <w:p>
      <w:pPr>
        <w:ind w:right="280" w:firstLine="518"/>
        <w:spacing w:after="0" w:line="277" w:lineRule="auto"/>
        <w:rPr>
          <w:sz w:val="20"/>
          <w:szCs w:val="20"/>
          <w:color w:val="auto"/>
        </w:rPr>
      </w:pPr>
      <w:r>
        <w:rPr>
          <w:rFonts w:ascii="Arial" w:cs="Arial" w:eastAsia="Arial" w:hAnsi="Arial"/>
          <w:sz w:val="18"/>
          <w:szCs w:val="18"/>
          <w:color w:val="auto"/>
        </w:rPr>
        <w:t>In addition, we occupy approximately 180,000 square feet of space at a third-party logistics center in Plainfield, Indiana to support our e-commerce business.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Service</w:t>
      </w:r>
    </w:p>
    <w:p>
      <w:pPr>
        <w:spacing w:after="0" w:line="121" w:lineRule="exact"/>
        <w:rPr>
          <w:sz w:val="20"/>
          <w:szCs w:val="20"/>
          <w:color w:val="auto"/>
        </w:rPr>
      </w:pPr>
    </w:p>
    <w:p>
      <w:pPr>
        <w:ind w:right="240" w:firstLine="518"/>
        <w:spacing w:after="0" w:line="312" w:lineRule="auto"/>
        <w:rPr>
          <w:sz w:val="20"/>
          <w:szCs w:val="20"/>
          <w:color w:val="auto"/>
        </w:rPr>
      </w:pPr>
      <w:r>
        <w:rPr>
          <w:rFonts w:ascii="Arial" w:cs="Arial" w:eastAsia="Arial" w:hAnsi="Arial"/>
          <w:sz w:val="16"/>
          <w:szCs w:val="16"/>
          <w:color w:val="auto"/>
        </w:rPr>
        <w:t>We are committed to providing our customers with an enjoyable shopping experience in stores that are clean, neat and easy to shop. In training our employees, our goal is to emphasize knowledgeable, friendly customer service and a sense of professional pride. We offer our customers special services to enhance the convenience of their shopping experience, such as layaway, baby gift registry and professional tailors (in selected stores).</w:t>
      </w:r>
    </w:p>
    <w:p>
      <w:pPr>
        <w:spacing w:after="0" w:line="147"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We have empowered our store teams to provide an outstanding customer experience for every customer in every store, every day. We have streamlined processes and will continue to strive to create opportunities for fast and friendly customer interactions. Our goal for our stores is to reflect clean, organized merchandise presentations that highlight the brands, value and diversity of selection within our assortments.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Off-Price Sourcing and Merchandising Model</w:t>
      </w:r>
    </w:p>
    <w:p>
      <w:pPr>
        <w:spacing w:after="0" w:line="121" w:lineRule="exact"/>
        <w:rPr>
          <w:sz w:val="20"/>
          <w:szCs w:val="20"/>
          <w:color w:val="auto"/>
        </w:rPr>
      </w:pPr>
    </w:p>
    <w:p>
      <w:pPr>
        <w:ind w:right="40" w:firstLine="518"/>
        <w:spacing w:after="0" w:line="297" w:lineRule="auto"/>
        <w:rPr>
          <w:sz w:val="20"/>
          <w:szCs w:val="20"/>
          <w:color w:val="auto"/>
        </w:rPr>
      </w:pPr>
      <w:r>
        <w:rPr>
          <w:rFonts w:ascii="Arial" w:cs="Arial" w:eastAsia="Arial" w:hAnsi="Arial"/>
          <w:sz w:val="16"/>
          <w:szCs w:val="16"/>
          <w:color w:val="auto"/>
        </w:rPr>
        <w:t>Our “open to buy” off-price model enables us to provide our customers with products that are nationally branded, fashionable, high quality and priced right. We have an experienced team of General Merchandise Managers, Divisional Merchandise Managers and buyers focused on improving comparable store inventory turnover, inventory age and freshness of merchandise. We purchase merchandise from many suppliers, none of which accounted for more than 4% of our net purchases during Fiscal 2017, Fiscal 2016 or Fiscal 2015. We have no long-term purchase commitments or arrangements with any of our suppliers, and believe that we are not dependent on any one supplier. We continue to have good working relationships with our suppliers.</w:t>
      </w:r>
    </w:p>
    <w:p>
      <w:pPr>
        <w:spacing w:after="0" w:line="158" w:lineRule="exact"/>
        <w:rPr>
          <w:sz w:val="20"/>
          <w:szCs w:val="20"/>
          <w:color w:val="auto"/>
        </w:rPr>
      </w:pPr>
    </w:p>
    <w:p>
      <w:pPr>
        <w:ind w:right="100" w:firstLine="518"/>
        <w:spacing w:after="0" w:line="276" w:lineRule="auto"/>
        <w:rPr>
          <w:sz w:val="20"/>
          <w:szCs w:val="20"/>
          <w:color w:val="auto"/>
        </w:rPr>
      </w:pPr>
      <w:r>
        <w:rPr>
          <w:rFonts w:ascii="Arial" w:cs="Arial" w:eastAsia="Arial" w:hAnsi="Arial"/>
          <w:sz w:val="17"/>
          <w:szCs w:val="17"/>
          <w:color w:val="auto"/>
        </w:rPr>
        <w:t>We have designed our merchant organization so that buyers focus primarily on buying, planners focus primarily on planning, and information systems help inform data-driven decisions for both groups. Buyers are in the market each week and focus on purchasing great products for great value. We seek to purchase a majority of our merchandise in-season. Buyers spend time interacting face-to-face with new and existing vendors and on continuously evaluating trends in the market to which we believe our customers would respond positively. Our buyers use a merchant scorecard that rates products across four key attributes—fashion, quality, brand and price—to help formalize a framework for buying decisions.</w:t>
      </w:r>
    </w:p>
    <w:p>
      <w:pPr>
        <w:spacing w:after="0" w:line="173"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Our merchandising model allows us to provide our customers with a wide breadth of product categories. Sales percentage by major product category is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60" w:type="dxa"/>
            <w:vAlign w:val="bottom"/>
            <w:gridSpan w:val="2"/>
          </w:tcPr>
          <w:p>
            <w:pPr>
              <w:ind w:left="1140"/>
              <w:spacing w:after="0"/>
              <w:rPr>
                <w:sz w:val="20"/>
                <w:szCs w:val="20"/>
                <w:color w:val="auto"/>
              </w:rPr>
            </w:pPr>
            <w:r>
              <w:rPr>
                <w:rFonts w:ascii="Arial" w:cs="Arial" w:eastAsia="Arial" w:hAnsi="Arial"/>
                <w:sz w:val="14"/>
                <w:szCs w:val="14"/>
                <w:b w:val="1"/>
                <w:bCs w:val="1"/>
                <w:color w:val="auto"/>
              </w:rPr>
              <w:t>Category</w:t>
            </w:r>
          </w:p>
        </w:tc>
        <w:tc>
          <w:tcPr>
            <w:tcW w:w="1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ind w:left="180"/>
              <w:spacing w:after="0"/>
              <w:rPr>
                <w:sz w:val="20"/>
                <w:szCs w:val="20"/>
                <w:color w:val="auto"/>
              </w:rPr>
            </w:pPr>
            <w:r>
              <w:rPr>
                <w:rFonts w:ascii="Arial" w:cs="Arial" w:eastAsia="Arial" w:hAnsi="Arial"/>
                <w:sz w:val="14"/>
                <w:szCs w:val="14"/>
                <w:b w:val="1"/>
                <w:bCs w:val="1"/>
                <w:color w:val="auto"/>
              </w:rPr>
              <w:t>Fiscal 2017</w:t>
            </w:r>
          </w:p>
        </w:tc>
        <w:tc>
          <w:tcPr>
            <w:tcW w:w="13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Fiscal 2016</w:t>
            </w:r>
          </w:p>
        </w:tc>
        <w:tc>
          <w:tcPr>
            <w:tcW w:w="12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Fiscal 2015</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40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FF0FC"/>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tcPr>
          <w:p>
            <w:pPr>
              <w:spacing w:after="0"/>
              <w:rPr>
                <w:sz w:val="19"/>
                <w:szCs w:val="19"/>
                <w:color w:val="auto"/>
              </w:rPr>
            </w:pPr>
          </w:p>
        </w:tc>
        <w:tc>
          <w:tcPr>
            <w:tcW w:w="3400" w:type="dxa"/>
            <w:vAlign w:val="bottom"/>
            <w:shd w:val="clear" w:color="auto" w:fill="CFF0FC"/>
          </w:tcPr>
          <w:p>
            <w:pPr>
              <w:spacing w:after="0"/>
              <w:rPr>
                <w:sz w:val="20"/>
                <w:szCs w:val="20"/>
                <w:color w:val="auto"/>
              </w:rPr>
            </w:pPr>
            <w:r>
              <w:rPr>
                <w:rFonts w:ascii="Arial" w:cs="Arial" w:eastAsia="Arial" w:hAnsi="Arial"/>
                <w:sz w:val="18"/>
                <w:szCs w:val="18"/>
                <w:color w:val="auto"/>
              </w:rPr>
              <w:t>Women’s ready-to-wear apparel</w:t>
            </w:r>
          </w:p>
        </w:tc>
        <w:tc>
          <w:tcPr>
            <w:tcW w:w="1680" w:type="dxa"/>
            <w:vAlign w:val="bottom"/>
            <w:shd w:val="clear" w:color="auto" w:fill="CFF0FC"/>
          </w:tcPr>
          <w:p>
            <w:pPr>
              <w:spacing w:after="0"/>
              <w:rPr>
                <w:sz w:val="19"/>
                <w:szCs w:val="19"/>
                <w:color w:val="auto"/>
              </w:rPr>
            </w:pPr>
          </w:p>
        </w:tc>
        <w:tc>
          <w:tcPr>
            <w:tcW w:w="120" w:type="dxa"/>
            <w:vAlign w:val="bottom"/>
            <w:vMerge w:val="continue"/>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20" w:type="dxa"/>
            <w:vAlign w:val="bottom"/>
            <w:vMerge w:val="continue"/>
            <w:shd w:val="clear" w:color="auto" w:fill="CFF0FC"/>
          </w:tcPr>
          <w:p>
            <w:pPr>
              <w:spacing w:after="0"/>
              <w:rPr>
                <w:sz w:val="19"/>
                <w:szCs w:val="19"/>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24%</w:t>
            </w: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24%</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Accessories and footwear</w:t>
            </w:r>
          </w:p>
        </w:tc>
        <w:tc>
          <w:tcPr>
            <w:tcW w:w="3060" w:type="dxa"/>
            <w:vAlign w:val="bottom"/>
            <w:gridSpan w:val="3"/>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22%</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400" w:type="dxa"/>
            <w:vAlign w:val="bottom"/>
            <w:shd w:val="clear" w:color="auto" w:fill="CFF0FC"/>
          </w:tcPr>
          <w:p>
            <w:pPr>
              <w:spacing w:after="0"/>
              <w:rPr>
                <w:sz w:val="20"/>
                <w:szCs w:val="20"/>
                <w:color w:val="auto"/>
              </w:rPr>
            </w:pPr>
            <w:r>
              <w:rPr>
                <w:rFonts w:ascii="Arial" w:cs="Arial" w:eastAsia="Arial" w:hAnsi="Arial"/>
                <w:sz w:val="18"/>
                <w:szCs w:val="18"/>
                <w:color w:val="auto"/>
              </w:rPr>
              <w:t>Menswear</w:t>
            </w:r>
          </w:p>
        </w:tc>
        <w:tc>
          <w:tcPr>
            <w:tcW w:w="30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20%</w:t>
            </w: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Youth apparel/baby</w:t>
            </w:r>
          </w:p>
        </w:tc>
        <w:tc>
          <w:tcPr>
            <w:tcW w:w="3060" w:type="dxa"/>
            <w:vAlign w:val="bottom"/>
            <w:gridSpan w:val="3"/>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16%</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400" w:type="dxa"/>
            <w:vAlign w:val="bottom"/>
            <w:shd w:val="clear" w:color="auto" w:fill="CFF0FC"/>
          </w:tcPr>
          <w:p>
            <w:pPr>
              <w:spacing w:after="0"/>
              <w:rPr>
                <w:sz w:val="20"/>
                <w:szCs w:val="20"/>
                <w:color w:val="auto"/>
              </w:rPr>
            </w:pPr>
            <w:r>
              <w:rPr>
                <w:rFonts w:ascii="Arial" w:cs="Arial" w:eastAsia="Arial" w:hAnsi="Arial"/>
                <w:sz w:val="18"/>
                <w:szCs w:val="18"/>
                <w:color w:val="auto"/>
              </w:rPr>
              <w:t>Home</w:t>
            </w:r>
          </w:p>
        </w:tc>
        <w:tc>
          <w:tcPr>
            <w:tcW w:w="30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12%</w:t>
            </w: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Coats</w:t>
            </w:r>
          </w:p>
        </w:tc>
        <w:tc>
          <w:tcPr>
            <w:tcW w:w="3060" w:type="dxa"/>
            <w:vAlign w:val="bottom"/>
            <w:gridSpan w:val="3"/>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7"/>
        </w:trPr>
        <w:tc>
          <w:tcPr>
            <w:tcW w:w="11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680" w:type="dxa"/>
            <w:vAlign w:val="bottom"/>
          </w:tcPr>
          <w:p>
            <w:pPr>
              <w:jc w:val="right"/>
              <w:ind w:right="39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340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86" w:right="21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E-Commerce</w:t>
      </w:r>
    </w:p>
    <w:p>
      <w:pPr>
        <w:spacing w:after="0" w:line="121"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We employ an e-commerce strategy currently focused on increasing awareness of the breadth of our merchandise selection, great brands and values, as well as driving traffic to our stores and selling merchandise directly from our website. We execute our strategy through our website and through social media platforms such as Facebook, Twitter and Pinterest. In recent years, we have focused on improving our online assortment, optimizing the user experience across devices, and improving our shipping and fulfillment capabilities in order to elevate the digital experience with our company for both new and existing customers.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Demographic</w:t>
      </w:r>
    </w:p>
    <w:p>
      <w:pPr>
        <w:spacing w:after="0" w:line="121" w:lineRule="exact"/>
        <w:rPr>
          <w:sz w:val="20"/>
          <w:szCs w:val="20"/>
          <w:color w:val="auto"/>
        </w:rPr>
      </w:pPr>
    </w:p>
    <w:p>
      <w:pPr>
        <w:ind w:right="220" w:firstLine="518"/>
        <w:spacing w:after="0" w:line="312" w:lineRule="auto"/>
        <w:rPr>
          <w:sz w:val="20"/>
          <w:szCs w:val="20"/>
          <w:color w:val="auto"/>
        </w:rPr>
      </w:pPr>
      <w:r>
        <w:rPr>
          <w:rFonts w:ascii="Arial" w:cs="Arial" w:eastAsia="Arial" w:hAnsi="Arial"/>
          <w:sz w:val="16"/>
          <w:szCs w:val="16"/>
          <w:color w:val="auto"/>
        </w:rPr>
        <w:t>Our core customer is the 25-49 year old woman, with an average annual household income of $25,000-$100,000. The core customer is educated, resides in mid- to large-sized metropolitan areas and is a brand conscious fashion enthusiast. This customer shops for herself, her family, and her home. We appeal to value seeking and fashion conscious customers who are price-driven but enjoy the style and fit of high-quality, branded merchandise.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and Advertising</w:t>
      </w:r>
    </w:p>
    <w:p>
      <w:pPr>
        <w:spacing w:after="0" w:line="121" w:lineRule="exact"/>
        <w:rPr>
          <w:sz w:val="20"/>
          <w:szCs w:val="20"/>
          <w:color w:val="auto"/>
        </w:rPr>
      </w:pPr>
    </w:p>
    <w:p>
      <w:pPr>
        <w:ind w:right="360" w:firstLine="518"/>
        <w:spacing w:after="0" w:line="286" w:lineRule="auto"/>
        <w:rPr>
          <w:sz w:val="20"/>
          <w:szCs w:val="20"/>
          <w:color w:val="auto"/>
        </w:rPr>
      </w:pPr>
      <w:r>
        <w:rPr>
          <w:rFonts w:ascii="Arial" w:cs="Arial" w:eastAsia="Arial" w:hAnsi="Arial"/>
          <w:sz w:val="17"/>
          <w:szCs w:val="17"/>
          <w:color w:val="auto"/>
        </w:rPr>
        <w:t>We use a variety of broad-based and targeted marketing strategies to efficiently deliver the right message to the targeted audience at the right time. These strategies include national television, direct mail, email, digital marketing, local radio and out-of-home communications. Our broad television broadcast communication and reach is balanced with relevant customer contacts to increase frequency of store visits.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Information Systems and Processes</w:t>
      </w:r>
    </w:p>
    <w:p>
      <w:pPr>
        <w:spacing w:after="0" w:line="121" w:lineRule="exact"/>
        <w:rPr>
          <w:sz w:val="20"/>
          <w:szCs w:val="20"/>
          <w:color w:val="auto"/>
        </w:rPr>
      </w:pPr>
    </w:p>
    <w:p>
      <w:pPr>
        <w:ind w:right="220" w:firstLine="518"/>
        <w:spacing w:after="0" w:line="259" w:lineRule="auto"/>
        <w:rPr>
          <w:sz w:val="20"/>
          <w:szCs w:val="20"/>
          <w:color w:val="auto"/>
        </w:rPr>
      </w:pPr>
      <w:r>
        <w:rPr>
          <w:rFonts w:ascii="Arial" w:cs="Arial" w:eastAsia="Arial" w:hAnsi="Arial"/>
          <w:sz w:val="18"/>
          <w:szCs w:val="18"/>
          <w:color w:val="auto"/>
        </w:rPr>
        <w:t>We utilize a combination of industry-standard third party and internally developed information technology and system solutions to support our business functions. We continually evaluate and implement business system technologies and solutions that enhance the consistency of our execution and improve the scalability of business system functions. We utilize standard methodologies to evaluate new initiatives across our entire organization and make data-driven decisions that support our growth and cost management initiatives.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20" w:firstLine="518"/>
        <w:spacing w:after="0" w:line="273" w:lineRule="auto"/>
        <w:rPr>
          <w:sz w:val="20"/>
          <w:szCs w:val="20"/>
          <w:color w:val="auto"/>
        </w:rPr>
      </w:pPr>
      <w:r>
        <w:rPr>
          <w:rFonts w:ascii="Arial" w:cs="Arial" w:eastAsia="Arial" w:hAnsi="Arial"/>
          <w:sz w:val="17"/>
          <w:szCs w:val="17"/>
          <w:color w:val="auto"/>
        </w:rPr>
        <w:t>The U.S. retail apparel and home furnishings markets are highly fragmented and competitive. We compete on the basis of a combination of factors, including among others, price, breadth, quality and style of merchandise offered, in-store experience, level of customer service, ability to identify and respond to new and emerging fashion trends, brand image and scalability. We compete for business with department stores, off-price retailers, specialty stores, discount stores, wholesale clubs, and outlet stores as well as with certain traditional, full-price retail chains that have developed off-pricing concepts. At various times throughout the year, traditional full-price department store chains and specialty shops offer brand-name merchandise at substantial markdowns, which can result in prices approximating those offered by us at our stores.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Our business, like that of most retailers, is subject to seasonal influences. In the second half of the year, which includes the back-to-school and holiday seasons, we generally realize a higher level of sales and net income. Weather is also a contributing factor to the sale of our clothing. Generally, our sales are higher if the weather is cold during the Fall and warm during the early Spring. Sales of cold weather clothing are increased by early cold weather during the Fall, while sales of warm weather clothing are improved by early warm weather conditions in the Spring. Although we have diversified our product offerings, we believe traffic to our stores is still driven, in part, by weather patterns.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121"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We own the trademarks, service marks and tradenames that we use in connection with the operation of our business. Our trademarks include “Burlington Stores,” “BCF,” “Burlington,” “Burlington Coat Factory,” “Cohoes,” “Luxury Linens,” “MJM Designer Shoes,” and “Baby Depot.” We consider these trademarks and the accompanying name recognition to be valuable to our business. We believe that our rights to these properties are adequately protected. Our rights in these trademarks endure for as long as they are used.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right="140" w:firstLine="518"/>
        <w:spacing w:after="0" w:line="286" w:lineRule="auto"/>
        <w:rPr>
          <w:sz w:val="20"/>
          <w:szCs w:val="20"/>
          <w:color w:val="auto"/>
        </w:rPr>
      </w:pPr>
      <w:r>
        <w:rPr>
          <w:rFonts w:ascii="Arial" w:cs="Arial" w:eastAsia="Arial" w:hAnsi="Arial"/>
          <w:sz w:val="17"/>
          <w:szCs w:val="17"/>
          <w:color w:val="auto"/>
        </w:rPr>
        <w:t>As of February 3, 2018, we employed approximately 40,000 people, including part-time and seasonal employees. Our staffing requirements fluctuate during the year as a result of the seasonality of our business. We hire additional employees and increase the hours of part-time employees during seasonal peak selling periods. As of February 3, 2018, employees at one of our stores were subject to a collective bargaining agreement.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We are subject to the reporting requirements of the Securities Exchange Act of 1934, as amended (the Exchange Act). Therefore, we file reports, proxy statements and other information with the Securities and Exchange Commission (SEC). Copies of such reports, proxy statements, and other information may be obtained by visiting the Public Reference Room of the SEC at 100 F Street, NE, Washington, DC 20549 or by calling the SEC at 1-800-SEC-0330. In addition, the SEC maintains a website (</w:t>
      </w:r>
      <w:r>
        <w:rPr>
          <w:rFonts w:ascii="Arial" w:cs="Arial" w:eastAsia="Arial" w:hAnsi="Arial"/>
          <w:sz w:val="18"/>
          <w:szCs w:val="18"/>
          <w:u w:val="single" w:color="auto"/>
          <w:color w:val="auto"/>
        </w:rPr>
        <w:t>http://www.sec.gov</w:t>
      </w:r>
      <w:r>
        <w:rPr>
          <w:rFonts w:ascii="Arial" w:cs="Arial" w:eastAsia="Arial" w:hAnsi="Arial"/>
          <w:sz w:val="18"/>
          <w:szCs w:val="18"/>
          <w:color w:val="auto"/>
        </w:rPr>
        <w:t>) that contains reports, proxy and information statements, and other information regarding issuers that file electronically with the SEC.</w:t>
      </w:r>
    </w:p>
    <w:p>
      <w:pPr>
        <w:spacing w:after="0" w:line="80"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 xml:space="preserve">You can access financial and other information about us in the Investor Relations section of our website, which can be accessed at </w:t>
      </w:r>
      <w:r>
        <w:rPr>
          <w:rFonts w:ascii="Arial" w:cs="Arial" w:eastAsia="Arial" w:hAnsi="Arial"/>
          <w:sz w:val="18"/>
          <w:szCs w:val="18"/>
          <w:u w:val="single" w:color="auto"/>
          <w:color w:val="auto"/>
        </w:rPr>
        <w:t>www.burlington.com</w:t>
      </w:r>
      <w:r>
        <w:rPr>
          <w:rFonts w:ascii="Arial" w:cs="Arial" w:eastAsia="Arial" w:hAnsi="Arial"/>
          <w:sz w:val="18"/>
          <w:szCs w:val="18"/>
          <w:color w:val="auto"/>
        </w:rPr>
        <w:t>. We make available through our website, free of charge, copies of our annual report on Form 10-K, quarterly reports on Form 10-Q, current reports on Form 8-K and amendments to those reports filed with or furnished to the SEC under Section 13(a) or 15(d) of the Exchange Act as soon as reasonably practicable after electronically filing or furnishing such material to the SEC. The information contained on, or accessible through, our website is not part of this Annual Report and is therefore not incorporated by reference. The reference to our website address is intended to be an inactive textual reference only.</w:t>
      </w:r>
    </w:p>
    <w:p>
      <w:pPr>
        <w:spacing w:after="0" w:line="17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21" w:lineRule="exact"/>
        <w:rPr>
          <w:sz w:val="20"/>
          <w:szCs w:val="20"/>
          <w:color w:val="auto"/>
        </w:rPr>
      </w:pPr>
    </w:p>
    <w:p>
      <w:pPr>
        <w:ind w:firstLine="552"/>
        <w:spacing w:after="0" w:line="284" w:lineRule="auto"/>
        <w:rPr>
          <w:sz w:val="20"/>
          <w:szCs w:val="20"/>
          <w:color w:val="auto"/>
        </w:rPr>
      </w:pPr>
      <w:r>
        <w:rPr>
          <w:rFonts w:ascii="Arial" w:cs="Arial" w:eastAsia="Arial" w:hAnsi="Arial"/>
          <w:sz w:val="16"/>
          <w:szCs w:val="16"/>
          <w:color w:val="auto"/>
        </w:rPr>
        <w:t>This Annual Report contains forward-looking statements that are based on current expectations, estimates, forecasts and projections about us, the industry in which we operate and other matters, as well as management’s beliefs and assumptions and other statements regarding matters that are not historical facts. For example, when we use words such as “projects,” “expects,” “anticipates,” “intends,” “plans,” “believes,” “seeks,” “estimates,” “should,” “would,” “could,” “will,” “opportunity,” “potential” or “may,” variations of such words or other words that convey uncertainty of future events or outcomes, we are making forward looking statements within the meaning of Section 27A of the Securities Act of 1933 (Securities Act) and Section 21E of the Exchange Act. Our forward-looking statements are subject to risks and uncertainties. Such statements may include proposed store openings and closings, proposed capital expenditures, projected financing requirements, proposed developmental projects, our ability to maintain selling margins, and the effect of the adoption of recent accounting pronouncements and tax reform on our consolidated financial position, results of operations and cash flows. Actual events or results may differ materially from the results anticipated in these forward-looking statements as a result of a variety of factors. Factors that could cause actual results to differ materially from those estimated by us include: general economic conditions; our ability to successfully implement one or more of our strategic initiatives; the availability of desirable store locations on suitable terms; changing consumer preferences and demand; industry trends, including changes in buying, inventory and other business practices by customers; competitive factors, including pricing and promotional activities of major competitors and an increase in competition within the markets in which we compete; the availability, selection and purchasing of attractive merchandise on favorable terms; import risks; weather patterns, including, among other things, changes in year-over-year temperatures; our future profitability; our ability to control costs and expenses; unforeseen computer related problems; any unforeseen material loss or casualty; the effect of inflation; regulatory and tax changes; our relationships with employees; the impact of current and future laws and the interpretation of such laws; terrorist attacks, particularly attacks on or within markets in which we operate; natural and man-made disasters, including fire, snow and ice storms, flood, hail, hurricanes and earthquakes; our substantial level of indebtedness and related debt-service obligations; restrictions imposed by covenants in our debt agreements; availability of adequate financing; our dependence on vendors for our merchandise; domestic events affecting the delivery of merchandise to our stores; existence of adverse litigation; and each of the factors discussed in this Item 1A, Risk Factors as well as risks discussed elsewhere in this Annual Report. While we believe that our assumptions are reasonable, we caution that it is very difficult to predict the impact of known factors, and it is impossible for us to anticipate all factors that could affect our actual results. In addition, as a result of these and other factors, our past financial performance should not be relied on as an indication of future performance. The cautionary statements referred to in this section also should be considered in connection with any subsequent written or oral forward-looking statements that may be issued by us or persons acting on our behalf. We undertake no obligation to publicly update or revise any forward-looking statements, whether as a result of new information, future events or otherwise, except as required by law. In light of these risks and uncertainties, the forward-looking events and circumstances discussed in this report might not occur.</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7" w:name="page8"/>
    <w:bookmarkEnd w:id="7"/>
    <w:p>
      <w:pPr>
        <w:ind w:right="80" w:firstLine="548"/>
        <w:spacing w:after="0" w:line="276" w:lineRule="auto"/>
        <w:rPr>
          <w:sz w:val="20"/>
          <w:szCs w:val="20"/>
          <w:color w:val="auto"/>
        </w:rPr>
      </w:pPr>
      <w:r>
        <w:rPr>
          <w:rFonts w:ascii="Arial" w:cs="Arial" w:eastAsia="Arial" w:hAnsi="Arial"/>
          <w:sz w:val="17"/>
          <w:szCs w:val="17"/>
          <w:color w:val="auto"/>
        </w:rPr>
        <w:t>Set forth below are certain important risks and uncertainties that could adversely affect our results of operations, financial condition or cash flow and cause our actual results to differ materially from those expressed in forward-looking statements made by us. Although we believe that we have identified and discussed below the key risk factors affecting our business, there may be additional risks and uncertainties that are not presently known or that are not currently believed to be significant that may adversely affect our results of operations, financial condition or cash flow. More detailed information regarding certain risk factors described below is contained in other sections of this Annual Report.</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Our Substantial Indebtedness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downturn in general economic conditions or consumer spending could adversely affect our business.</w:t>
      </w:r>
    </w:p>
    <w:p>
      <w:pPr>
        <w:spacing w:after="0" w:line="117" w:lineRule="exact"/>
        <w:rPr>
          <w:sz w:val="20"/>
          <w:szCs w:val="20"/>
          <w:color w:val="auto"/>
        </w:rPr>
      </w:pPr>
    </w:p>
    <w:p>
      <w:pPr>
        <w:ind w:firstLine="552"/>
        <w:spacing w:after="0" w:line="270" w:lineRule="auto"/>
        <w:rPr>
          <w:sz w:val="20"/>
          <w:szCs w:val="20"/>
          <w:color w:val="auto"/>
        </w:rPr>
      </w:pPr>
      <w:r>
        <w:rPr>
          <w:rFonts w:ascii="Arial" w:cs="Arial" w:eastAsia="Arial" w:hAnsi="Arial"/>
          <w:sz w:val="17"/>
          <w:szCs w:val="17"/>
          <w:color w:val="auto"/>
        </w:rPr>
        <w:t>Consumer spending habits, including spending for the merchandise that we sell, are affected by, among other things, prevailing global economic conditions, inflation, levels of employment, salaries and wage rates, prevailing interest rates, housing costs, energy costs, commodities pricing, income tax rates and policies, consumer confidence and consumer perception of economic conditions. In addition, consumer purchasing patterns may be influenced by consumers’ disposable income, credit availability and debt levels. Slowdown in the U.S. economy, an uncertain global economic outlook or a credit crisis could adversely affect consumer spending habits, resulting in lower net sales and profits than expected on a quarterly or annual basis. Consumer confidence is also affected by the domestic and international political situation. Our financial condition and operations could be impacted by changes in government regulations in areas, including taxes and healthcare. The outbreak or escalation of war, or the occurrence of terrorist acts or other hostilities in or affecting the U.S. could lead to a decrease in spending by consumers. In addition, natural disasters, industrial accidents and acts of war could have the effect of disrupting supplies and raising prices globally which, in turn, may have adverse effects on the world and U.S. economies and lead to a downturn in consumer confidence and spending.</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increased competition from other retailers that could adversely affect our business.</w:t>
      </w:r>
    </w:p>
    <w:p>
      <w:pPr>
        <w:spacing w:after="0" w:line="117" w:lineRule="exact"/>
        <w:rPr>
          <w:sz w:val="20"/>
          <w:szCs w:val="20"/>
          <w:color w:val="auto"/>
        </w:rPr>
      </w:pPr>
    </w:p>
    <w:p>
      <w:pPr>
        <w:ind w:right="40" w:firstLine="552"/>
        <w:spacing w:after="0" w:line="271" w:lineRule="auto"/>
        <w:rPr>
          <w:sz w:val="20"/>
          <w:szCs w:val="20"/>
          <w:color w:val="auto"/>
        </w:rPr>
      </w:pPr>
      <w:r>
        <w:rPr>
          <w:rFonts w:ascii="Arial" w:cs="Arial" w:eastAsia="Arial" w:hAnsi="Arial"/>
          <w:sz w:val="17"/>
          <w:szCs w:val="17"/>
          <w:color w:val="auto"/>
        </w:rPr>
        <w:t>The retail sector is highly competitive, and retailers are constantly adjusting their business model, promotional activity and pricing strategies in response to changing conditions. We compete on the basis of a combination of factors, including among others, price, breadth, quality and style of merchandise offered, in-store experience, level of customer service, ability to identify and respond to new and emerging fashion trends, brand image and scalability. We compete with a wide variety of large and small retailers for customers, vendors, suitable store locations and personnel. In order to increase traffic and drive consumer spending in the economic environment of the past several years, competitors, including department stores, mass merchants and specialty apparel stores, have been offering brand-name merchandise at substantial markdowns. Continuation of this trend, or the possible effect on consumer buying patterns that improving economic conditions could have, may cause consumer demand to shift from off-price retailers to other retail categories, which could have a material adverse effect on our business, financial condition and results of operations.</w:t>
      </w:r>
    </w:p>
    <w:p>
      <w:pPr>
        <w:spacing w:after="0" w:line="71" w:lineRule="exact"/>
        <w:rPr>
          <w:sz w:val="20"/>
          <w:szCs w:val="20"/>
          <w:color w:val="auto"/>
        </w:rPr>
      </w:pPr>
    </w:p>
    <w:p>
      <w:pPr>
        <w:ind w:firstLine="552"/>
        <w:spacing w:after="0" w:line="273" w:lineRule="auto"/>
        <w:rPr>
          <w:sz w:val="20"/>
          <w:szCs w:val="20"/>
          <w:color w:val="auto"/>
        </w:rPr>
      </w:pPr>
      <w:r>
        <w:rPr>
          <w:rFonts w:ascii="Arial" w:cs="Arial" w:eastAsia="Arial" w:hAnsi="Arial"/>
          <w:sz w:val="17"/>
          <w:szCs w:val="17"/>
          <w:color w:val="auto"/>
        </w:rPr>
        <w:t>Certain traditional, full-price retail chains have developed off-price concepts, which may directly compete with our business. Our competitors, including such retail chains, may seek to emulate facets of our business strategy, which could result in a reduction of any competitive advantage or special appeal that we might possess. In addition, most of our products are sold to us on a non-exclusive basis. As a result, our current and future competitors may be able to duplicate or improve on some or all of our product offerings that we believe are important in differentiating our stores. If our competitors were to duplicate or improve on some or all of our in-store experience or product offerings, obtaining the products we sell may become increasingly difficult, competition for customers may increase, and our competitive position and our business could suffer.</w:t>
      </w:r>
    </w:p>
    <w:p>
      <w:pPr>
        <w:spacing w:after="0" w:line="70" w:lineRule="exact"/>
        <w:rPr>
          <w:sz w:val="20"/>
          <w:szCs w:val="20"/>
          <w:color w:val="auto"/>
        </w:rPr>
      </w:pPr>
    </w:p>
    <w:p>
      <w:pPr>
        <w:ind w:right="100" w:firstLine="552"/>
        <w:spacing w:after="0" w:line="257" w:lineRule="auto"/>
        <w:rPr>
          <w:sz w:val="20"/>
          <w:szCs w:val="20"/>
          <w:color w:val="auto"/>
        </w:rPr>
      </w:pPr>
      <w:r>
        <w:rPr>
          <w:rFonts w:ascii="Arial" w:cs="Arial" w:eastAsia="Arial" w:hAnsi="Arial"/>
          <w:sz w:val="18"/>
          <w:szCs w:val="18"/>
          <w:color w:val="auto"/>
        </w:rPr>
        <w:t>Our ability to compete with other retailers and to meet our customer expectations may also suffer if we are unable to deliver a superior omnichannel shopping experience for our customers through the integration of our store and online shopping channels. Omnichannel retailing is rapidly evolving, and we must anticipate and meet changing customer expectations. If we are unable to continue to meet changes in the competitive environment by successfully executing our e-commerce strategy consistent with customer expectations, or we do not realize a return on our omnichannel investments, our reputation and operating results may be adversely affected.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sustain our growth plans or successfully implement our long-range strategic goals.</w:t>
      </w:r>
    </w:p>
    <w:p>
      <w:pPr>
        <w:spacing w:after="0" w:line="117" w:lineRule="exact"/>
        <w:rPr>
          <w:sz w:val="20"/>
          <w:szCs w:val="20"/>
          <w:color w:val="auto"/>
        </w:rPr>
      </w:pPr>
    </w:p>
    <w:p>
      <w:pPr>
        <w:ind w:right="100" w:firstLine="552"/>
        <w:spacing w:after="0" w:line="273" w:lineRule="auto"/>
        <w:rPr>
          <w:sz w:val="20"/>
          <w:szCs w:val="20"/>
          <w:color w:val="auto"/>
        </w:rPr>
      </w:pPr>
      <w:r>
        <w:rPr>
          <w:rFonts w:ascii="Arial" w:cs="Arial" w:eastAsia="Arial" w:hAnsi="Arial"/>
          <w:sz w:val="17"/>
          <w:szCs w:val="17"/>
          <w:color w:val="auto"/>
        </w:rPr>
        <w:t>Our growth largely depends on our ability to successfully open and operate new stores, as well as to expand our distribution capabilities in order to support that growth. We intend to open 35 to 40 net new stores each year, while refreshing, remodeling or relocating a portion of our existing store base annually. The success of these strategies is dependent upon, among other things, the current retail environment, the identification of suitable markets and the availability of real estate that meets our criteria for traffic, square footage, co-tenancies, lease economics, demographics, and other factors, the negotiation of acceptable lease terms, construction costs, the availability of financing, the hiring, training and retention of competent sales personnel, and the effective management of inventory to meet the needs of new and existing stores on a timely basis.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8" w:name="page9"/>
    <w:bookmarkEnd w:id="8"/>
    <w:p>
      <w:pPr>
        <w:ind w:right="20" w:firstLine="548"/>
        <w:spacing w:after="0" w:line="259" w:lineRule="auto"/>
        <w:rPr>
          <w:sz w:val="20"/>
          <w:szCs w:val="20"/>
          <w:color w:val="auto"/>
        </w:rPr>
      </w:pPr>
      <w:r>
        <w:rPr>
          <w:rFonts w:ascii="Arial" w:cs="Arial" w:eastAsia="Arial" w:hAnsi="Arial"/>
          <w:sz w:val="18"/>
          <w:szCs w:val="18"/>
          <w:color w:val="auto"/>
        </w:rPr>
        <w:t>Our proposed expansion will place increased demands on our operational, managerial and administrative resources. For example, our planned expansion will require us to increase the number of people we employ, as well as to monitor and upgrade our management information and other systems, and our distribution infrastructure. These increased demands could cause us to operate our business less effectively, which in turn could have a material adverse effect on our financial performance.</w:t>
      </w:r>
    </w:p>
    <w:p>
      <w:pPr>
        <w:spacing w:after="0" w:line="79" w:lineRule="exact"/>
        <w:rPr>
          <w:sz w:val="20"/>
          <w:szCs w:val="20"/>
          <w:color w:val="auto"/>
        </w:rPr>
      </w:pPr>
    </w:p>
    <w:p>
      <w:pPr>
        <w:ind w:right="140" w:firstLine="594"/>
        <w:spacing w:after="0" w:line="308" w:lineRule="auto"/>
        <w:rPr>
          <w:sz w:val="20"/>
          <w:szCs w:val="20"/>
          <w:color w:val="auto"/>
        </w:rPr>
      </w:pPr>
      <w:r>
        <w:rPr>
          <w:rFonts w:ascii="Arial" w:cs="Arial" w:eastAsia="Arial" w:hAnsi="Arial"/>
          <w:sz w:val="17"/>
          <w:szCs w:val="17"/>
          <w:color w:val="auto"/>
        </w:rPr>
        <w:t>We may not be able to execute our growth strategies successfully, on a timely basis, or at all. If we fail to implement these strategies successfully, or if these strategies do not yield the desire outcomes, our financial condition and results of operations would be adversely affected.</w:t>
      </w:r>
    </w:p>
    <w:p>
      <w:pPr>
        <w:spacing w:after="0" w:line="14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Our net sales, operating income and inventory levels fluctuate on a seasonal basis, and decreases in sales or margins during our peak seasons could have a disproportionate effect on our overall financial condition and results of operations.</w:t>
      </w:r>
    </w:p>
    <w:p>
      <w:pPr>
        <w:spacing w:after="0" w:line="62" w:lineRule="exact"/>
        <w:rPr>
          <w:sz w:val="20"/>
          <w:szCs w:val="20"/>
          <w:color w:val="auto"/>
        </w:rPr>
      </w:pPr>
    </w:p>
    <w:p>
      <w:pPr>
        <w:ind w:right="40" w:firstLine="552"/>
        <w:spacing w:after="0" w:line="276" w:lineRule="auto"/>
        <w:rPr>
          <w:sz w:val="20"/>
          <w:szCs w:val="20"/>
          <w:color w:val="auto"/>
        </w:rPr>
      </w:pPr>
      <w:r>
        <w:rPr>
          <w:rFonts w:ascii="Arial" w:cs="Arial" w:eastAsia="Arial" w:hAnsi="Arial"/>
          <w:sz w:val="17"/>
          <w:szCs w:val="17"/>
          <w:color w:val="auto"/>
        </w:rPr>
        <w:t>Our net sales and operating income fluctuate seasonally, with a significant portion of our operating income typically realized during the second half of the year. Any decrease in sales or margins during this period could have a disproportionate effect on our financial condition and results of operations. Seasonal fluctuations also affect our inventory levels. We must carry a significant amount of inventory, especially before the holiday season selling period. If we are not successful in selling our inventory, we may have to write down our inventory or sell it at significantly reduced prices or we may not be able to sell such inventory at all, which could have a material adverse effect on our financial condition and results of operations.</w:t>
      </w:r>
    </w:p>
    <w:p>
      <w:pPr>
        <w:spacing w:after="0" w:line="173" w:lineRule="exact"/>
        <w:rPr>
          <w:sz w:val="20"/>
          <w:szCs w:val="20"/>
          <w:color w:val="auto"/>
        </w:rPr>
      </w:pPr>
    </w:p>
    <w:p>
      <w:pPr>
        <w:ind w:right="40"/>
        <w:spacing w:after="0" w:line="375" w:lineRule="auto"/>
        <w:rPr>
          <w:sz w:val="20"/>
          <w:szCs w:val="20"/>
          <w:color w:val="auto"/>
        </w:rPr>
      </w:pPr>
      <w:r>
        <w:rPr>
          <w:rFonts w:ascii="Arial" w:cs="Arial" w:eastAsia="Arial" w:hAnsi="Arial"/>
          <w:sz w:val="15"/>
          <w:szCs w:val="15"/>
          <w:b w:val="1"/>
          <w:bCs w:val="1"/>
          <w:i w:val="1"/>
          <w:iCs w:val="1"/>
          <w:color w:val="auto"/>
        </w:rPr>
        <w:t>A reduction in traffic to, or the closing of, the other destination retailers in the shopping areas where our stores are located could significantly reduce our sales and leave us with excess inventory, which could have a material adverse effect on our business, financial condition, profitability and cash flows.</w:t>
      </w:r>
    </w:p>
    <w:p>
      <w:pPr>
        <w:spacing w:after="0" w:line="1" w:lineRule="exact"/>
        <w:rPr>
          <w:sz w:val="20"/>
          <w:szCs w:val="20"/>
          <w:color w:val="auto"/>
        </w:rPr>
      </w:pPr>
    </w:p>
    <w:p>
      <w:pPr>
        <w:ind w:right="40" w:firstLine="552"/>
        <w:spacing w:after="0" w:line="290" w:lineRule="auto"/>
        <w:rPr>
          <w:sz w:val="20"/>
          <w:szCs w:val="20"/>
          <w:color w:val="auto"/>
        </w:rPr>
      </w:pPr>
      <w:r>
        <w:rPr>
          <w:rFonts w:ascii="Arial" w:cs="Arial" w:eastAsia="Arial" w:hAnsi="Arial"/>
          <w:sz w:val="16"/>
          <w:szCs w:val="16"/>
          <w:color w:val="auto"/>
        </w:rPr>
        <w:t>Many of our stores are strategically located in off-mall shopping areas known as “power centers.” Power centers typically contain three to five big-box anchor stores along with a variety of smaller specialty tenants. Due to many of our stores being located in such shopping areas, our sales are derived, in part, from the volume of traffic generated by the other destination retailers and the anchor stores in power centers where our stores are located. Customer traffic to these shopping areas may be adversely affected by the closing of such destination retailers or anchor stores, or by a reduction in traffic to such stores resulting from a regional or global economic downturn, a general downturn in the local area where our store is located, or a decline in the desirability of the shopping environment of a particular power center. Such a reduction in customer traffic would reduce our sales and leave us with excess inventory, which could have a material adverse effect on our business, financial condition, profitability and cash flows. We may respond by increasing markdowns, initiating marketing promotions or transferring product to other stores to reduce excess inventory, which would further decrease our gross profits and net income.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execute our opportunistic buying and inventory management process could adversely affect our business.</w:t>
      </w:r>
    </w:p>
    <w:p>
      <w:pPr>
        <w:spacing w:after="0" w:line="117" w:lineRule="exact"/>
        <w:rPr>
          <w:sz w:val="20"/>
          <w:szCs w:val="20"/>
          <w:color w:val="auto"/>
        </w:rPr>
      </w:pPr>
    </w:p>
    <w:p>
      <w:pPr>
        <w:ind w:right="60" w:firstLine="552"/>
        <w:spacing w:after="0" w:line="270" w:lineRule="auto"/>
        <w:rPr>
          <w:sz w:val="20"/>
          <w:szCs w:val="20"/>
          <w:color w:val="auto"/>
        </w:rPr>
      </w:pPr>
      <w:r>
        <w:rPr>
          <w:rFonts w:ascii="Arial" w:cs="Arial" w:eastAsia="Arial" w:hAnsi="Arial"/>
          <w:sz w:val="17"/>
          <w:szCs w:val="17"/>
          <w:color w:val="auto"/>
        </w:rPr>
        <w:t>We purchase the majority of our inventory opportunistically, with our buyers purchasing close to need. Establishing the “treasure hunt” nature of the off-price buying experience to drive traffic to our stores requires us to offer changing assortments of merchandise in our stores. While opportunistic purchasing provides our buyers the ability to buy at desirable times and prices, in the quantities we need and into market trends, it places considerable discretion in our buyers, which subjects us to risks related to the pricing, quantity, nature and timing of inventory flowing to our stores. If we are unable to provide frequent replenishment of fresh, high quality, attractively priced merchandise in our stores, it could adversely affect traffic to our stores as well as our sales and margins. We base our purchases of inventory, in part, on our sales forecasts. If our sales forecasts do not match customer demand, we may experience higher inventory levels and need to markdown excess or slow-moving inventory, leading to decreased profit margins, or we may have insufficient inventory to meet customer demand, leading to lost sales, either of which could adversely affect our financial performance. We need to purchase inventory sufficiently below conventional retail to maintain our pricing differential to regular department and specialty store prices, and to attract customers and sustain our margins, which we may not achieve at various times and which could adversely affect our results.</w:t>
      </w:r>
    </w:p>
    <w:p>
      <w:pPr>
        <w:spacing w:after="0" w:line="70" w:lineRule="exact"/>
        <w:rPr>
          <w:sz w:val="20"/>
          <w:szCs w:val="20"/>
          <w:color w:val="auto"/>
        </w:rPr>
      </w:pPr>
    </w:p>
    <w:p>
      <w:pPr>
        <w:ind w:right="20" w:firstLine="597"/>
        <w:spacing w:after="0" w:line="280" w:lineRule="auto"/>
        <w:rPr>
          <w:sz w:val="20"/>
          <w:szCs w:val="20"/>
          <w:color w:val="auto"/>
        </w:rPr>
      </w:pPr>
      <w:r>
        <w:rPr>
          <w:rFonts w:ascii="Arial" w:cs="Arial" w:eastAsia="Arial" w:hAnsi="Arial"/>
          <w:sz w:val="17"/>
          <w:szCs w:val="17"/>
          <w:color w:val="auto"/>
        </w:rPr>
        <w:t>In order to better serve our customers and maximize sales, we must properly execute our inventory management strategies by appropriately allocating merchandise among our stores and our e-commerce platform, timely and efficiently distributing inventory to such locations, maintaining an appropriate mix and level of inventory in such locations, appropriately changing the allocation of floor space of stores among product categories to respond to customer demand, and effectively managing pricing and markdowns, and there is no assurance we will be able to do so. In addition, as we implement inventory localization initiatives, there could be disruptions in inventory flow and placement. Failure to effectively execute our opportunistic inventory buying and inventory management strategies could adversely affect our performance and our reputation.</w:t>
      </w:r>
    </w:p>
    <w:p>
      <w:pPr>
        <w:spacing w:after="0" w:line="63" w:lineRule="exact"/>
        <w:rPr>
          <w:sz w:val="20"/>
          <w:szCs w:val="20"/>
          <w:color w:val="auto"/>
        </w:rPr>
      </w:pPr>
    </w:p>
    <w:p>
      <w:pPr>
        <w:ind w:firstLine="642"/>
        <w:spacing w:after="0" w:line="259" w:lineRule="auto"/>
        <w:rPr>
          <w:sz w:val="20"/>
          <w:szCs w:val="20"/>
          <w:color w:val="auto"/>
        </w:rPr>
      </w:pPr>
      <w:r>
        <w:rPr>
          <w:rFonts w:ascii="Arial" w:cs="Arial" w:eastAsia="Arial" w:hAnsi="Arial"/>
          <w:sz w:val="18"/>
          <w:szCs w:val="18"/>
          <w:color w:val="auto"/>
        </w:rPr>
        <w:t>In addition to our own execution, we may need to react to factors affecting inventory flow that are outside our control, such as adverse weather and natural disasters or other changes in conditions affecting our vendors and others in our supply chain, such as political instability, labor issues, including strikes or threats of strikes, or increasing cost of regulations. If we are not able to adjust appropriately to such factors, our inventory management may be affected, which could impact our performance and our reputation.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Failure to identify customer trends and preferences to meet customer demand could negatively impact our performance.</w:t>
      </w:r>
    </w:p>
    <w:p>
      <w:pPr>
        <w:spacing w:after="0" w:line="117" w:lineRule="exact"/>
        <w:rPr>
          <w:sz w:val="20"/>
          <w:szCs w:val="20"/>
          <w:color w:val="auto"/>
        </w:rPr>
      </w:pPr>
    </w:p>
    <w:p>
      <w:pPr>
        <w:ind w:right="60" w:firstLine="552"/>
        <w:spacing w:after="0" w:line="273" w:lineRule="auto"/>
        <w:rPr>
          <w:sz w:val="20"/>
          <w:szCs w:val="20"/>
          <w:color w:val="auto"/>
        </w:rPr>
      </w:pPr>
      <w:r>
        <w:rPr>
          <w:rFonts w:ascii="Arial" w:cs="Arial" w:eastAsia="Arial" w:hAnsi="Arial"/>
          <w:sz w:val="17"/>
          <w:szCs w:val="17"/>
          <w:color w:val="auto"/>
        </w:rPr>
        <w:t>Because our success depends on our ability to meet customer demand, we work to follow customer trends and preferences on an ongoing basis and to buy inventory in response to those trends and preferences. However, identifying consumer trends and preferences in the diverse product lines and many markets in which we do business and successfully meeting customer demand across those lines and for those markets on a timely basis is challenging. Although our flexible business model allows us to buy close to need and in response to consumer preferences and trends, and to expand and contract merchandise categories in response to consumers’ changing tastes, we may not do so successfully, which could adversely affect our sales and the markdowns required to move the resulting excess inventory will adversely affect our operating margins.</w:t>
      </w:r>
    </w:p>
    <w:p>
      <w:pPr>
        <w:spacing w:after="0" w:line="70" w:lineRule="exact"/>
        <w:rPr>
          <w:sz w:val="20"/>
          <w:szCs w:val="20"/>
          <w:color w:val="auto"/>
        </w:rPr>
      </w:pPr>
    </w:p>
    <w:p>
      <w:pPr>
        <w:ind w:right="480" w:firstLine="597"/>
        <w:spacing w:after="0" w:line="302" w:lineRule="auto"/>
        <w:rPr>
          <w:sz w:val="20"/>
          <w:szCs w:val="20"/>
          <w:color w:val="auto"/>
        </w:rPr>
      </w:pPr>
      <w:r>
        <w:rPr>
          <w:rFonts w:ascii="Arial" w:cs="Arial" w:eastAsia="Arial" w:hAnsi="Arial"/>
          <w:sz w:val="16"/>
          <w:szCs w:val="16"/>
          <w:color w:val="auto"/>
        </w:rPr>
        <w:t>Customers may also have expectations about how they shop in stores or through e-commerce, or more generally engage with businesses across different channels or media (through internet-based and other digital or mobile channels or particular forms of social media), which may vary across demographics and may evolve rapidly. Customers are increasingly using technology and mobile devices to rapidly compare products and prices and to purchase products. Failure to effectively meet these changing expectations and demands may adversely impact our reputation and our financial results.</w:t>
      </w:r>
    </w:p>
    <w:p>
      <w:pPr>
        <w:spacing w:after="0" w:line="154"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b w:val="1"/>
          <w:bCs w:val="1"/>
          <w:i w:val="1"/>
          <w:iCs w:val="1"/>
          <w:color w:val="auto"/>
        </w:rPr>
        <w:t>If we are unable to renew or replace our store leases or enter into leases for new stores on favorable terms, if our current leases are terminated prior to the expiration of their stated term and we cannot find suitable alternate locations, or if we cannot optimize our existing stores, our growth strategy and profitability could be negatively impacted.</w:t>
      </w:r>
    </w:p>
    <w:p>
      <w:pPr>
        <w:spacing w:after="0" w:line="73" w:lineRule="exact"/>
        <w:rPr>
          <w:sz w:val="20"/>
          <w:szCs w:val="20"/>
          <w:color w:val="auto"/>
        </w:rPr>
      </w:pPr>
    </w:p>
    <w:p>
      <w:pPr>
        <w:ind w:firstLine="552"/>
        <w:spacing w:after="0" w:line="287" w:lineRule="auto"/>
        <w:rPr>
          <w:sz w:val="20"/>
          <w:szCs w:val="20"/>
          <w:color w:val="auto"/>
        </w:rPr>
      </w:pPr>
      <w:r>
        <w:rPr>
          <w:rFonts w:ascii="Arial" w:cs="Arial" w:eastAsia="Arial" w:hAnsi="Arial"/>
          <w:sz w:val="16"/>
          <w:szCs w:val="16"/>
          <w:color w:val="auto"/>
        </w:rPr>
        <w:t>We lease substantially all of our store locations. Most of our current leases expire at various dates after ten-year terms, the majority of which are subject to our option to renew such leases for several additional five-year periods. While we have the right to terminate some of our leases under specified conditions, including by making specified payments, we may not be able to terminate a particular lease if or when we would like to close a particular store. If we decide to close stores, we are generally required to continue to perform obligations under the applicable leases, which generally include, among other things, paying rent and operating expenses for the balance of the lease term, or paying to exercise rights to terminate, and performing any of these obligations may be expensive. When we assign leases or sublease space to third parties, we may remain liable on the lease obligations, which could lead to significant expense if the assignee or sublessee does not perform. In addition, when the lease term for the stores in our ongoing operations expire, our ability to renew such expiring leases on commercially acceptable terms or, if such lease cannot be renewed, our ability to lease a suitable alternative location, and our ability to enter into leases for new stores on favorable terms will each depend on many factors, some of which may not be within our control, such as conditions in the local real estate market, competition for desirable properties and our relationships with current and prospective lessors. As we renew and replace our store leases, we also strive to optimize the size of our existing stores to ensure maximum space utilization, which frequently means adjusting operations to accommodate smaller space through increased store product density and inventory turn optimization.</w:t>
      </w:r>
    </w:p>
    <w:p>
      <w:pPr>
        <w:spacing w:after="0" w:line="61" w:lineRule="exact"/>
        <w:rPr>
          <w:sz w:val="20"/>
          <w:szCs w:val="20"/>
          <w:color w:val="auto"/>
        </w:rPr>
      </w:pPr>
    </w:p>
    <w:p>
      <w:pPr>
        <w:ind w:right="80" w:firstLine="552"/>
        <w:spacing w:after="0" w:line="259" w:lineRule="auto"/>
        <w:rPr>
          <w:sz w:val="20"/>
          <w:szCs w:val="20"/>
          <w:color w:val="auto"/>
        </w:rPr>
      </w:pPr>
      <w:r>
        <w:rPr>
          <w:rFonts w:ascii="Arial" w:cs="Arial" w:eastAsia="Arial" w:hAnsi="Arial"/>
          <w:sz w:val="18"/>
          <w:szCs w:val="18"/>
          <w:color w:val="auto"/>
        </w:rPr>
        <w:t>In addition, to the extent that our new store openings are in existing markets, we may experience reduced net sales volumes in existing stores in those markets. We expect to fund some of our expansion through cash flow from operations, lease payment credits from our lessors, and, if necessary, by borrowings under our line of credit. If we experience a decline in performance or lease payment allowances from our lessors become unavailable, we may slow or discontinue store openings, relocations, refreshes and/or remodels.</w:t>
      </w:r>
    </w:p>
    <w:p>
      <w:pPr>
        <w:spacing w:after="0" w:line="79" w:lineRule="exact"/>
        <w:rPr>
          <w:sz w:val="20"/>
          <w:szCs w:val="20"/>
          <w:color w:val="auto"/>
        </w:rPr>
      </w:pPr>
    </w:p>
    <w:p>
      <w:pPr>
        <w:ind w:right="280" w:firstLine="552"/>
        <w:spacing w:after="0" w:line="342" w:lineRule="auto"/>
        <w:rPr>
          <w:sz w:val="20"/>
          <w:szCs w:val="20"/>
          <w:color w:val="auto"/>
        </w:rPr>
      </w:pPr>
      <w:r>
        <w:rPr>
          <w:rFonts w:ascii="Arial" w:cs="Arial" w:eastAsia="Arial" w:hAnsi="Arial"/>
          <w:sz w:val="16"/>
          <w:szCs w:val="16"/>
          <w:color w:val="auto"/>
        </w:rPr>
        <w:t>If we are unable to effectively manage our existing portfolio of real estate leases, renew existing leases or lease suitable alternative locations, enter into leases for new stores on favorable terms, or optimize our existing stores, our growth and profitability may be negatively impacted.</w:t>
      </w:r>
    </w:p>
    <w:p>
      <w:pPr>
        <w:spacing w:after="0" w:line="12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Extreme and/or unseasonable weather conditions, or catastrophic events could have a significant adverse effect on our business, financial condition and results of operations.</w:t>
      </w:r>
    </w:p>
    <w:p>
      <w:pPr>
        <w:spacing w:after="0" w:line="62" w:lineRule="exact"/>
        <w:rPr>
          <w:sz w:val="20"/>
          <w:szCs w:val="20"/>
          <w:color w:val="auto"/>
        </w:rPr>
      </w:pPr>
    </w:p>
    <w:p>
      <w:pPr>
        <w:ind w:right="220" w:firstLine="552"/>
        <w:spacing w:after="0" w:line="290" w:lineRule="auto"/>
        <w:rPr>
          <w:sz w:val="20"/>
          <w:szCs w:val="20"/>
          <w:color w:val="auto"/>
        </w:rPr>
      </w:pPr>
      <w:r>
        <w:rPr>
          <w:rFonts w:ascii="Arial" w:cs="Arial" w:eastAsia="Arial" w:hAnsi="Arial"/>
          <w:sz w:val="16"/>
          <w:szCs w:val="16"/>
          <w:color w:val="auto"/>
        </w:rPr>
        <w:t>Extreme weather conditions in the areas in which our stores or distribution centers are located – especially in areas with a high concentration of our stores – could have a material adverse effect on our business, financial condition and results of operations. For example, heavy snowfall or other extreme weather conditions over a prolonged period might make it difficult for our customers or employees to travel to our stores. In addition, unforeseen public health issues such as pandemics or epidemics, natural disasters such as hurricanes, tornados, floods, earthquakes, and other extreme weather or climate conditions, or a combination of these or other factors, could severely damage or destroy one or more of our stores or distribution facilities located in the affected areas, or disrupt our computer systems, thereby disrupting our business operations. Any of these events or circumstances also could disrupt the operations of one or more of our vendors. Day-to-day operations, particularly our ability to receive products from our vendors or transport products to our stores, could be adversely affected, or we could be required to close stores. As a result, our business could be adversely affected.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0" w:name="page11"/>
    <w:bookmarkEnd w:id="10"/>
    <w:p>
      <w:pPr>
        <w:ind w:right="60" w:firstLine="593"/>
        <w:spacing w:after="0" w:line="255" w:lineRule="auto"/>
        <w:rPr>
          <w:sz w:val="20"/>
          <w:szCs w:val="20"/>
          <w:color w:val="auto"/>
        </w:rPr>
      </w:pPr>
      <w:r>
        <w:rPr>
          <w:rFonts w:ascii="Arial" w:cs="Arial" w:eastAsia="Arial" w:hAnsi="Arial"/>
          <w:sz w:val="18"/>
          <w:szCs w:val="18"/>
          <w:color w:val="auto"/>
        </w:rPr>
        <w:t>Our business is also susceptible to unseasonable weather conditions. For example, extended periods of unseasonably warm temperatures during the fall or winter seasons or cool weather during the spring or summer seasons could render a portion of our inventory incompatible with those unseasonable conditions, particularly in light of our historical product mix. These prolonged unseasonable weather conditions could adversely affect our business, financial condition and results of operations. In addition, because a significant portion of our net sales historically have occurred during the second half of the year, unseasonably warm weather during these months could have a disproportionately large effect on our business and materially adversely affect our financial condition and results of operations.</w:t>
      </w:r>
    </w:p>
    <w:p>
      <w:pPr>
        <w:spacing w:after="0" w:line="193"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b w:val="1"/>
          <w:bCs w:val="1"/>
          <w:i w:val="1"/>
          <w:iCs w:val="1"/>
          <w:color w:val="auto"/>
        </w:rPr>
        <w:t>Since we do not have long-term contracts with our vendors, if we are unable to purchase attractive brand name merchandise in sufficient quantities at competitive prices, we may be unable to offer an appealing merchandise mix and our sales may be harmed.</w:t>
      </w:r>
    </w:p>
    <w:p>
      <w:pPr>
        <w:spacing w:after="0" w:line="38" w:lineRule="exact"/>
        <w:rPr>
          <w:sz w:val="20"/>
          <w:szCs w:val="20"/>
          <w:color w:val="auto"/>
        </w:rPr>
      </w:pPr>
    </w:p>
    <w:p>
      <w:pPr>
        <w:ind w:right="20" w:firstLine="552"/>
        <w:spacing w:after="0" w:line="290" w:lineRule="auto"/>
        <w:rPr>
          <w:sz w:val="20"/>
          <w:szCs w:val="20"/>
          <w:color w:val="auto"/>
        </w:rPr>
      </w:pPr>
      <w:r>
        <w:rPr>
          <w:rFonts w:ascii="Arial" w:cs="Arial" w:eastAsia="Arial" w:hAnsi="Arial"/>
          <w:sz w:val="16"/>
          <w:szCs w:val="16"/>
          <w:color w:val="auto"/>
        </w:rPr>
        <w:t>Our ability to purchase merchandise opportunistically from third party vendors depends upon the continuous, sufficient availability of high quality merchandise that we can acquire at prices sufficiently below those paid by conventional retailers in order to achieve the value proposition we strive to provide to our customers. Some of our key vendors may limit the number of retail channels they use to sell their merchandise, which may result in intense competition among retailers to obtain and sell these goods. In addition, most of the brands of our top vendors are sold by competing retailers and some of our top vendors also have their own dedicated retail stores. Moreover, we typically buy products from our vendors on a purchase order basis. We have no long-term purchase contracts with any of our vendors and, therefore, have no contractual assurances of continued supply, pricing or access to products, and any vendor could change the terms upon which they sell to us or discontinue selling to us at any time. Finally, if our vendors are better able to manage their inventory levels and reduce the amount of their excess inventory, the amount of high quality merchandise available to us could be materially reduced.</w:t>
      </w:r>
    </w:p>
    <w:p>
      <w:pPr>
        <w:spacing w:after="0" w:line="58" w:lineRule="exact"/>
        <w:rPr>
          <w:sz w:val="20"/>
          <w:szCs w:val="20"/>
          <w:color w:val="auto"/>
        </w:rPr>
      </w:pPr>
    </w:p>
    <w:p>
      <w:pPr>
        <w:ind w:firstLine="552"/>
        <w:spacing w:after="0" w:line="276" w:lineRule="auto"/>
        <w:rPr>
          <w:sz w:val="20"/>
          <w:szCs w:val="20"/>
          <w:color w:val="auto"/>
        </w:rPr>
      </w:pPr>
      <w:r>
        <w:rPr>
          <w:rFonts w:ascii="Arial" w:cs="Arial" w:eastAsia="Arial" w:hAnsi="Arial"/>
          <w:sz w:val="17"/>
          <w:szCs w:val="17"/>
          <w:color w:val="auto"/>
        </w:rPr>
        <w:t>If our relationships with our vendors are disrupted, we may not be able to acquire the merchandise we require in sufficient quantities or on terms acceptable to us. Any inability to acquire high quality merchandise would have a negative effect on our business and operating results because we would be missing products from our merchandise mix unless and until alternative supply arrangements were made, resulting in deferred or lost sales. In addition, events that adversely affect our vendors could impair our ability to obtain desired merchandise in sufficient quantities. Such events include difficulties or problems associated with our vendors’ business, finances, labor, importation of products, costs, production, insurance and reputation.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executives or other key personnel may disrupt our business and adversely affect our financial results.</w:t>
      </w:r>
    </w:p>
    <w:p>
      <w:pPr>
        <w:spacing w:after="0" w:line="117" w:lineRule="exact"/>
        <w:rPr>
          <w:sz w:val="20"/>
          <w:szCs w:val="20"/>
          <w:color w:val="auto"/>
        </w:rPr>
      </w:pPr>
    </w:p>
    <w:p>
      <w:pPr>
        <w:ind w:right="100" w:firstLine="552"/>
        <w:spacing w:after="0" w:line="276" w:lineRule="auto"/>
        <w:rPr>
          <w:sz w:val="20"/>
          <w:szCs w:val="20"/>
          <w:color w:val="auto"/>
        </w:rPr>
      </w:pPr>
      <w:r>
        <w:rPr>
          <w:rFonts w:ascii="Arial" w:cs="Arial" w:eastAsia="Arial" w:hAnsi="Arial"/>
          <w:sz w:val="17"/>
          <w:szCs w:val="17"/>
          <w:color w:val="auto"/>
        </w:rPr>
        <w:t>We depend on the contributions of key personnel in various functions for our continued success. These executives and other key personnel may be hired by our competitors, some of which have considerably more financial resources than we do. The loss of key personnel, or the inability to hire, train, motivate and retain qualified employees, or changes to our organizational structure, operating results, or business model that adversely affect morale or retention, could adversely affect our business, financial condition and results of operations. Effective succession planning is also a key factor for our success. Our failure to enable the effective transfer of knowledge and facilitate smooth transitions with regard to key personnel could adversely affect our strategic planning and execution and negatively affect our business, financial condition and results of operations. If we fail to enable the effective transfer of knowledge and facilitate smooth transitions for key personnel, the operating results and future growth for our business could be adversely affected, and the morale and productivity of the workforce could be disrupted.</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failure to attract, train and retain quality employees in appropriate numbers could adversely affect our business.</w:t>
      </w:r>
    </w:p>
    <w:p>
      <w:pPr>
        <w:spacing w:after="0" w:line="117" w:lineRule="exact"/>
        <w:rPr>
          <w:sz w:val="20"/>
          <w:szCs w:val="20"/>
          <w:color w:val="auto"/>
        </w:rPr>
      </w:pPr>
    </w:p>
    <w:p>
      <w:pPr>
        <w:ind w:right="280" w:firstLine="552"/>
        <w:spacing w:after="0" w:line="276" w:lineRule="auto"/>
        <w:rPr>
          <w:sz w:val="20"/>
          <w:szCs w:val="20"/>
          <w:color w:val="auto"/>
        </w:rPr>
      </w:pPr>
      <w:r>
        <w:rPr>
          <w:rFonts w:ascii="Arial" w:cs="Arial" w:eastAsia="Arial" w:hAnsi="Arial"/>
          <w:sz w:val="17"/>
          <w:szCs w:val="17"/>
          <w:color w:val="auto"/>
        </w:rPr>
        <w:t>Our performance depends on recruiting, developing, training and retaining quality sales, systems, distribution center and other employees in large numbers as well as experienced buying and management personnel, and we invest significant resources in training and motivating them to maintain a high level of job satisfaction. Many of our store employees are in entry level or part-time positions with historically high rates of turnover, which can lead to increased training and retention costs, particularly if employment opportunities increase. Availability and skill of employees may differ across markets in which we do business and in new markets we enter, and we need to manage our labor needs effectively.</w:t>
      </w:r>
    </w:p>
    <w:p>
      <w:pPr>
        <w:spacing w:after="0" w:line="64" w:lineRule="exact"/>
        <w:rPr>
          <w:sz w:val="20"/>
          <w:szCs w:val="20"/>
          <w:color w:val="auto"/>
        </w:rPr>
      </w:pPr>
    </w:p>
    <w:p>
      <w:pPr>
        <w:ind w:right="80" w:firstLine="552"/>
        <w:spacing w:after="0" w:line="257" w:lineRule="auto"/>
        <w:rPr>
          <w:sz w:val="20"/>
          <w:szCs w:val="20"/>
          <w:color w:val="auto"/>
        </w:rPr>
      </w:pPr>
      <w:r>
        <w:rPr>
          <w:rFonts w:ascii="Arial" w:cs="Arial" w:eastAsia="Arial" w:hAnsi="Arial"/>
          <w:sz w:val="18"/>
          <w:szCs w:val="18"/>
          <w:color w:val="auto"/>
        </w:rPr>
        <w:t>In addition, because of the distinctive nature of our off-price model, we must provide significant internal training and development for key employees across the company, including within our buying organization. Similar to other retailers, we face challenges in securing and retaining sufficient talent in management and other key areas for many reasons, including competition in the retail industry generally and for talent in various geographic markets. If we do not continue to attract qualified individuals, train them in our business model, support their development and retain them, our performance could be adversely affected or our growth could be limited.</w:t>
      </w:r>
    </w:p>
    <w:p>
      <w:pPr>
        <w:spacing w:after="0" w:line="80" w:lineRule="exact"/>
        <w:rPr>
          <w:sz w:val="20"/>
          <w:szCs w:val="20"/>
          <w:color w:val="auto"/>
        </w:rPr>
      </w:pPr>
    </w:p>
    <w:p>
      <w:pPr>
        <w:ind w:right="120" w:firstLine="552"/>
        <w:spacing w:after="0" w:line="302" w:lineRule="auto"/>
        <w:rPr>
          <w:sz w:val="20"/>
          <w:szCs w:val="20"/>
          <w:color w:val="auto"/>
        </w:rPr>
      </w:pPr>
      <w:r>
        <w:rPr>
          <w:rFonts w:ascii="Arial" w:cs="Arial" w:eastAsia="Arial" w:hAnsi="Arial"/>
          <w:sz w:val="16"/>
          <w:szCs w:val="16"/>
          <w:color w:val="auto"/>
        </w:rPr>
        <w:t>We are also dependent upon temporary personnel to adequately staff our stores and distribution facilities, with heightened dependence during busy periods such as the holiday season and when multiple new stores are opening. There can be no assurance that we will receive adequate assistance from our temporary personnel, or that there will be sufficient sources of suitable temporary personnel to meet our demand. Any such failure to meet our staffing needs or any material increases in associate turnover rates could have a material adverse effect on our business or results of operations.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1" w:name="page12"/>
    <w:bookmarkEnd w:id="11"/>
    <w:p>
      <w:pPr>
        <w:spacing w:after="0"/>
        <w:rPr>
          <w:sz w:val="20"/>
          <w:szCs w:val="20"/>
          <w:color w:val="auto"/>
        </w:rPr>
      </w:pPr>
      <w:r>
        <w:rPr>
          <w:rFonts w:ascii="Arial" w:cs="Arial" w:eastAsia="Arial" w:hAnsi="Arial"/>
          <w:sz w:val="17"/>
          <w:szCs w:val="17"/>
          <w:b w:val="1"/>
          <w:bCs w:val="1"/>
          <w:i w:val="1"/>
          <w:iCs w:val="1"/>
          <w:color w:val="auto"/>
        </w:rPr>
        <w:t>Labor costs, including healthcare costs, and other challenges from our large workforce may adversely affect our results and profitability.</w:t>
      </w:r>
    </w:p>
    <w:p>
      <w:pPr>
        <w:spacing w:after="0" w:line="129" w:lineRule="exact"/>
        <w:rPr>
          <w:sz w:val="20"/>
          <w:szCs w:val="20"/>
          <w:color w:val="auto"/>
        </w:rPr>
      </w:pPr>
    </w:p>
    <w:p>
      <w:pPr>
        <w:ind w:firstLine="552"/>
        <w:spacing w:after="0" w:line="272" w:lineRule="auto"/>
        <w:rPr>
          <w:sz w:val="20"/>
          <w:szCs w:val="20"/>
          <w:color w:val="auto"/>
        </w:rPr>
      </w:pPr>
      <w:r>
        <w:rPr>
          <w:rFonts w:ascii="Arial" w:cs="Arial" w:eastAsia="Arial" w:hAnsi="Arial"/>
          <w:sz w:val="17"/>
          <w:szCs w:val="17"/>
          <w:color w:val="auto"/>
        </w:rPr>
        <w:t>We have a large workforce, and our ability to meet our labor needs while controlling costs, including costs of providing health, retirement and other associate benefits, is subject to various factors such as unemployment levels; prevailing wage rates and minimum wage requirements; participant benefit levels; economic conditions; interest rate changes; health and other insurance costs; and the regulatory environment, including health care legislation, and governmental labor and employment and associate benefits programs and requirements. When wage rates or benefit levels increase in the market, increasing our wages or benefits to compete for employees may cause our earnings to decrease, while failing to increase our wages or benefits competitively or reducing our wages or benefits could result in a decline in our ability to attract or retain employees or in the quality of our workforce, causing our customer service or performance to suffer, which could negatively impact our results.</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Parties with whom we do business may be subject to insolvency risks or may otherwise become unable or unwilling to perform their obligations to us.</w:t>
      </w:r>
    </w:p>
    <w:p>
      <w:pPr>
        <w:spacing w:after="0" w:line="152" w:lineRule="exact"/>
        <w:rPr>
          <w:sz w:val="20"/>
          <w:szCs w:val="20"/>
          <w:color w:val="auto"/>
        </w:rPr>
      </w:pPr>
    </w:p>
    <w:p>
      <w:pPr>
        <w:ind w:right="20" w:firstLine="552"/>
        <w:spacing w:after="0" w:line="255" w:lineRule="auto"/>
        <w:rPr>
          <w:sz w:val="20"/>
          <w:szCs w:val="20"/>
          <w:color w:val="auto"/>
        </w:rPr>
      </w:pPr>
      <w:r>
        <w:rPr>
          <w:rFonts w:ascii="Arial" w:cs="Arial" w:eastAsia="Arial" w:hAnsi="Arial"/>
          <w:sz w:val="18"/>
          <w:szCs w:val="18"/>
          <w:color w:val="auto"/>
        </w:rPr>
        <w:t>We are a party to contracts, transactions and business relationships with various third parties, including vendors, suppliers, service providers and lenders, pursuant to which such third parties have performance, payment and other obligations to us. In some cases, we depend upon such third parties to provide essential leaseholds, products, services or other benefits, including with respect to store and distribution center locations, merchandise, advertising, software development and support, logistics, other agreements for goods and services in order to operate our business in the ordinary course, extensions of credit and other vital matters. Economic, industry and market conditions could result in increased risks to us associated with the potential financial distress of such third parties.</w:t>
      </w:r>
    </w:p>
    <w:p>
      <w:pPr>
        <w:spacing w:after="0" w:line="85" w:lineRule="exact"/>
        <w:rPr>
          <w:sz w:val="20"/>
          <w:szCs w:val="20"/>
          <w:color w:val="auto"/>
        </w:rPr>
      </w:pPr>
    </w:p>
    <w:p>
      <w:pPr>
        <w:ind w:right="40" w:firstLine="642"/>
        <w:spacing w:after="0" w:line="257" w:lineRule="auto"/>
        <w:rPr>
          <w:sz w:val="20"/>
          <w:szCs w:val="20"/>
          <w:color w:val="auto"/>
        </w:rPr>
      </w:pPr>
      <w:r>
        <w:rPr>
          <w:rFonts w:ascii="Arial" w:cs="Arial" w:eastAsia="Arial" w:hAnsi="Arial"/>
          <w:sz w:val="18"/>
          <w:szCs w:val="18"/>
          <w:color w:val="auto"/>
        </w:rPr>
        <w:t>If any of the third parties with which we do business become subject to bankruptcy, receivership or similar proceedings, our rights and benefits in relation to our contracts, transactions and business relationships with such third parties could be terminated, modified in a manner adverse to us, or otherwise impaired. We cannot make any assurances that we would be able to arrange for alternate or replacement contracts, transactions or business relationships on terms as favorable as our existing contracts, transactions or business relationships, if at all. Any inability on our part to do so could negatively affect our cash flows, financial condition and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Many vendors produce merchandise overseas, and our business is exposed to the risk of foreign and domestic operations.</w:t>
      </w:r>
    </w:p>
    <w:p>
      <w:pPr>
        <w:spacing w:after="0" w:line="117" w:lineRule="exact"/>
        <w:rPr>
          <w:sz w:val="20"/>
          <w:szCs w:val="20"/>
          <w:color w:val="auto"/>
        </w:rPr>
      </w:pPr>
    </w:p>
    <w:p>
      <w:pPr>
        <w:ind w:right="60" w:firstLine="552"/>
        <w:spacing w:after="0" w:line="259" w:lineRule="auto"/>
        <w:rPr>
          <w:sz w:val="20"/>
          <w:szCs w:val="20"/>
          <w:color w:val="auto"/>
        </w:rPr>
      </w:pPr>
      <w:r>
        <w:rPr>
          <w:rFonts w:ascii="Arial" w:cs="Arial" w:eastAsia="Arial" w:hAnsi="Arial"/>
          <w:sz w:val="18"/>
          <w:szCs w:val="18"/>
          <w:color w:val="auto"/>
        </w:rPr>
        <w:t>We do not own or operate any manufacturing facilities. As a result, we are dependent upon the timely receipt of quality merchandise from vendors, many of which produce merchandise overseas. Factors which affect overseas production could affect our vendors and, in turn, our ability to obtain inventory and the price levels at which they may be obtained. Factors that cause an increase in merchandise costs or a decrease in supply could lead to generally lower sales and gross margins in the retail industry.</w:t>
      </w:r>
    </w:p>
    <w:p>
      <w:pPr>
        <w:spacing w:after="0" w:line="7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Such factors include:</w:t>
      </w:r>
    </w:p>
    <w:p>
      <w:pPr>
        <w:spacing w:after="0" w:line="225" w:lineRule="exact"/>
        <w:rPr>
          <w:sz w:val="20"/>
          <w:szCs w:val="20"/>
          <w:color w:val="auto"/>
        </w:rPr>
      </w:pPr>
    </w:p>
    <w:p>
      <w:pPr>
        <w:jc w:val="both"/>
        <w:ind w:left="500" w:right="1880" w:hanging="357"/>
        <w:spacing w:after="0" w:line="264" w:lineRule="auto"/>
        <w:tabs>
          <w:tab w:leader="none" w:pos="5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political or labor instability in countries where vendors are located or at foreign ports which could result in lengthy shipment delays, which, if timed ahead of the Fall and Winter peak selling periods, could materially and adversely affect our ability to stock inventory on a timely basis;</w:t>
      </w:r>
    </w:p>
    <w:p>
      <w:pPr>
        <w:spacing w:after="0" w:line="181" w:lineRule="exact"/>
        <w:rPr>
          <w:rFonts w:ascii="Arial" w:cs="Arial" w:eastAsia="Arial" w:hAnsi="Arial"/>
          <w:sz w:val="18"/>
          <w:szCs w:val="18"/>
          <w:color w:val="auto"/>
        </w:rPr>
      </w:pPr>
    </w:p>
    <w:p>
      <w:pPr>
        <w:ind w:left="480" w:right="1740" w:hanging="382"/>
        <w:spacing w:after="0" w:line="265" w:lineRule="auto"/>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disruptions in the operations of domestic ports through which we import our merchandise, including labor disputes involving work slowdowns, lockouts or strikes, which could require us and/or our vendors to ship merchandise to alternative ports in the United States or through the use of more expensive means, and shipping to alternative ports in the United States could result in increased lead times and transportation costs; disruptions at ports through which we import our goods could also result in unanticipated inventory shortages;</w:t>
      </w:r>
    </w:p>
    <w:p>
      <w:pPr>
        <w:spacing w:after="0" w:line="180" w:lineRule="exact"/>
        <w:rPr>
          <w:rFonts w:ascii="Arial" w:cs="Arial" w:eastAsia="Arial" w:hAnsi="Arial"/>
          <w:sz w:val="18"/>
          <w:szCs w:val="18"/>
          <w:color w:val="auto"/>
        </w:rPr>
      </w:pPr>
    </w:p>
    <w:p>
      <w:pPr>
        <w:ind w:left="500" w:right="2500" w:hanging="357"/>
        <w:spacing w:after="0" w:line="277" w:lineRule="auto"/>
        <w:tabs>
          <w:tab w:leader="none" w:pos="5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political or military conflict, which could cause a delay in the transportation of our products to us and an increase in transportation costs;</w:t>
      </w:r>
    </w:p>
    <w:p>
      <w:pPr>
        <w:spacing w:after="0" w:line="170" w:lineRule="exact"/>
        <w:rPr>
          <w:rFonts w:ascii="Arial" w:cs="Arial" w:eastAsia="Arial" w:hAnsi="Arial"/>
          <w:sz w:val="18"/>
          <w:szCs w:val="18"/>
          <w:color w:val="auto"/>
        </w:rPr>
      </w:pPr>
    </w:p>
    <w:p>
      <w:pPr>
        <w:ind w:left="500" w:right="2000" w:hanging="357"/>
        <w:spacing w:after="0" w:line="277" w:lineRule="auto"/>
        <w:tabs>
          <w:tab w:leader="none" w:pos="500" w:val="left"/>
        </w:tabs>
        <w:numPr>
          <w:ilvl w:val="1"/>
          <w:numId w:val="3"/>
        </w:numPr>
        <w:rPr>
          <w:rFonts w:ascii="Arial" w:cs="Arial" w:eastAsia="Arial" w:hAnsi="Arial"/>
          <w:sz w:val="18"/>
          <w:szCs w:val="18"/>
          <w:color w:val="auto"/>
        </w:rPr>
      </w:pPr>
      <w:r>
        <w:rPr>
          <w:rFonts w:ascii="Arial" w:cs="Arial" w:eastAsia="Arial" w:hAnsi="Arial"/>
          <w:sz w:val="18"/>
          <w:szCs w:val="18"/>
          <w:color w:val="auto"/>
        </w:rPr>
        <w:t>heightened terrorism security concerns, which could subject imported goods to additional, more frequent or more thorough inspections, leading to delays in deliveries or impoundment of goods for extended periods;</w:t>
      </w:r>
    </w:p>
    <w:p>
      <w:pPr>
        <w:spacing w:after="0" w:line="170" w:lineRule="exact"/>
        <w:rPr>
          <w:rFonts w:ascii="Arial" w:cs="Arial" w:eastAsia="Arial" w:hAnsi="Arial"/>
          <w:sz w:val="18"/>
          <w:szCs w:val="18"/>
          <w:color w:val="auto"/>
        </w:rPr>
      </w:pPr>
    </w:p>
    <w:p>
      <w:pPr>
        <w:ind w:left="500" w:right="2000" w:hanging="357"/>
        <w:spacing w:after="0" w:line="277" w:lineRule="auto"/>
        <w:tabs>
          <w:tab w:leader="none" w:pos="5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disease epidemics, outbreaks and other health-related concerns, which could result in closed factories, reduced workforces, scarcity of raw materials and scrutiny or embargoing of goods produced in infected areas;</w:t>
      </w:r>
    </w:p>
    <w:p>
      <w:pPr>
        <w:spacing w:after="0" w:line="170" w:lineRule="exact"/>
        <w:rPr>
          <w:rFonts w:ascii="Arial" w:cs="Arial" w:eastAsia="Arial" w:hAnsi="Arial"/>
          <w:sz w:val="18"/>
          <w:szCs w:val="18"/>
          <w:color w:val="auto"/>
        </w:rPr>
      </w:pPr>
    </w:p>
    <w:p>
      <w:pPr>
        <w:ind w:left="500" w:hanging="357"/>
        <w:spacing w:after="0"/>
        <w:tabs>
          <w:tab w:leader="none" w:pos="500" w:val="left"/>
        </w:tabs>
        <w:numPr>
          <w:ilvl w:val="1"/>
          <w:numId w:val="3"/>
        </w:numPr>
        <w:rPr>
          <w:rFonts w:ascii="Arial" w:cs="Arial" w:eastAsia="Arial" w:hAnsi="Arial"/>
          <w:sz w:val="18"/>
          <w:szCs w:val="18"/>
          <w:color w:val="auto"/>
        </w:rPr>
      </w:pPr>
      <w:r>
        <w:rPr>
          <w:rFonts w:ascii="Arial" w:cs="Arial" w:eastAsia="Arial" w:hAnsi="Arial"/>
          <w:sz w:val="18"/>
          <w:szCs w:val="18"/>
          <w:color w:val="auto"/>
        </w:rPr>
        <w:t>natural disasters and industrial accidents, which could have the effect of curtailing production and disrupting supplies;</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57" w:right="299" w:bottom="1440" w:gutter="0" w:footer="0" w:header="0"/>
        </w:sectPr>
      </w:pPr>
    </w:p>
    <w:bookmarkStart w:id="12" w:name="page13"/>
    <w:bookmarkEnd w:id="12"/>
    <w:p>
      <w:pPr>
        <w:ind w:left="500" w:hanging="357"/>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increases in labor and production costs in goods-producing countries, which would result in an increase in our inventory costs;</w:t>
      </w:r>
    </w:p>
    <w:p>
      <w:pPr>
        <w:spacing w:after="0" w:line="225" w:lineRule="exact"/>
        <w:rPr>
          <w:rFonts w:ascii="Arial" w:cs="Arial" w:eastAsia="Arial" w:hAnsi="Arial"/>
          <w:sz w:val="18"/>
          <w:szCs w:val="18"/>
          <w:color w:val="auto"/>
        </w:rPr>
      </w:pPr>
    </w:p>
    <w:p>
      <w:pPr>
        <w:ind w:left="500" w:hanging="357"/>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migration and development of manufacturers, which can affect where our products are or will be produced;</w:t>
      </w:r>
    </w:p>
    <w:p>
      <w:pPr>
        <w:spacing w:after="0" w:line="225" w:lineRule="exact"/>
        <w:rPr>
          <w:rFonts w:ascii="Arial" w:cs="Arial" w:eastAsia="Arial" w:hAnsi="Arial"/>
          <w:sz w:val="18"/>
          <w:szCs w:val="18"/>
          <w:color w:val="auto"/>
        </w:rPr>
      </w:pPr>
    </w:p>
    <w:p>
      <w:pPr>
        <w:ind w:left="500" w:hanging="357"/>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fluctuation in our vendors’ local currency against the dollar, which may increase our cost of goods sold; and</w:t>
      </w:r>
    </w:p>
    <w:p>
      <w:pPr>
        <w:spacing w:after="0" w:line="225" w:lineRule="exact"/>
        <w:rPr>
          <w:rFonts w:ascii="Arial" w:cs="Arial" w:eastAsia="Arial" w:hAnsi="Arial"/>
          <w:sz w:val="18"/>
          <w:szCs w:val="18"/>
          <w:color w:val="auto"/>
        </w:rPr>
      </w:pPr>
    </w:p>
    <w:p>
      <w:pPr>
        <w:ind w:left="500" w:right="2120" w:hanging="357"/>
        <w:spacing w:after="0" w:line="312" w:lineRule="auto"/>
        <w:tabs>
          <w:tab w:leader="none" w:pos="500" w:val="left"/>
        </w:tabs>
        <w:numPr>
          <w:ilvl w:val="0"/>
          <w:numId w:val="4"/>
        </w:numPr>
        <w:rPr>
          <w:rFonts w:ascii="Arial" w:cs="Arial" w:eastAsia="Arial" w:hAnsi="Arial"/>
          <w:sz w:val="16"/>
          <w:szCs w:val="16"/>
          <w:color w:val="auto"/>
        </w:rPr>
      </w:pPr>
      <w:r>
        <w:rPr>
          <w:rFonts w:ascii="Arial" w:cs="Arial" w:eastAsia="Arial" w:hAnsi="Arial"/>
          <w:sz w:val="16"/>
          <w:szCs w:val="16"/>
          <w:color w:val="auto"/>
        </w:rPr>
        <w:t>changes in import duties, taxes, charges, quotas, loss of “most favored nation” trading status with the United States for a particular foreign country and trade restrictions (including the United States imposing antidumping or countervailing duty orders, safeguards, remedies or compensation and retaliation due to illegal foreign trade practices).</w:t>
      </w:r>
    </w:p>
    <w:p>
      <w:pPr>
        <w:spacing w:after="0" w:line="14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Any of the foregoing factors, or a combination thereof, could have a material adverse effect on our business.</w:t>
      </w:r>
    </w:p>
    <w:p>
      <w:pPr>
        <w:spacing w:after="0" w:line="117" w:lineRule="exact"/>
        <w:rPr>
          <w:sz w:val="20"/>
          <w:szCs w:val="20"/>
          <w:color w:val="auto"/>
        </w:rPr>
      </w:pPr>
    </w:p>
    <w:p>
      <w:pPr>
        <w:ind w:right="80" w:firstLine="552"/>
        <w:spacing w:after="0" w:line="297" w:lineRule="auto"/>
        <w:rPr>
          <w:sz w:val="20"/>
          <w:szCs w:val="20"/>
          <w:color w:val="auto"/>
        </w:rPr>
      </w:pPr>
      <w:r>
        <w:rPr>
          <w:rFonts w:ascii="Arial" w:cs="Arial" w:eastAsia="Arial" w:hAnsi="Arial"/>
          <w:sz w:val="16"/>
          <w:szCs w:val="16"/>
          <w:color w:val="auto"/>
        </w:rPr>
        <w:t>Recently, uncertainty has increased with respect to tax and trade policies, tariffs and government regulations affecting trade between the U.S. and other countries. Although we source the majority of our merchandise from third party vendors located in the U.S., the production of that merchandise occurs primarily overseas. Major developments in tax policy or trade relations, such as the disallowance of tax deductions for imported merchandise or the imposition of unilateral tariffs on imported products could increase the cost of products purchased from suppliers in such countries or restrict the importation of products from such countries, which in turn could have a material adverse effect on our business, results of operations and liquidity.</w:t>
      </w:r>
    </w:p>
    <w:p>
      <w:pPr>
        <w:spacing w:after="0" w:line="158"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Our business would be disrupted severely if one of our primary distribution centers were to shut down.</w:t>
      </w:r>
    </w:p>
    <w:p>
      <w:pPr>
        <w:spacing w:after="0" w:line="117" w:lineRule="exact"/>
        <w:rPr>
          <w:sz w:val="20"/>
          <w:szCs w:val="20"/>
          <w:color w:val="auto"/>
        </w:rPr>
      </w:pPr>
    </w:p>
    <w:p>
      <w:pPr>
        <w:ind w:right="60" w:firstLine="552"/>
        <w:spacing w:after="0" w:line="255" w:lineRule="auto"/>
        <w:rPr>
          <w:sz w:val="20"/>
          <w:szCs w:val="20"/>
          <w:color w:val="auto"/>
        </w:rPr>
      </w:pPr>
      <w:r>
        <w:rPr>
          <w:rFonts w:ascii="Arial" w:cs="Arial" w:eastAsia="Arial" w:hAnsi="Arial"/>
          <w:sz w:val="18"/>
          <w:szCs w:val="18"/>
          <w:color w:val="auto"/>
        </w:rPr>
        <w:t>Most of the merchandise we purchase is shipped directly to our distribution centers, where it is prepared for shipment to the appropriate stores. The success of our stores depends on their timely receipt of merchandise, and a strong, efficient and flexible distribution network is critical to our ability to grow and to maintain a low-cost operating structure. A disruption within our distribution network, including the shutdown of or loss of significant capacity by one of our current primary distribution centers, could adversely affect our ability to deliver inventory in a timely manner and significantly disrupt our business. In addition, any failure to continue to add capacity to our existing distribution centers and build out planned additional distribution centers timely and cost effectively could adversely affect our business.</w:t>
      </w:r>
    </w:p>
    <w:p>
      <w:pPr>
        <w:spacing w:after="0" w:line="193"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we are unable to protect our information systems against service interruption, misappropriation of data or breaches of security, our operations could be disrupted, we may suffer financial losses and our reputation may be damaged.</w:t>
      </w:r>
    </w:p>
    <w:p>
      <w:pPr>
        <w:spacing w:after="0" w:line="62" w:lineRule="exact"/>
        <w:rPr>
          <w:sz w:val="20"/>
          <w:szCs w:val="20"/>
          <w:color w:val="auto"/>
        </w:rPr>
      </w:pPr>
    </w:p>
    <w:p>
      <w:pPr>
        <w:ind w:right="160" w:firstLine="552"/>
        <w:spacing w:after="0" w:line="272" w:lineRule="auto"/>
        <w:rPr>
          <w:sz w:val="20"/>
          <w:szCs w:val="20"/>
          <w:color w:val="auto"/>
        </w:rPr>
      </w:pPr>
      <w:r>
        <w:rPr>
          <w:rFonts w:ascii="Arial" w:cs="Arial" w:eastAsia="Arial" w:hAnsi="Arial"/>
          <w:sz w:val="17"/>
          <w:szCs w:val="17"/>
          <w:color w:val="auto"/>
        </w:rPr>
        <w:t>We rely extensively on various information systems, including data centers, hardware and software and applications to manage many aspects of our business, including to process and record transactions in our stores, to enable effective communication systems, to plan and track inventory flow, to manage logistics and to generate performance and financial reports. In addition, some aspects of our business, like that of most retailers, involve the receipt, storage and transmission of customers’ personal information and consumer preferences, as well as confidential information about our employees, our suppliers and our Company, some of which is entrusted to third-party service providers and vendors. We are dependent on the integrity, security and consistent operations of these systems and related back-up systems, software, tools (including encryption technology) and monitoring to provide security and oversight for processing, transmission, storage and the protection of confidential information.</w:t>
      </w:r>
    </w:p>
    <w:p>
      <w:pPr>
        <w:spacing w:after="0" w:line="70" w:lineRule="exact"/>
        <w:rPr>
          <w:sz w:val="20"/>
          <w:szCs w:val="20"/>
          <w:color w:val="auto"/>
        </w:rPr>
      </w:pPr>
    </w:p>
    <w:p>
      <w:pPr>
        <w:ind w:right="20" w:firstLine="552"/>
        <w:spacing w:after="0" w:line="288" w:lineRule="auto"/>
        <w:rPr>
          <w:sz w:val="20"/>
          <w:szCs w:val="20"/>
          <w:color w:val="auto"/>
        </w:rPr>
      </w:pPr>
      <w:r>
        <w:rPr>
          <w:rFonts w:ascii="Arial" w:cs="Arial" w:eastAsia="Arial" w:hAnsi="Arial"/>
          <w:sz w:val="16"/>
          <w:szCs w:val="16"/>
          <w:color w:val="auto"/>
        </w:rPr>
        <w:t>Like most major corporations, however, the Company’s information systems are a target of attacks. Electronic security attacks designed to gain access to sensitive information by breaching mission critical systems of large organizations are constantly evolving. Computer hackers or other unauthorized third parties may attempt to penetrate or otherwise gain access to our computer systems or the systems of third parties with which we do business through fraud or other means of deceit and, if successful, misappropriate personal information, payment card or check information or confidential business information. Hardware, software or applications we develop or obtain from third parties may contain defects in design or manufacture or other problems that are not presently known and could unexpectedly compromise information security. In addition, our employees, contractors or third parties with which we do business or to which we outsource business operations may attempt to circumvent our security measures in order to misappropriate such information, and may purposefully or inadvertently cause a breach involving such information. Further, our computer systems and the third-party systems of our vendors we rely on are also subject to damage or interruption from a number of causes, including power outages; computer and telecommunications failures; computer viruses or malware; security breaches; cyber-attacks; acts of war or terrorism; and design or usage errors by our employees or contractors.</w:t>
      </w:r>
    </w:p>
    <w:p>
      <w:pPr>
        <w:spacing w:after="0" w:line="61" w:lineRule="exact"/>
        <w:rPr>
          <w:sz w:val="20"/>
          <w:szCs w:val="20"/>
          <w:color w:val="auto"/>
        </w:rPr>
      </w:pPr>
    </w:p>
    <w:p>
      <w:pPr>
        <w:ind w:right="120" w:firstLine="552"/>
        <w:spacing w:after="0" w:line="264" w:lineRule="auto"/>
        <w:rPr>
          <w:sz w:val="20"/>
          <w:szCs w:val="20"/>
          <w:color w:val="auto"/>
        </w:rPr>
      </w:pPr>
      <w:r>
        <w:rPr>
          <w:rFonts w:ascii="Arial" w:cs="Arial" w:eastAsia="Arial" w:hAnsi="Arial"/>
          <w:sz w:val="18"/>
          <w:szCs w:val="18"/>
          <w:color w:val="auto"/>
        </w:rPr>
        <w:t>If we or third parties with which we do business were to fall victim to successful cyber-attacks or experience other cybersecurity incidents, including the loss of individually identifiable customer or other sensitive data, we may incur substantial costs and suffer other negative consequences, which may include:</w:t>
      </w:r>
    </w:p>
    <w:p>
      <w:pPr>
        <w:spacing w:after="0" w:line="73" w:lineRule="exact"/>
        <w:rPr>
          <w:sz w:val="20"/>
          <w:szCs w:val="20"/>
          <w:color w:val="auto"/>
        </w:rPr>
      </w:pPr>
    </w:p>
    <w:p>
      <w:pPr>
        <w:ind w:left="760" w:right="700" w:hanging="374"/>
        <w:spacing w:after="0" w:line="277"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remediation costs, such as liability for stolen assets or information, repairs of system damage or replacement of systems, and incentives to customers or business partners in an effort to maintain relationships after an attack;</w:t>
      </w:r>
    </w:p>
    <w:p>
      <w:pPr>
        <w:spacing w:after="0" w:line="62" w:lineRule="exact"/>
        <w:rPr>
          <w:rFonts w:ascii="Arial" w:cs="Arial" w:eastAsia="Arial" w:hAnsi="Arial"/>
          <w:sz w:val="18"/>
          <w:szCs w:val="18"/>
          <w:color w:val="auto"/>
        </w:rPr>
      </w:pPr>
    </w:p>
    <w:p>
      <w:pPr>
        <w:ind w:left="760" w:hanging="374"/>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increased cybersecurity protection costs, which may include the costs to continue to make organizational changes, deploy</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3" w:name="page14"/>
    <w:bookmarkEnd w:id="13"/>
    <w:p>
      <w:pPr>
        <w:ind w:left="760"/>
        <w:spacing w:after="0"/>
        <w:rPr>
          <w:sz w:val="20"/>
          <w:szCs w:val="20"/>
          <w:color w:val="auto"/>
        </w:rPr>
      </w:pPr>
      <w:r>
        <w:rPr>
          <w:rFonts w:ascii="Arial" w:cs="Arial" w:eastAsia="Arial" w:hAnsi="Arial"/>
          <w:sz w:val="18"/>
          <w:szCs w:val="18"/>
          <w:color w:val="auto"/>
        </w:rPr>
        <w:t>additional personnel and protection technologies, train employees, and engage third party consultants;</w:t>
      </w:r>
    </w:p>
    <w:p>
      <w:pPr>
        <w:spacing w:after="0" w:line="117" w:lineRule="exact"/>
        <w:rPr>
          <w:sz w:val="20"/>
          <w:szCs w:val="20"/>
          <w:color w:val="auto"/>
        </w:rPr>
      </w:pPr>
    </w:p>
    <w:p>
      <w:pPr>
        <w:ind w:left="760" w:hanging="374"/>
        <w:spacing w:after="0"/>
        <w:tabs>
          <w:tab w:leader="none" w:pos="760" w:val="left"/>
        </w:tabs>
        <w:numPr>
          <w:ilvl w:val="0"/>
          <w:numId w:val="6"/>
        </w:numPr>
        <w:rPr>
          <w:rFonts w:ascii="Arial" w:cs="Arial" w:eastAsia="Arial" w:hAnsi="Arial"/>
          <w:sz w:val="17"/>
          <w:szCs w:val="17"/>
          <w:color w:val="auto"/>
        </w:rPr>
      </w:pPr>
      <w:r>
        <w:rPr>
          <w:rFonts w:ascii="Arial" w:cs="Arial" w:eastAsia="Arial" w:hAnsi="Arial"/>
          <w:sz w:val="17"/>
          <w:szCs w:val="17"/>
          <w:color w:val="auto"/>
        </w:rPr>
        <w:t>lost revenues resulting from the unauthorized use of proprietary information or the failure to retain or attract customers following an attack;</w:t>
      </w:r>
    </w:p>
    <w:p>
      <w:pPr>
        <w:spacing w:after="0" w:line="128" w:lineRule="exact"/>
        <w:rPr>
          <w:rFonts w:ascii="Arial" w:cs="Arial" w:eastAsia="Arial" w:hAnsi="Arial"/>
          <w:sz w:val="17"/>
          <w:szCs w:val="17"/>
          <w:color w:val="auto"/>
        </w:rPr>
      </w:pPr>
    </w:p>
    <w:p>
      <w:pPr>
        <w:ind w:left="760" w:hanging="374"/>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litigation and legal risks, including regulatory actions by state and federal governmental authorities;</w:t>
      </w:r>
    </w:p>
    <w:p>
      <w:pPr>
        <w:spacing w:after="0" w:line="117" w:lineRule="exact"/>
        <w:rPr>
          <w:rFonts w:ascii="Arial" w:cs="Arial" w:eastAsia="Arial" w:hAnsi="Arial"/>
          <w:sz w:val="18"/>
          <w:szCs w:val="18"/>
          <w:color w:val="auto"/>
        </w:rPr>
      </w:pPr>
    </w:p>
    <w:p>
      <w:pPr>
        <w:ind w:left="760" w:hanging="374"/>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increased cybersecurity and other insurance premiums;</w:t>
      </w:r>
    </w:p>
    <w:p>
      <w:pPr>
        <w:spacing w:after="0" w:line="117" w:lineRule="exact"/>
        <w:rPr>
          <w:rFonts w:ascii="Arial" w:cs="Arial" w:eastAsia="Arial" w:hAnsi="Arial"/>
          <w:sz w:val="18"/>
          <w:szCs w:val="18"/>
          <w:color w:val="auto"/>
        </w:rPr>
      </w:pPr>
    </w:p>
    <w:p>
      <w:pPr>
        <w:ind w:left="760" w:hanging="374"/>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reputational damage that adversely affects customer or investor confidence; and</w:t>
      </w:r>
    </w:p>
    <w:p>
      <w:pPr>
        <w:spacing w:after="0" w:line="117" w:lineRule="exact"/>
        <w:rPr>
          <w:rFonts w:ascii="Arial" w:cs="Arial" w:eastAsia="Arial" w:hAnsi="Arial"/>
          <w:sz w:val="18"/>
          <w:szCs w:val="18"/>
          <w:color w:val="auto"/>
        </w:rPr>
      </w:pPr>
    </w:p>
    <w:p>
      <w:pPr>
        <w:ind w:left="760" w:hanging="374"/>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damage to our competitiveness, stock price, and long-term stockholder value.</w:t>
      </w:r>
    </w:p>
    <w:p>
      <w:pPr>
        <w:spacing w:after="0" w:line="117" w:lineRule="exact"/>
        <w:rPr>
          <w:sz w:val="20"/>
          <w:szCs w:val="20"/>
          <w:color w:val="auto"/>
        </w:rPr>
      </w:pPr>
    </w:p>
    <w:p>
      <w:pPr>
        <w:ind w:firstLine="552"/>
        <w:spacing w:after="0" w:line="273" w:lineRule="auto"/>
        <w:rPr>
          <w:sz w:val="20"/>
          <w:szCs w:val="20"/>
          <w:color w:val="auto"/>
        </w:rPr>
      </w:pPr>
      <w:r>
        <w:rPr>
          <w:rFonts w:ascii="Arial" w:cs="Arial" w:eastAsia="Arial" w:hAnsi="Arial"/>
          <w:sz w:val="17"/>
          <w:szCs w:val="17"/>
          <w:color w:val="auto"/>
        </w:rPr>
        <w:t>Despite advances in security hardware, software, and encryption technologies, the methods and tools used to obtain unauthorized access, disable or degrade service, or sabotage systems are constantly changing and evolving, and may be difficult to anticipate or detect for long periods of time, and there is no guarantee that the proactive measures we put in place will be adequate to safeguard against all data security breaches or misuses of data. In addition, as the regulatory environment relating to retailers and other companies’ obligation to protect such sensitive data becomes increasingly rigorous, with new and constantly changing requirements applicable to our business, compliance with those requirements could result in additional costs, and a material failure on our part to comply could subject us to fines or other regulatory sanctions and potentially to lawsuits.</w:t>
      </w:r>
    </w:p>
    <w:p>
      <w:pPr>
        <w:spacing w:after="0" w:line="70" w:lineRule="exact"/>
        <w:rPr>
          <w:sz w:val="20"/>
          <w:szCs w:val="20"/>
          <w:color w:val="auto"/>
        </w:rPr>
      </w:pPr>
    </w:p>
    <w:p>
      <w:pPr>
        <w:ind w:right="20" w:firstLine="552"/>
        <w:spacing w:after="0" w:line="272" w:lineRule="auto"/>
        <w:rPr>
          <w:sz w:val="20"/>
          <w:szCs w:val="20"/>
          <w:color w:val="auto"/>
        </w:rPr>
      </w:pPr>
      <w:r>
        <w:rPr>
          <w:rFonts w:ascii="Arial" w:cs="Arial" w:eastAsia="Arial" w:hAnsi="Arial"/>
          <w:sz w:val="17"/>
          <w:szCs w:val="17"/>
          <w:color w:val="auto"/>
        </w:rPr>
        <w:t>Although we believe we are diligent in selecting systems and vendors, and implementing procedures to enable us to maintain the integrity of our systems when we modify them, there are additional inherent risks associated with modifying or replacing systems, and with new or changed relationships, including accurately capturing and maintaining data, realizing the expected benefit of the change and managing the potential disruption of the operation of the systems as the changes are implemented. Potential issues associated with implementing technology initiatives and the time and resources required to optimize the benefits of new elements of our systems and infrastructure could reduce the efficiency of our operations in the short term. In addition, any interruption in the operation of our websites, particularly our e-commerce site, could cause us to suffer reputational harm or to lose sales if customers are unable to access our site or purchase merchandise from us during such interruption.</w:t>
      </w:r>
    </w:p>
    <w:p>
      <w:pPr>
        <w:spacing w:after="0" w:line="17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are subject to payment-related risks that could increase our operating costs, expose us to fraud or theft, subject us to potential liability and potentially disrupt our business.</w:t>
      </w:r>
    </w:p>
    <w:p>
      <w:pPr>
        <w:spacing w:after="0" w:line="62" w:lineRule="exact"/>
        <w:rPr>
          <w:sz w:val="20"/>
          <w:szCs w:val="20"/>
          <w:color w:val="auto"/>
        </w:rPr>
      </w:pPr>
    </w:p>
    <w:p>
      <w:pPr>
        <w:ind w:right="80" w:firstLine="552"/>
        <w:spacing w:after="0" w:line="279" w:lineRule="auto"/>
        <w:rPr>
          <w:sz w:val="20"/>
          <w:szCs w:val="20"/>
          <w:color w:val="auto"/>
        </w:rPr>
      </w:pPr>
      <w:r>
        <w:rPr>
          <w:rFonts w:ascii="Arial" w:cs="Arial" w:eastAsia="Arial" w:hAnsi="Arial"/>
          <w:sz w:val="17"/>
          <w:szCs w:val="17"/>
          <w:color w:val="auto"/>
        </w:rPr>
        <w:t>We accept payments using a variety of methods, including cash, checks, credit and debit cards, and gift cards, and we may offer new payment options over time. Acceptance of these payment options subjects us to rules, regulations, contractual obligations and compliance requirements, including payment network rules and operating guidelines, data security standards and certification requirements, and rules governing electronic funds transfers. These requirements may change over time or be reinterpreted, making compliance more difficult or costly.</w:t>
      </w:r>
    </w:p>
    <w:p>
      <w:pPr>
        <w:spacing w:after="0" w:line="63" w:lineRule="exact"/>
        <w:rPr>
          <w:sz w:val="20"/>
          <w:szCs w:val="20"/>
          <w:color w:val="auto"/>
        </w:rPr>
      </w:pPr>
    </w:p>
    <w:p>
      <w:pPr>
        <w:ind w:right="60" w:firstLine="687"/>
        <w:spacing w:after="0" w:line="289" w:lineRule="auto"/>
        <w:rPr>
          <w:sz w:val="20"/>
          <w:szCs w:val="20"/>
          <w:color w:val="auto"/>
        </w:rPr>
      </w:pPr>
      <w:r>
        <w:rPr>
          <w:rFonts w:ascii="Arial" w:cs="Arial" w:eastAsia="Arial" w:hAnsi="Arial"/>
          <w:sz w:val="16"/>
          <w:szCs w:val="16"/>
          <w:color w:val="auto"/>
        </w:rPr>
        <w:t>For certain payment methods, including credit and debit cards, we pay interchange and other fees, which may increase over time and raise our operating costs. We rely on third parties to provide payment processing services, including the processing of credit cards, debit cards, and other forms of electronic payment. If these companies become unable to provide these services to us, or if their systems are compromised, it could potentially disrupt our business. The payment methods that we offer also subject us to potential fraud and theft by criminals, who are becoming increasingly more sophisticated, seeking to obtain unauthorized access to or exploit weaknesses that may exist in the payment systems. If we fail to comply with applicable rules or requirements for the payment methods we accept, or if payment-related data is compromised due to a breach or misuse of data, we may be liable for costs incurred by payment card issuing banks and other third parties or subject to fines and higher transaction fees, or our ability to accept or facilitate certain types of payments may be impaired. In addition, our customers could lose confidence in certain payment types, which may result in a shift to other payment types or potential changes to our payment systems that may result in higher costs. As a result, our business and operating results could be adversely affected.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Issues with merchandise quality or safety could damage our reputation, sales and financial results.</w:t>
      </w:r>
    </w:p>
    <w:p>
      <w:pPr>
        <w:spacing w:after="0" w:line="117" w:lineRule="exact"/>
        <w:rPr>
          <w:sz w:val="20"/>
          <w:szCs w:val="20"/>
          <w:color w:val="auto"/>
        </w:rPr>
      </w:pPr>
    </w:p>
    <w:p>
      <w:pPr>
        <w:ind w:right="40" w:firstLine="552"/>
        <w:spacing w:after="0" w:line="255" w:lineRule="auto"/>
        <w:rPr>
          <w:sz w:val="20"/>
          <w:szCs w:val="20"/>
          <w:color w:val="auto"/>
        </w:rPr>
      </w:pPr>
      <w:r>
        <w:rPr>
          <w:rFonts w:ascii="Arial" w:cs="Arial" w:eastAsia="Arial" w:hAnsi="Arial"/>
          <w:sz w:val="18"/>
          <w:szCs w:val="18"/>
          <w:color w:val="auto"/>
        </w:rPr>
        <w:t>Various governmental authorities in the jurisdictions where we do business regulate the quality and safety of the merchandise we sell to consumers. Regulations and standards in this area, including those related to the U.S. Consumer Product Safety Improvement Act of 2008, state regulations like California’s Proposition 65, and similar legislation, impose restrictions and requirements on the merchandise we sell in our stores and through e-commerce. These regulations change from time to time as new federal, state or local regulations are enacted. If we or our merchandise vendors are unable to comply with regulatory requirements on a timely basis or at all, or to adequately monitor new regulations that may apply to existing or new merchandise categories, significant fines or penalties could be incurred or we could have to curtail some aspects of our sales or operations, which could have a material adverse effect on our financial results.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4" w:name="page15"/>
    <w:bookmarkEnd w:id="14"/>
    <w:p>
      <w:pPr>
        <w:ind w:right="20" w:firstLine="548"/>
        <w:spacing w:after="0" w:line="255" w:lineRule="auto"/>
        <w:rPr>
          <w:sz w:val="20"/>
          <w:szCs w:val="20"/>
          <w:color w:val="auto"/>
        </w:rPr>
      </w:pPr>
      <w:r>
        <w:rPr>
          <w:rFonts w:ascii="Arial" w:cs="Arial" w:eastAsia="Arial" w:hAnsi="Arial"/>
          <w:sz w:val="18"/>
          <w:szCs w:val="18"/>
          <w:color w:val="auto"/>
        </w:rPr>
        <w:t>We rely on our vendors to provide quality merchandise that complies with applicable product safety laws and other applicable laws, but they may not comply with their obligations to do so. Although our arrangements with our vendors frequently provide for indemnification for product liabilities, the vendors may fail to honor those obligations to an extent we consider sufficient or at all. Issues with the quality and safety of merchandise, and issues with the authenticity of merchandise, or customer concerns about such issues, regardless of our fault, could cause damage to our reputation and could result in lost sales, uninsured product liability claims or losses, merchandise recalls and increased costs, and regulatory, civil or criminal fines or penalties, any of which could have a material adverse effect on our financial results.</w:t>
      </w:r>
    </w:p>
    <w:p>
      <w:pPr>
        <w:spacing w:after="0" w:line="193"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b w:val="1"/>
          <w:bCs w:val="1"/>
          <w:i w:val="1"/>
          <w:iCs w:val="1"/>
          <w:color w:val="auto"/>
        </w:rPr>
        <w:t>Difficulty complying with existing laws, rules, regulations, and local codes, or changes in existing laws, rules, regulations, and local codes could negatively affect our growth strategy, business operations and financial performance.</w:t>
      </w:r>
    </w:p>
    <w:p>
      <w:pPr>
        <w:spacing w:after="0" w:line="62" w:lineRule="exact"/>
        <w:rPr>
          <w:sz w:val="20"/>
          <w:szCs w:val="20"/>
          <w:color w:val="auto"/>
        </w:rPr>
      </w:pPr>
    </w:p>
    <w:p>
      <w:pPr>
        <w:ind w:right="20" w:firstLine="552"/>
        <w:spacing w:after="0" w:line="273" w:lineRule="auto"/>
        <w:rPr>
          <w:sz w:val="20"/>
          <w:szCs w:val="20"/>
          <w:color w:val="auto"/>
        </w:rPr>
      </w:pPr>
      <w:r>
        <w:rPr>
          <w:rFonts w:ascii="Arial" w:cs="Arial" w:eastAsia="Arial" w:hAnsi="Arial"/>
          <w:sz w:val="17"/>
          <w:szCs w:val="17"/>
          <w:color w:val="auto"/>
        </w:rPr>
        <w:t>We are subject to federal, state and local laws, rules and regulations in the operation of our business. In addition to complying with current laws, rules and regulations, we must also comply with new and changing laws and regulations, new regulatory initiatives, evolving interpretation of existing laws by judicial and regulatory authorities, and reforms in jurisdictions where we do business. Complying with local zoning codes, real estate land use restrictions, employment-related laws, and other local laws across numerous jurisdictions is particularly challenging as we grow the number of our stores in new municipalities and need to stay abreast of changes in such local laws. The increasing proliferation of local laws, some of which may be conflicting, further complicates our efforts to comply with all of the various laws, rules and regulations that apply to our business.</w:t>
      </w:r>
    </w:p>
    <w:p>
      <w:pPr>
        <w:spacing w:after="0" w:line="70" w:lineRule="exact"/>
        <w:rPr>
          <w:sz w:val="20"/>
          <w:szCs w:val="20"/>
          <w:color w:val="auto"/>
        </w:rPr>
      </w:pPr>
    </w:p>
    <w:p>
      <w:pPr>
        <w:ind w:firstLine="552"/>
        <w:spacing w:after="0" w:line="273" w:lineRule="auto"/>
        <w:rPr>
          <w:sz w:val="20"/>
          <w:szCs w:val="20"/>
          <w:color w:val="auto"/>
        </w:rPr>
      </w:pPr>
      <w:r>
        <w:rPr>
          <w:rFonts w:ascii="Arial" w:cs="Arial" w:eastAsia="Arial" w:hAnsi="Arial"/>
          <w:sz w:val="17"/>
          <w:szCs w:val="17"/>
          <w:color w:val="auto"/>
        </w:rPr>
        <w:t>All of the above legal, regulatory and administrative requirements collectively affect multiple aspects of our business, including those involving labor and employment benefits; health, welfare and finance; real estate management; consumer protection and product safety; climate change, supply chain, energy and waste; use of the internet, including e-commerce, electronic communications, data protection and privacy; and protection of third party intellectual property rights. Changes to these laws and regulations could increase our costs of compliance or of doing business, and could adversely affect our operating results. In addition, if we fail to comply with these laws, rules, and regulations, we may be subject to judgments, fines or other costs or penalties, which could materially adversely affect our operations and our financial results and condition.</w:t>
      </w:r>
    </w:p>
    <w:p>
      <w:pPr>
        <w:spacing w:after="0" w:line="178"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Changes in accounting standards and subjective assumptions, estimates and judgments by management related to complex accounting matters could significantly affect our financial results or financial condition.</w:t>
      </w:r>
    </w:p>
    <w:p>
      <w:pPr>
        <w:spacing w:after="0" w:line="62" w:lineRule="exact"/>
        <w:rPr>
          <w:sz w:val="20"/>
          <w:szCs w:val="20"/>
          <w:color w:val="auto"/>
        </w:rPr>
      </w:pPr>
    </w:p>
    <w:p>
      <w:pPr>
        <w:ind w:firstLine="552"/>
        <w:spacing w:after="0" w:line="259" w:lineRule="auto"/>
        <w:rPr>
          <w:sz w:val="20"/>
          <w:szCs w:val="20"/>
          <w:color w:val="auto"/>
        </w:rPr>
      </w:pPr>
      <w:r>
        <w:rPr>
          <w:rFonts w:ascii="Arial" w:cs="Arial" w:eastAsia="Arial" w:hAnsi="Arial"/>
          <w:sz w:val="18"/>
          <w:szCs w:val="18"/>
          <w:color w:val="auto"/>
        </w:rPr>
        <w:t>Generally accepted accounting principles and related accounting pronouncements, implementation guidelines and interpretations with regard to a wide range of matters that are relevant to our business, such as inventories and self-insurance reserves, are highly complex and involve many subjective assumptions, estimates and judgments. Changes in these rules or their interpretation, or changes in underlying assumptions, estimates or judgments, could significantly change our reported or expected financial performance or financial condition.</w:t>
      </w:r>
    </w:p>
    <w:p>
      <w:pPr>
        <w:spacing w:after="0" w:line="18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Our future growth and profitability could be adversely affected if our advertising and marketing programs are not effective in generating sufficient levels of customer awareness and traffic.</w:t>
      </w:r>
    </w:p>
    <w:p>
      <w:pPr>
        <w:spacing w:after="0" w:line="62" w:lineRule="exact"/>
        <w:rPr>
          <w:sz w:val="20"/>
          <w:szCs w:val="20"/>
          <w:color w:val="auto"/>
        </w:rPr>
      </w:pPr>
    </w:p>
    <w:p>
      <w:pPr>
        <w:ind w:right="60" w:firstLine="552"/>
        <w:spacing w:after="0" w:line="259" w:lineRule="auto"/>
        <w:rPr>
          <w:sz w:val="20"/>
          <w:szCs w:val="20"/>
          <w:color w:val="auto"/>
        </w:rPr>
      </w:pPr>
      <w:r>
        <w:rPr>
          <w:rFonts w:ascii="Arial" w:cs="Arial" w:eastAsia="Arial" w:hAnsi="Arial"/>
          <w:sz w:val="18"/>
          <w:szCs w:val="18"/>
          <w:color w:val="auto"/>
        </w:rPr>
        <w:t>We rely on advertising to increase consumer awareness of our product offerings and pricing to drive store traffic and traffic to our e-commerce site. In addition, we rely and will increasingly rely on other forms of media advertising, including digital, social media and e-marketing. Our future growth and profitability will depend in part upon the effectiveness and efficiency of our advertising and marketing programs. Our advertising and marketing programs may not be successful if we do not:</w:t>
      </w:r>
    </w:p>
    <w:p>
      <w:pPr>
        <w:spacing w:after="0" w:line="187" w:lineRule="exact"/>
        <w:rPr>
          <w:sz w:val="20"/>
          <w:szCs w:val="20"/>
          <w:color w:val="auto"/>
        </w:rPr>
      </w:pPr>
    </w:p>
    <w:p>
      <w:pPr>
        <w:ind w:left="500" w:right="1520" w:hanging="357"/>
        <w:spacing w:after="0" w:line="277"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manage advertising and marketing costs effectively in order to maintain acceptable operating margins and return on our marketing investment; and</w:t>
      </w:r>
    </w:p>
    <w:p>
      <w:pPr>
        <w:spacing w:after="0" w:line="170" w:lineRule="exact"/>
        <w:rPr>
          <w:rFonts w:ascii="Arial" w:cs="Arial" w:eastAsia="Arial" w:hAnsi="Arial"/>
          <w:sz w:val="18"/>
          <w:szCs w:val="18"/>
          <w:color w:val="auto"/>
        </w:rPr>
      </w:pPr>
    </w:p>
    <w:p>
      <w:pPr>
        <w:ind w:left="500" w:hanging="357"/>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convert customer awareness into actual store visits and product purchases.</w:t>
      </w:r>
    </w:p>
    <w:p>
      <w:pPr>
        <w:spacing w:after="0" w:line="225" w:lineRule="exact"/>
        <w:rPr>
          <w:sz w:val="20"/>
          <w:szCs w:val="20"/>
          <w:color w:val="auto"/>
        </w:rPr>
      </w:pPr>
    </w:p>
    <w:p>
      <w:pPr>
        <w:ind w:right="300" w:firstLine="589"/>
        <w:spacing w:after="0" w:line="286" w:lineRule="auto"/>
        <w:rPr>
          <w:sz w:val="20"/>
          <w:szCs w:val="20"/>
          <w:color w:val="auto"/>
        </w:rPr>
      </w:pPr>
      <w:r>
        <w:rPr>
          <w:rFonts w:ascii="Arial" w:cs="Arial" w:eastAsia="Arial" w:hAnsi="Arial"/>
          <w:sz w:val="17"/>
          <w:szCs w:val="17"/>
          <w:color w:val="auto"/>
        </w:rPr>
        <w:t>Our planned advertising and marketing expenditures may not result in increased total or comparable store sales or generate sufficient levels of product awareness. Further, we may not be able to manage our advertising and marketing expenditures on a cost-effective basis. Additionally, some of our competitors may have substantially larger marketing budgets, which may provide them with a competitive advantage over us.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Damage to our corporate reputation or brand could adversely affect our sales and operating results.</w:t>
      </w:r>
    </w:p>
    <w:p>
      <w:pPr>
        <w:spacing w:after="0" w:line="117" w:lineRule="exact"/>
        <w:rPr>
          <w:sz w:val="20"/>
          <w:szCs w:val="20"/>
          <w:color w:val="auto"/>
        </w:rPr>
      </w:pPr>
    </w:p>
    <w:p>
      <w:pPr>
        <w:ind w:firstLine="548"/>
        <w:spacing w:after="0" w:line="293" w:lineRule="auto"/>
        <w:rPr>
          <w:sz w:val="20"/>
          <w:szCs w:val="20"/>
          <w:color w:val="auto"/>
        </w:rPr>
      </w:pPr>
      <w:r>
        <w:rPr>
          <w:rFonts w:ascii="Arial" w:cs="Arial" w:eastAsia="Arial" w:hAnsi="Arial"/>
          <w:sz w:val="16"/>
          <w:szCs w:val="16"/>
          <w:color w:val="auto"/>
        </w:rPr>
        <w:t>Building brand reputation is important to our continuing success. Our reputation is partially based on perceptions of various subjective qualities and overall integrity. Any incident that erodes the trust or confidence of our customers or the general public could adversely affect our reputation and business, particularly if the incident results in significant adverse publicity or governmental inquiry. In addition, information concerning us, whether or not true, may be instantly and easily posted on social media platforms and similar devices at any time, which information may be adverse to our reputation or business. The harm may be immediate without affording us an opportunity for redress or correction. Damage to our reputation in any form could result in declines in customer loyalty and sales, affect our vendor relationships, development opportunities and associate retention, and otherwise adversely affect our business.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Use of social media by the Company or third parties at our direction may adversely impact our reputation or subject us to fines or other penalties.</w:t>
      </w:r>
    </w:p>
    <w:p>
      <w:pPr>
        <w:spacing w:after="0" w:line="140" w:lineRule="exact"/>
        <w:rPr>
          <w:sz w:val="20"/>
          <w:szCs w:val="20"/>
          <w:color w:val="auto"/>
        </w:rPr>
      </w:pPr>
    </w:p>
    <w:p>
      <w:pPr>
        <w:ind w:firstLine="552"/>
        <w:spacing w:after="0" w:line="255" w:lineRule="auto"/>
        <w:rPr>
          <w:sz w:val="20"/>
          <w:szCs w:val="20"/>
          <w:color w:val="auto"/>
        </w:rPr>
      </w:pPr>
      <w:r>
        <w:rPr>
          <w:rFonts w:ascii="Arial" w:cs="Arial" w:eastAsia="Arial" w:hAnsi="Arial"/>
          <w:sz w:val="18"/>
          <w:szCs w:val="18"/>
          <w:color w:val="auto"/>
        </w:rPr>
        <w:t>There has been a substantial increase in the use of social media platforms, including blogs, social media websites, and other forms of internet-based communications, which allow individuals access to a broad audience of consumers and other interested persons. We have increasingly utilized social media in our marketing and employment recruiting efforts in order to reach as many current and potential new customers and potential employment candidates as efficiently and cost effectively as possible, and have also retained third parties with expertise and distinction in the social media realm to bolster our social media efforts. As laws and regulations rapidly evolve to govern the use of these platforms, the failure by us, our employees or third parties acting at our direction to abide by applicable laws and regulations in the use of these platforms could adversely impact our reputation or subject us to fines or other penalties.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and regulatory proceedings could have an adverse impact on our results of operations.</w:t>
      </w:r>
    </w:p>
    <w:p>
      <w:pPr>
        <w:spacing w:after="0" w:line="117" w:lineRule="exact"/>
        <w:rPr>
          <w:sz w:val="20"/>
          <w:szCs w:val="20"/>
          <w:color w:val="auto"/>
        </w:rPr>
      </w:pPr>
    </w:p>
    <w:p>
      <w:pPr>
        <w:ind w:firstLine="552"/>
        <w:spacing w:after="0" w:line="293" w:lineRule="auto"/>
        <w:rPr>
          <w:sz w:val="20"/>
          <w:szCs w:val="20"/>
          <w:color w:val="auto"/>
        </w:rPr>
      </w:pPr>
      <w:r>
        <w:rPr>
          <w:rFonts w:ascii="Arial" w:cs="Arial" w:eastAsia="Arial" w:hAnsi="Arial"/>
          <w:sz w:val="16"/>
          <w:szCs w:val="16"/>
          <w:color w:val="auto"/>
        </w:rPr>
        <w:t>We are subject to various legal and regulatory proceedings relating to our business, certain of which may involve jurisdictions with reputations for aggressive application of laws and procedures against corporate defendants. We are impacted by trends in litigation, including class action litigation brought under various consumer protection, employment, and privacy and information security laws. Accruals are established based on our best estimates of our potential liability. However, we cannot accurately predict the ultimate outcome of any such proceedings due to the inherent uncertainties of litigation. Regardless of the outcome or whether the claims are meritorious, legal and regulatory proceedings may require that we devote substantial time and expense to defend our Company. Unfavorable rulings could result in a material adverse impact on our business, financial condition or results of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impacted as a result of actions by activist stockholders or others.</w:t>
      </w:r>
    </w:p>
    <w:p>
      <w:pPr>
        <w:spacing w:after="0" w:line="117" w:lineRule="exact"/>
        <w:rPr>
          <w:sz w:val="20"/>
          <w:szCs w:val="20"/>
          <w:color w:val="auto"/>
        </w:rPr>
      </w:pPr>
    </w:p>
    <w:p>
      <w:pPr>
        <w:ind w:right="40" w:firstLine="552"/>
        <w:spacing w:after="0" w:line="255" w:lineRule="auto"/>
        <w:rPr>
          <w:sz w:val="20"/>
          <w:szCs w:val="20"/>
          <w:color w:val="auto"/>
        </w:rPr>
      </w:pPr>
      <w:r>
        <w:rPr>
          <w:rFonts w:ascii="Arial" w:cs="Arial" w:eastAsia="Arial" w:hAnsi="Arial"/>
          <w:sz w:val="18"/>
          <w:szCs w:val="18"/>
          <w:color w:val="auto"/>
        </w:rPr>
        <w:t>From time to time, we may be subject to legal and business challenges in the operation of our Company due to stockholder proposals, media campaigns, proxy contests, and other such actions instituted by activist stockholders or others. Responding to such actions could be costly and time-consuming, disrupt our operations, may not align with our business strategies and could divert the attention of our Board of Directors and senior management from the pursuit of current business strategies. Perceived uncertainties as to our future direction as a result of stockholder activism or potential changes to the composition of the Board of Directors may lead to the perception of a change in the direction of the business or other instability, and may make it more difficult to attract and retain qualified personnel and business partners.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Circumstances limiting our ability, or the ability of our vendors, to access capital markets could adversely affect our business or financial condition.</w:t>
      </w:r>
    </w:p>
    <w:p>
      <w:pPr>
        <w:spacing w:after="0" w:line="140" w:lineRule="exact"/>
        <w:rPr>
          <w:sz w:val="20"/>
          <w:szCs w:val="20"/>
          <w:color w:val="auto"/>
        </w:rPr>
      </w:pPr>
    </w:p>
    <w:p>
      <w:pPr>
        <w:ind w:right="40" w:firstLine="552"/>
        <w:spacing w:after="0" w:line="279" w:lineRule="auto"/>
        <w:rPr>
          <w:sz w:val="20"/>
          <w:szCs w:val="20"/>
          <w:color w:val="auto"/>
        </w:rPr>
      </w:pPr>
      <w:r>
        <w:rPr>
          <w:rFonts w:ascii="Arial" w:cs="Arial" w:eastAsia="Arial" w:hAnsi="Arial"/>
          <w:sz w:val="17"/>
          <w:szCs w:val="17"/>
          <w:color w:val="auto"/>
        </w:rPr>
        <w:t>Changes in the credit and capital markets, including market disruptions, limited liquidity and interest rate fluctuations, may increase the cost of financing or restrict our access to this potential source of future liquidity. A decrease in the ratings that rating agencies assign to our short- and long-term debt may also negatively impact our access to the debt capital markets and increase our cost of borrowing. These circumstances may negatively impact our access to capital markets, which could have a materially adverse impact on our business or financial condition.</w:t>
      </w:r>
    </w:p>
    <w:p>
      <w:pPr>
        <w:spacing w:after="0" w:line="63" w:lineRule="exact"/>
        <w:rPr>
          <w:sz w:val="20"/>
          <w:szCs w:val="20"/>
          <w:color w:val="auto"/>
        </w:rPr>
      </w:pPr>
    </w:p>
    <w:p>
      <w:pPr>
        <w:jc w:val="both"/>
        <w:ind w:right="20" w:firstLine="552"/>
        <w:spacing w:after="0" w:line="264" w:lineRule="auto"/>
        <w:rPr>
          <w:sz w:val="20"/>
          <w:szCs w:val="20"/>
          <w:color w:val="auto"/>
        </w:rPr>
      </w:pPr>
      <w:r>
        <w:rPr>
          <w:rFonts w:ascii="Arial" w:cs="Arial" w:eastAsia="Arial" w:hAnsi="Arial"/>
          <w:sz w:val="18"/>
          <w:szCs w:val="18"/>
          <w:color w:val="auto"/>
        </w:rPr>
        <w:t>In many cases, our vendors depend upon commercial credit to finance their operations. If they are unable to secure commercial financing, our vendors could seek to change the terms on which they sell to us, which could negatively affect our liquidity. In addition, the inability of vendors to access liquidity, or the insolvency of vendors, could lead to their failure to deliver merchandise to us.</w:t>
      </w:r>
    </w:p>
    <w:p>
      <w:pPr>
        <w:spacing w:after="0" w:line="18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Our substantial indebtedness requires a significant amount of cash. Our ability to generate sufficient cash depends on numerous factors beyond our control, and we may be unable to generate sufficient cash flow to service our debt obligations.</w:t>
      </w:r>
    </w:p>
    <w:p>
      <w:pPr>
        <w:spacing w:after="0" w:line="62" w:lineRule="exact"/>
        <w:rPr>
          <w:sz w:val="20"/>
          <w:szCs w:val="20"/>
          <w:color w:val="auto"/>
        </w:rPr>
      </w:pPr>
    </w:p>
    <w:p>
      <w:pPr>
        <w:ind w:right="380" w:firstLine="552"/>
        <w:spacing w:after="0" w:line="264" w:lineRule="auto"/>
        <w:rPr>
          <w:sz w:val="20"/>
          <w:szCs w:val="20"/>
          <w:color w:val="auto"/>
        </w:rPr>
      </w:pPr>
      <w:r>
        <w:rPr>
          <w:rFonts w:ascii="Arial" w:cs="Arial" w:eastAsia="Arial" w:hAnsi="Arial"/>
          <w:sz w:val="18"/>
          <w:szCs w:val="18"/>
          <w:color w:val="auto"/>
        </w:rPr>
        <w:t>As of February 3, 2018, our total indebtedness was $1,127.0 million, including $1,108.9 million, inclusive of original issue discount, under our $1,200.0 million senior secured term loan facility (Term Loan Facility). We had no outstanding borrowings under our $600.0 million asset-based lending facility (ABL Line of Credit) as of February 3, 2018. Estimated cash required to make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6" w:name="page17"/>
    <w:bookmarkEnd w:id="16"/>
    <w:p>
      <w:pPr>
        <w:ind w:right="20"/>
        <w:spacing w:after="0" w:line="277" w:lineRule="auto"/>
        <w:rPr>
          <w:sz w:val="20"/>
          <w:szCs w:val="20"/>
          <w:color w:val="auto"/>
        </w:rPr>
      </w:pPr>
      <w:r>
        <w:rPr>
          <w:rFonts w:ascii="Arial" w:cs="Arial" w:eastAsia="Arial" w:hAnsi="Arial"/>
          <w:sz w:val="18"/>
          <w:szCs w:val="18"/>
          <w:color w:val="auto"/>
        </w:rPr>
        <w:t>minimum debt service payments (including principal and interest) for these debt obligations amounts to approximately $55.0 million for the fiscal year ended February 3, 2018.</w:t>
      </w:r>
    </w:p>
    <w:p>
      <w:pPr>
        <w:spacing w:after="0" w:line="62" w:lineRule="exact"/>
        <w:rPr>
          <w:sz w:val="20"/>
          <w:szCs w:val="20"/>
          <w:color w:val="auto"/>
        </w:rPr>
      </w:pPr>
    </w:p>
    <w:p>
      <w:pPr>
        <w:ind w:firstLine="552"/>
        <w:spacing w:after="0" w:line="255" w:lineRule="auto"/>
        <w:rPr>
          <w:sz w:val="20"/>
          <w:szCs w:val="20"/>
          <w:color w:val="auto"/>
        </w:rPr>
      </w:pPr>
      <w:r>
        <w:rPr>
          <w:rFonts w:ascii="Arial" w:cs="Arial" w:eastAsia="Arial" w:hAnsi="Arial"/>
          <w:sz w:val="18"/>
          <w:szCs w:val="18"/>
          <w:color w:val="auto"/>
        </w:rPr>
        <w:t>Our ability to make payments and to refinance our debt, and to fund planned capital expenditures, will depend on our ability to generate cash in the future, which is to some extent subject to general economic, financial, competitive, legislative, regulatory and other factors that are beyond our control. If we are unable to generate sufficient cash flow to service our debt and meet our other commitments, we will be required to adopt one or more alternatives, such as refinancing all or a portion of our debt, selling material assets or operations or raising additional debt or equity capital. We may not be able to successfully carry out any of these actions on a timely basis, on commercially reasonable terms or at all, or be assured that these actions would be sufficient to meet our capital requirements. In addition, the terms of our existing or future debt agreements, including the Term Loan Facility and the ABL Line of Credit, may restrict us from affecting any of these alternatives.</w:t>
      </w:r>
    </w:p>
    <w:p>
      <w:pPr>
        <w:spacing w:after="0" w:line="189"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b w:val="1"/>
          <w:bCs w:val="1"/>
          <w:i w:val="1"/>
          <w:iCs w:val="1"/>
          <w:color w:val="auto"/>
        </w:rPr>
        <w:t>Our failure to comply with the agreements relating to our outstanding indebtedness, including as a result of events beyond our control, could result in an event of default that could materially and adversely affect our results of operations and our financial condition.</w:t>
      </w:r>
    </w:p>
    <w:p>
      <w:pPr>
        <w:spacing w:after="0" w:line="38" w:lineRule="exact"/>
        <w:rPr>
          <w:sz w:val="20"/>
          <w:szCs w:val="20"/>
          <w:color w:val="auto"/>
        </w:rPr>
      </w:pPr>
    </w:p>
    <w:p>
      <w:pPr>
        <w:ind w:right="100" w:firstLine="552"/>
        <w:spacing w:after="0" w:line="255" w:lineRule="auto"/>
        <w:rPr>
          <w:sz w:val="20"/>
          <w:szCs w:val="20"/>
          <w:color w:val="auto"/>
        </w:rPr>
      </w:pPr>
      <w:r>
        <w:rPr>
          <w:rFonts w:ascii="Arial" w:cs="Arial" w:eastAsia="Arial" w:hAnsi="Arial"/>
          <w:sz w:val="18"/>
          <w:szCs w:val="18"/>
          <w:color w:val="auto"/>
        </w:rPr>
        <w:t>If an event of default under any of the agreements relating to our outstanding indebtedness occurred, the holders of the defaulted debt could cause all amounts outstanding, with respect to that debt, to be due and payable immediately. Our assets or cash flow may not be sufficient to fully repay borrowings under our outstanding debt instruments if accelerated upon an event of default. Further, if we are unable to repay, refinance or restructure our secured indebtedness, the holders of such debt could proceed against the collateral securing that indebtedness through foreclosure proceedings and/or by forcing us into bankruptcy or liquidation. In addition, any event of default or declaration of acceleration under one debt instrument could also result in an event of default under one or more of our other debt instruments.</w:t>
      </w:r>
    </w:p>
    <w:p>
      <w:pPr>
        <w:spacing w:after="0" w:line="19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are a holding company and rely on dividends, distributions and other payments, advances and transfers of funds from our subsidiaries to meet our obligations.</w:t>
      </w:r>
    </w:p>
    <w:p>
      <w:pPr>
        <w:spacing w:after="0" w:line="62" w:lineRule="exact"/>
        <w:rPr>
          <w:sz w:val="20"/>
          <w:szCs w:val="20"/>
          <w:color w:val="auto"/>
        </w:rPr>
      </w:pPr>
    </w:p>
    <w:p>
      <w:pPr>
        <w:jc w:val="both"/>
        <w:ind w:right="60" w:firstLine="552"/>
        <w:spacing w:after="0" w:line="264" w:lineRule="auto"/>
        <w:rPr>
          <w:sz w:val="20"/>
          <w:szCs w:val="20"/>
          <w:color w:val="auto"/>
        </w:rPr>
      </w:pPr>
      <w:r>
        <w:rPr>
          <w:rFonts w:ascii="Arial" w:cs="Arial" w:eastAsia="Arial" w:hAnsi="Arial"/>
          <w:sz w:val="18"/>
          <w:szCs w:val="18"/>
          <w:color w:val="auto"/>
        </w:rPr>
        <w:t>We are a holding company that does not conduct any business operations of our own. As a result, we are largely dependent upon cash dividends and distributions and other transfers from our subsidiaries to meet our obligations. The deterioration of income from, or other available assets of, our subsidiaries for any reason could limit or impair their ability to pay dividends or other distributions to us.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has been and may continue to be volatile.</w:t>
      </w:r>
    </w:p>
    <w:p>
      <w:pPr>
        <w:spacing w:after="0" w:line="117" w:lineRule="exact"/>
        <w:rPr>
          <w:sz w:val="20"/>
          <w:szCs w:val="20"/>
          <w:color w:val="auto"/>
        </w:rPr>
      </w:pPr>
    </w:p>
    <w:p>
      <w:pPr>
        <w:ind w:firstLine="552"/>
        <w:spacing w:after="0" w:line="293" w:lineRule="auto"/>
        <w:rPr>
          <w:sz w:val="20"/>
          <w:szCs w:val="20"/>
          <w:color w:val="auto"/>
        </w:rPr>
      </w:pPr>
      <w:r>
        <w:rPr>
          <w:rFonts w:ascii="Arial" w:cs="Arial" w:eastAsia="Arial" w:hAnsi="Arial"/>
          <w:sz w:val="16"/>
          <w:szCs w:val="16"/>
          <w:color w:val="auto"/>
        </w:rPr>
        <w:t>The market price of our common stock has fluctuated substantially in the past and may continue to fluctuate significantly. For example, in Fiscal 2017, our stock price fluctuated from a high of $128.93 to a low of $79.07. Future announcements or disclosures concerning us or any of our competitors, our strategic initiatives, our sales and profitability, our financial condition, any quarterly variations in actual or anticipated operating results or comparable sales, any failure to meet analysts’ expectations and sales of large blocks of our common stock, among other factors, could cause the market price of our common stock to fluctuate substantially. In addition, the stock market has experienced price and volume fluctuations that have affected the market price of many retail and other stocks that have often been unrelated or disproportionate to the operating performance of these companies.</w:t>
      </w:r>
    </w:p>
    <w:p>
      <w:pPr>
        <w:spacing w:after="0" w:line="16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Anti-takeover provisions in our charter documents and Delaware law might discourage or delay acquisition attempts for us that stockholders might consider favorable.</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Our amended and restated certificate of incorporation and amended and restated bylaws contain provisions that may make the acquisition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 more difficult without the approval of our Board of Directors. These provisions:</w:t>
      </w:r>
    </w:p>
    <w:p>
      <w:pPr>
        <w:spacing w:after="0" w:line="319" w:lineRule="exact"/>
        <w:rPr>
          <w:sz w:val="20"/>
          <w:szCs w:val="20"/>
          <w:color w:val="auto"/>
        </w:rPr>
      </w:pPr>
    </w:p>
    <w:p>
      <w:pPr>
        <w:jc w:val="both"/>
        <w:ind w:left="920" w:right="1940" w:hanging="372"/>
        <w:spacing w:after="0" w:line="264" w:lineRule="auto"/>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authorize the issuance of undesignated preferred stock, the terms of which may be established and the shares of which may be issued without stockholder approval, and which may include super voting, special approval, dividend, or other rights or preferences superior to the rights of the holders of common stock;</w:t>
      </w:r>
    </w:p>
    <w:p>
      <w:pPr>
        <w:spacing w:after="0" w:line="181" w:lineRule="exact"/>
        <w:rPr>
          <w:rFonts w:ascii="Arial" w:cs="Arial" w:eastAsia="Arial" w:hAnsi="Arial"/>
          <w:sz w:val="18"/>
          <w:szCs w:val="18"/>
          <w:color w:val="auto"/>
        </w:rPr>
      </w:pPr>
    </w:p>
    <w:p>
      <w:pPr>
        <w:ind w:left="920" w:hanging="372"/>
        <w:spacing w:after="0"/>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prohibit stockholder action by written consent, requiring all stockholder actions be taken at a meeting of our stockholders;</w:t>
      </w:r>
    </w:p>
    <w:p>
      <w:pPr>
        <w:spacing w:after="0" w:line="225" w:lineRule="exact"/>
        <w:rPr>
          <w:rFonts w:ascii="Arial" w:cs="Arial" w:eastAsia="Arial" w:hAnsi="Arial"/>
          <w:sz w:val="18"/>
          <w:szCs w:val="18"/>
          <w:color w:val="auto"/>
        </w:rPr>
      </w:pPr>
    </w:p>
    <w:p>
      <w:pPr>
        <w:ind w:left="920" w:hanging="372"/>
        <w:spacing w:after="0"/>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provide that the Board of Directors is expressly authorized to alter or repeal our amended and restated bylaws;</w:t>
      </w:r>
    </w:p>
    <w:p>
      <w:pPr>
        <w:spacing w:after="0" w:line="225" w:lineRule="exact"/>
        <w:rPr>
          <w:rFonts w:ascii="Arial" w:cs="Arial" w:eastAsia="Arial" w:hAnsi="Arial"/>
          <w:sz w:val="18"/>
          <w:szCs w:val="18"/>
          <w:color w:val="auto"/>
        </w:rPr>
      </w:pPr>
    </w:p>
    <w:p>
      <w:pPr>
        <w:ind w:left="920" w:right="1940" w:hanging="372"/>
        <w:spacing w:after="0" w:line="277" w:lineRule="auto"/>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elections to our Board of Directors or for proposing matters that can be acted upon by stockholders at stockholder meetings;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17" w:name="page18"/>
    <w:bookmarkEnd w:id="17"/>
    <w:p>
      <w:pPr>
        <w:jc w:val="both"/>
        <w:ind w:left="920" w:right="2020" w:hanging="372"/>
        <w:spacing w:after="0" w:line="264" w:lineRule="auto"/>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establish a classified Board of Directors, as a result of which our Board of Directors is divided into three classes, with each class serving for staggered three-year terms, which prevents stockholders from electing an entirely new Board of Directors at an annual meeting;</w:t>
      </w:r>
    </w:p>
    <w:p>
      <w:pPr>
        <w:spacing w:after="0" w:line="181" w:lineRule="exact"/>
        <w:rPr>
          <w:rFonts w:ascii="Arial" w:cs="Arial" w:eastAsia="Arial" w:hAnsi="Arial"/>
          <w:sz w:val="18"/>
          <w:szCs w:val="18"/>
          <w:color w:val="auto"/>
        </w:rPr>
      </w:pPr>
    </w:p>
    <w:p>
      <w:pPr>
        <w:ind w:left="920" w:hanging="372"/>
        <w:spacing w:after="0"/>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limit the ability of stockholders to remove directors;</w:t>
      </w:r>
    </w:p>
    <w:p>
      <w:pPr>
        <w:spacing w:after="0" w:line="225" w:lineRule="exact"/>
        <w:rPr>
          <w:rFonts w:ascii="Arial" w:cs="Arial" w:eastAsia="Arial" w:hAnsi="Arial"/>
          <w:sz w:val="18"/>
          <w:szCs w:val="18"/>
          <w:color w:val="auto"/>
        </w:rPr>
      </w:pPr>
    </w:p>
    <w:p>
      <w:pPr>
        <w:ind w:left="920" w:hanging="372"/>
        <w:spacing w:after="0"/>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prohibit stockholders from calling special meetings of stockholders; and</w:t>
      </w:r>
    </w:p>
    <w:p>
      <w:pPr>
        <w:spacing w:after="0" w:line="225" w:lineRule="exact"/>
        <w:rPr>
          <w:rFonts w:ascii="Arial" w:cs="Arial" w:eastAsia="Arial" w:hAnsi="Arial"/>
          <w:sz w:val="18"/>
          <w:szCs w:val="18"/>
          <w:color w:val="auto"/>
        </w:rPr>
      </w:pPr>
    </w:p>
    <w:p>
      <w:pPr>
        <w:ind w:left="920" w:right="2260" w:hanging="372"/>
        <w:spacing w:after="0" w:line="342" w:lineRule="auto"/>
        <w:tabs>
          <w:tab w:leader="none" w:pos="92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require the approval of holders of at least 75% of the outstanding shares of our voting common stock to amend the amended and restated bylaws and certain provisions of the amended and restated certificate of incorporation.</w:t>
      </w:r>
    </w:p>
    <w:p>
      <w:pPr>
        <w:spacing w:after="0" w:line="232" w:lineRule="exact"/>
        <w:rPr>
          <w:sz w:val="20"/>
          <w:szCs w:val="20"/>
          <w:color w:val="auto"/>
        </w:rPr>
      </w:pPr>
    </w:p>
    <w:p>
      <w:pPr>
        <w:ind w:right="260" w:firstLine="552"/>
        <w:spacing w:after="0" w:line="264" w:lineRule="auto"/>
        <w:rPr>
          <w:sz w:val="20"/>
          <w:szCs w:val="20"/>
          <w:color w:val="auto"/>
        </w:rPr>
      </w:pPr>
      <w:r>
        <w:rPr>
          <w:rFonts w:ascii="Arial" w:cs="Arial" w:eastAsia="Arial" w:hAnsi="Arial"/>
          <w:sz w:val="18"/>
          <w:szCs w:val="18"/>
          <w:color w:val="auto"/>
        </w:rPr>
        <w:t>These anti-takeover provisions and other provisions under Delaware law could discourage, delay or prevent a transaction involving a change in control of the Company, even if doing so would benefit our stockholders. These provisions could also discourage proxy contests and make it more difficult for stockholders to elect directors of their choosing and to cause us to take other corporate actions they desire.</w:t>
      </w:r>
    </w:p>
    <w:p>
      <w:pPr>
        <w:spacing w:after="0" w:line="181"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b w:val="1"/>
          <w:bCs w:val="1"/>
          <w:i w:val="1"/>
          <w:iCs w:val="1"/>
          <w:color w:val="auto"/>
        </w:rPr>
        <w:t>Our amended and restated certificate of incorporation designates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73" w:lineRule="exact"/>
        <w:rPr>
          <w:sz w:val="20"/>
          <w:szCs w:val="20"/>
          <w:color w:val="auto"/>
        </w:rPr>
      </w:pPr>
    </w:p>
    <w:p>
      <w:pPr>
        <w:ind w:firstLine="552"/>
        <w:spacing w:after="0" w:line="257" w:lineRule="auto"/>
        <w:rPr>
          <w:sz w:val="20"/>
          <w:szCs w:val="20"/>
          <w:color w:val="auto"/>
        </w:rPr>
      </w:pPr>
      <w:r>
        <w:rPr>
          <w:rFonts w:ascii="Arial" w:cs="Arial" w:eastAsia="Arial" w:hAnsi="Arial"/>
          <w:sz w:val="18"/>
          <w:szCs w:val="18"/>
          <w:color w:val="auto"/>
        </w:rPr>
        <w:t>Our amended and restated certificate of incorporation provides that, subject to limited exceptions, the Court of Chancery of the State of Delaware will be the sole and exclusive forum for (i) any derivative action or proceeding brought on our behalf, (ii) any action asserting a claim of breach of a fiduciary duty owed by any of our directors, officers or other employees to us or our stockholders, (iii) any action asserting a claim against us arising pursuant to any provision of the Delaware General Corporation Law, our certificate of incorporation or our by-laws, or (iv) any other action asserting a claim against us that is governed by the internal affairs doctrine.</w:t>
      </w:r>
    </w:p>
    <w:p>
      <w:pPr>
        <w:spacing w:after="0" w:line="80" w:lineRule="exact"/>
        <w:rPr>
          <w:sz w:val="20"/>
          <w:szCs w:val="20"/>
          <w:color w:val="auto"/>
        </w:rPr>
      </w:pPr>
    </w:p>
    <w:p>
      <w:pPr>
        <w:ind w:right="100" w:firstLine="552"/>
        <w:spacing w:after="0" w:line="273" w:lineRule="auto"/>
        <w:rPr>
          <w:sz w:val="20"/>
          <w:szCs w:val="20"/>
          <w:color w:val="auto"/>
        </w:rPr>
      </w:pPr>
      <w:r>
        <w:rPr>
          <w:rFonts w:ascii="Arial" w:cs="Arial" w:eastAsia="Arial" w:hAnsi="Arial"/>
          <w:sz w:val="17"/>
          <w:szCs w:val="17"/>
          <w:color w:val="auto"/>
        </w:rPr>
        <w:t>Any person or entity purchasing or otherwise acquiring any interest in shares of our capital stock shall be deemed to have notice of and to have consented to the provisions of our certificate of incorporation described above. This choice of forum provision may limit a stockholder’s ability to bring a claim in a judicial forum that it finds favorable for disputes with us or our directors, officers or other employees, which may discourage such lawsuits against us and our directors, officers and employees. Alternatively, if a court were to find these provisions of our amended and restated certificate of incorporation inapplicable to, or unenforceable in respect of, one or more of the specified types of actions or proceedings, we may incur additional costs associated with resolving such matters in other jurisdictions, which could adversely affect our business and financial condition.</w:t>
      </w:r>
    </w:p>
    <w:p>
      <w:pPr>
        <w:spacing w:after="0" w:line="17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Because we do not intend to pay cash dividends in the near term, stockholders may not receive any return on investment unless they are able to sell their common stock for a price greater than their purchase price.</w:t>
      </w:r>
    </w:p>
    <w:p>
      <w:pPr>
        <w:spacing w:after="0" w:line="62" w:lineRule="exact"/>
        <w:rPr>
          <w:sz w:val="20"/>
          <w:szCs w:val="20"/>
          <w:color w:val="auto"/>
        </w:rPr>
      </w:pPr>
    </w:p>
    <w:p>
      <w:pPr>
        <w:ind w:right="20" w:firstLine="552"/>
        <w:spacing w:after="0" w:line="255" w:lineRule="auto"/>
        <w:rPr>
          <w:sz w:val="20"/>
          <w:szCs w:val="20"/>
          <w:color w:val="auto"/>
        </w:rPr>
      </w:pPr>
      <w:r>
        <w:rPr>
          <w:rFonts w:ascii="Arial" w:cs="Arial" w:eastAsia="Arial" w:hAnsi="Arial"/>
          <w:sz w:val="18"/>
          <w:szCs w:val="18"/>
          <w:color w:val="auto"/>
        </w:rPr>
        <w:t>The continued operation and expansion of our business will require substantial funding. Accordingly, we do not anticipate that we will pay any cash dividends on shares of our common stock in the near term. Any determination to pay dividends in the future will be at the discretion of our Board of Directors and will depend upon results of operations, financial condition, contractual restrictions, including those under our ABL Line of Credit and Term Loan Facility, any potential future indebtedness we may incur, restrictions imposed by applicable law and other factors our Board of Directors deems relevant. Accordingly, if stockholders purchase shares of our common stock, realization of a gain on investment will depend on the appreciation of the price of our common stock, which may never occur.</w:t>
      </w:r>
    </w:p>
    <w:p>
      <w:pPr>
        <w:spacing w:after="0" w:line="17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121"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We own the land and/or buildings for 38 of our stores and have leases for 590 of our stores. Our new stores are generally leased for an initial term of ten to fifteen years, the majority of which are subject to our option to renew such leases for several additional five-year periods. Store leases generally provide for fixed monthly rental payments, plus the payment, in most cases, of real estate taxes and other charges with escalation clauses. In many locations, our store leases contain formulas providing for the payment of additional rent based on sales. Most of our stores are located in regional power centers, strip shopping centers, are freestanding or located in malls.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8" w:name="page19"/>
    <w:bookmarkEnd w:id="18"/>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240" w:type="dxa"/>
            <w:vAlign w:val="bottom"/>
            <w:gridSpan w:val="2"/>
          </w:tcPr>
          <w:p>
            <w:pPr>
              <w:ind w:left="220"/>
              <w:spacing w:after="0"/>
              <w:rPr>
                <w:sz w:val="20"/>
                <w:szCs w:val="20"/>
                <w:color w:val="auto"/>
              </w:rPr>
            </w:pPr>
            <w:r>
              <w:rPr>
                <w:rFonts w:ascii="Arial" w:cs="Arial" w:eastAsia="Arial" w:hAnsi="Arial"/>
                <w:sz w:val="14"/>
                <w:szCs w:val="14"/>
                <w:b w:val="1"/>
                <w:bCs w:val="1"/>
                <w:color w:val="auto"/>
              </w:rPr>
              <w:t>Calendar</w:t>
            </w:r>
          </w:p>
        </w:tc>
        <w:tc>
          <w:tcPr>
            <w:tcW w:w="12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Size</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1"/>
              </w:rPr>
              <w:t>Leased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1240" w:type="dxa"/>
            <w:vAlign w:val="bottom"/>
            <w:gridSpan w:val="2"/>
          </w:tcPr>
          <w:p>
            <w:pPr>
              <w:ind w:left="360"/>
              <w:spacing w:after="0" w:line="149" w:lineRule="exact"/>
              <w:rPr>
                <w:sz w:val="20"/>
                <w:szCs w:val="20"/>
                <w:color w:val="auto"/>
              </w:rPr>
            </w:pPr>
            <w:r>
              <w:rPr>
                <w:rFonts w:ascii="Arial" w:cs="Arial" w:eastAsia="Arial" w:hAnsi="Arial"/>
                <w:sz w:val="14"/>
                <w:szCs w:val="14"/>
                <w:b w:val="1"/>
                <w:bCs w:val="1"/>
                <w:color w:val="auto"/>
              </w:rPr>
              <w:t>Year</w:t>
            </w:r>
          </w:p>
        </w:tc>
        <w:tc>
          <w:tcPr>
            <w:tcW w:w="1280" w:type="dxa"/>
            <w:vAlign w:val="bottom"/>
            <w:gridSpan w:val="2"/>
            <w:vMerge w:val="continue"/>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or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b w:val="1"/>
                <w:bCs w:val="1"/>
                <w:color w:val="auto"/>
              </w:rPr>
              <w:t>Operational</w:t>
            </w:r>
          </w:p>
        </w:tc>
        <w:tc>
          <w:tcPr>
            <w:tcW w:w="1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(sq. feet)</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4"/>
              </w:rPr>
              <w:t>Owned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Primary Distribution Centers:</w:t>
            </w:r>
          </w:p>
        </w:tc>
        <w:tc>
          <w:tcPr>
            <w:tcW w:w="10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Edgewater Park, New Jersey(a)</w:t>
            </w:r>
          </w:p>
        </w:tc>
        <w:tc>
          <w:tcPr>
            <w:tcW w:w="1040" w:type="dxa"/>
            <w:vAlign w:val="bottom"/>
          </w:tcPr>
          <w:p>
            <w:pPr>
              <w:ind w:left="360"/>
              <w:spacing w:after="0"/>
              <w:rPr>
                <w:sz w:val="20"/>
                <w:szCs w:val="20"/>
                <w:color w:val="auto"/>
              </w:rPr>
            </w:pPr>
            <w:r>
              <w:rPr>
                <w:rFonts w:ascii="Arial" w:cs="Arial" w:eastAsia="Arial" w:hAnsi="Arial"/>
                <w:sz w:val="18"/>
                <w:szCs w:val="18"/>
                <w:color w:val="auto"/>
              </w:rPr>
              <w:t>2004</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648,000</w:t>
            </w:r>
          </w:p>
        </w:tc>
        <w:tc>
          <w:tcPr>
            <w:tcW w:w="20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Burlington, New Jersey (Daniels Way)</w:t>
            </w:r>
          </w:p>
        </w:tc>
        <w:tc>
          <w:tcPr>
            <w:tcW w:w="1040" w:type="dxa"/>
            <w:vAlign w:val="bottom"/>
            <w:shd w:val="clear" w:color="auto" w:fill="CFF0FC"/>
          </w:tcPr>
          <w:p>
            <w:pPr>
              <w:ind w:left="360"/>
              <w:spacing w:after="0"/>
              <w:rPr>
                <w:sz w:val="20"/>
                <w:szCs w:val="20"/>
                <w:color w:val="auto"/>
              </w:rPr>
            </w:pPr>
            <w:r>
              <w:rPr>
                <w:rFonts w:ascii="Arial" w:cs="Arial" w:eastAsia="Arial" w:hAnsi="Arial"/>
                <w:sz w:val="18"/>
                <w:szCs w:val="18"/>
                <w:color w:val="auto"/>
              </w:rPr>
              <w:t>2014</w:t>
            </w: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678,000</w:t>
            </w: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San Bernardino, California</w:t>
            </w:r>
          </w:p>
        </w:tc>
        <w:tc>
          <w:tcPr>
            <w:tcW w:w="1040" w:type="dxa"/>
            <w:vAlign w:val="bottom"/>
          </w:tcPr>
          <w:p>
            <w:pPr>
              <w:ind w:left="360"/>
              <w:spacing w:after="0"/>
              <w:rPr>
                <w:sz w:val="20"/>
                <w:szCs w:val="20"/>
                <w:color w:val="auto"/>
              </w:rPr>
            </w:pPr>
            <w:r>
              <w:rPr>
                <w:rFonts w:ascii="Arial" w:cs="Arial" w:eastAsia="Arial" w:hAnsi="Arial"/>
                <w:sz w:val="18"/>
                <w:szCs w:val="18"/>
                <w:color w:val="auto"/>
              </w:rPr>
              <w:t>2006</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660,000</w:t>
            </w:r>
          </w:p>
        </w:tc>
        <w:tc>
          <w:tcPr>
            <w:tcW w:w="20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Redlands, California (Pioneer Ave)</w:t>
            </w:r>
          </w:p>
        </w:tc>
        <w:tc>
          <w:tcPr>
            <w:tcW w:w="1040" w:type="dxa"/>
            <w:vAlign w:val="bottom"/>
            <w:shd w:val="clear" w:color="auto" w:fill="CFF0FC"/>
          </w:tcPr>
          <w:p>
            <w:pPr>
              <w:ind w:left="360"/>
              <w:spacing w:after="0"/>
              <w:rPr>
                <w:sz w:val="20"/>
                <w:szCs w:val="20"/>
                <w:color w:val="auto"/>
              </w:rPr>
            </w:pPr>
            <w:r>
              <w:rPr>
                <w:rFonts w:ascii="Arial" w:cs="Arial" w:eastAsia="Arial" w:hAnsi="Arial"/>
                <w:sz w:val="18"/>
                <w:szCs w:val="18"/>
                <w:color w:val="auto"/>
              </w:rPr>
              <w:t>2014</w:t>
            </w: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800,000</w:t>
            </w: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b w:val="1"/>
                <w:bCs w:val="1"/>
                <w:color w:val="auto"/>
              </w:rPr>
              <w:t>Warehousing Facilities:</w:t>
            </w: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Burlington, New Jersey (Route 130 North)(a)</w:t>
            </w:r>
          </w:p>
        </w:tc>
        <w:tc>
          <w:tcPr>
            <w:tcW w:w="1040" w:type="dxa"/>
            <w:vAlign w:val="bottom"/>
            <w:shd w:val="clear" w:color="auto" w:fill="CFF0FC"/>
          </w:tcPr>
          <w:p>
            <w:pPr>
              <w:ind w:left="360"/>
              <w:spacing w:after="0"/>
              <w:rPr>
                <w:sz w:val="20"/>
                <w:szCs w:val="20"/>
                <w:color w:val="auto"/>
              </w:rPr>
            </w:pPr>
            <w:r>
              <w:rPr>
                <w:rFonts w:ascii="Arial" w:cs="Arial" w:eastAsia="Arial" w:hAnsi="Arial"/>
                <w:sz w:val="18"/>
                <w:szCs w:val="18"/>
                <w:color w:val="auto"/>
              </w:rPr>
              <w:t>1987</w:t>
            </w: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402,000</w:t>
            </w: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Redlands, California (Palmetto Ave)(b)</w:t>
            </w:r>
          </w:p>
        </w:tc>
        <w:tc>
          <w:tcPr>
            <w:tcW w:w="1040" w:type="dxa"/>
            <w:vAlign w:val="bottom"/>
          </w:tcPr>
          <w:p>
            <w:pPr>
              <w:ind w:left="360"/>
              <w:spacing w:after="0"/>
              <w:rPr>
                <w:sz w:val="20"/>
                <w:szCs w:val="20"/>
                <w:color w:val="auto"/>
              </w:rPr>
            </w:pPr>
            <w:r>
              <w:rPr>
                <w:rFonts w:ascii="Arial" w:cs="Arial" w:eastAsia="Arial" w:hAnsi="Arial"/>
                <w:sz w:val="18"/>
                <w:szCs w:val="18"/>
                <w:color w:val="auto"/>
              </w:rPr>
              <w:t>2015</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446,000</w:t>
            </w:r>
          </w:p>
        </w:tc>
        <w:tc>
          <w:tcPr>
            <w:tcW w:w="20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Burlington, New Jersey (Richards Run)</w:t>
            </w:r>
          </w:p>
        </w:tc>
        <w:tc>
          <w:tcPr>
            <w:tcW w:w="1040" w:type="dxa"/>
            <w:vAlign w:val="bottom"/>
            <w:shd w:val="clear" w:color="auto" w:fill="CFF0FC"/>
          </w:tcPr>
          <w:p>
            <w:pPr>
              <w:ind w:left="360"/>
              <w:spacing w:after="0"/>
              <w:rPr>
                <w:sz w:val="20"/>
                <w:szCs w:val="20"/>
                <w:color w:val="auto"/>
              </w:rPr>
            </w:pPr>
            <w:r>
              <w:rPr>
                <w:rFonts w:ascii="Arial" w:cs="Arial" w:eastAsia="Arial" w:hAnsi="Arial"/>
                <w:sz w:val="18"/>
                <w:szCs w:val="18"/>
                <w:color w:val="auto"/>
              </w:rPr>
              <w:t>2017</w:t>
            </w: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511,000</w:t>
            </w: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Redlands, California (River Bluff Ave)</w:t>
            </w:r>
          </w:p>
        </w:tc>
        <w:tc>
          <w:tcPr>
            <w:tcW w:w="1040" w:type="dxa"/>
            <w:vAlign w:val="bottom"/>
          </w:tcPr>
          <w:p>
            <w:pPr>
              <w:ind w:left="360"/>
              <w:spacing w:after="0"/>
              <w:rPr>
                <w:sz w:val="20"/>
                <w:szCs w:val="20"/>
                <w:color w:val="auto"/>
              </w:rPr>
            </w:pPr>
            <w:r>
              <w:rPr>
                <w:rFonts w:ascii="Arial" w:cs="Arial" w:eastAsia="Arial" w:hAnsi="Arial"/>
                <w:sz w:val="18"/>
                <w:szCs w:val="18"/>
                <w:color w:val="auto"/>
              </w:rPr>
              <w:t>2017</w:t>
            </w: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543,000</w:t>
            </w:r>
          </w:p>
        </w:tc>
        <w:tc>
          <w:tcPr>
            <w:tcW w:w="200" w:type="dxa"/>
            <w:vAlign w:val="bottom"/>
          </w:tcPr>
          <w:p>
            <w:pPr>
              <w:spacing w:after="0"/>
              <w:rPr>
                <w:sz w:val="20"/>
                <w:szCs w:val="20"/>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120904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13" w:lineRule="exact"/>
        <w:rPr>
          <w:sz w:val="20"/>
          <w:szCs w:val="20"/>
          <w:color w:val="auto"/>
        </w:rPr>
      </w:pPr>
    </w:p>
    <w:p>
      <w:pPr>
        <w:ind w:left="520" w:hanging="512"/>
        <w:spacing w:after="0"/>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Inclusive of corporate offices.</w:t>
      </w:r>
    </w:p>
    <w:p>
      <w:pPr>
        <w:spacing w:after="0" w:line="23" w:lineRule="exact"/>
        <w:rPr>
          <w:rFonts w:ascii="Arial" w:cs="Arial" w:eastAsia="Arial" w:hAnsi="Arial"/>
          <w:sz w:val="18"/>
          <w:szCs w:val="18"/>
          <w:color w:val="auto"/>
        </w:rPr>
      </w:pPr>
    </w:p>
    <w:p>
      <w:pPr>
        <w:ind w:left="520" w:hanging="512"/>
        <w:spacing w:after="0"/>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Warehousing activities in this facility ceased during Fiscal 2017.</w:t>
      </w:r>
    </w:p>
    <w:p>
      <w:pPr>
        <w:spacing w:after="0" w:line="224" w:lineRule="exact"/>
        <w:rPr>
          <w:sz w:val="20"/>
          <w:szCs w:val="20"/>
          <w:color w:val="auto"/>
        </w:rPr>
      </w:pPr>
    </w:p>
    <w:p>
      <w:pPr>
        <w:ind w:right="20" w:firstLine="518"/>
        <w:spacing w:after="0" w:line="279" w:lineRule="auto"/>
        <w:rPr>
          <w:sz w:val="20"/>
          <w:szCs w:val="20"/>
          <w:color w:val="auto"/>
        </w:rPr>
      </w:pPr>
      <w:r>
        <w:rPr>
          <w:rFonts w:ascii="Arial" w:cs="Arial" w:eastAsia="Arial" w:hAnsi="Arial"/>
          <w:sz w:val="17"/>
          <w:szCs w:val="17"/>
          <w:color w:val="auto"/>
        </w:rPr>
        <w:t>We own approximately 235 acres of land in Burlington and Florence, New Jersey on which we have constructed our corporate campus, which includes our corporate headquarters and a warehouse facility. We own approximately 43 acres of land in Edgewater Park, New Jersey on which we have constructed our Edgewater Park, New Jersey distribution center and an office facility. We lease approximately 35,000 square feet of office space in New York City (east coast buying office), as well as 10,000 square feet of office space in Los Angeles, California (west coast buying office).</w:t>
      </w:r>
    </w:p>
    <w:p>
      <w:pPr>
        <w:spacing w:after="0" w:line="303"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243"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Like many retailers, the Company has been named in class or collective actions on behalf of various groups alleging violations of federal and state wage and hour and other labor statutes, and alleged violation of state consumer and/or privacy protection statutes. In the normal course of business, we are also party to various other lawsuits and regulatory proceedings including, among others, commercial, product, product safety, employee, customer, intellectual property and other claims. Actions against us are in various procedural stages. Many of these proceedings raise factual and legal issues and are subject to uncertainties. To determine the likelihood of a loss and/or the measurement of any loss can be complex. Consequently, we are unable to estimate the range of reasonably possible loss in excess of amounts accrued. Our assessments are based on estimates and assumptions that have been deemed reasonable by management, but the assessment process relies heavily on estimates and assumptions that may prove to be incomplete or inaccurate, and unanticipated events and circumstances may occur that might cause us to change those estimates and assumptions. While no assurance can be given as to the ultimate outcome of these matters, we believe that the final resolution of these actions will not have a material adverse effect on our results of operations, financial position, liquidity or capital resources.</w:t>
      </w:r>
    </w:p>
    <w:p>
      <w:pPr>
        <w:spacing w:after="0" w:line="282"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PART II</w:t>
      </w:r>
    </w:p>
    <w:p>
      <w:pPr>
        <w:spacing w:after="0" w:line="11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Registrant’s Common Equity, Related Stockholder Matters and Issuer Purchases of Equity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Information</w:t>
      </w:r>
    </w:p>
    <w:p>
      <w:pPr>
        <w:spacing w:after="0" w:line="117"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Our common stock is listed on the New York Stock Exchange under the symbol “BURL.” The following table sets forth the quarterly high and low sales prices per share of our common stock during Fiscal 2017 and Fiscal 2016.</w:t>
      </w:r>
    </w:p>
    <w:p>
      <w:pPr>
        <w:spacing w:after="0" w:line="176"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32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3"/>
          </w:tcPr>
          <w:p>
            <w:pPr>
              <w:jc w:val="right"/>
              <w:ind w:right="5"/>
              <w:spacing w:after="0"/>
              <w:rPr>
                <w:sz w:val="20"/>
                <w:szCs w:val="20"/>
                <w:color w:val="auto"/>
              </w:rPr>
            </w:pPr>
            <w:r>
              <w:rPr>
                <w:rFonts w:ascii="Arial" w:cs="Arial" w:eastAsia="Arial" w:hAnsi="Arial"/>
                <w:sz w:val="14"/>
                <w:szCs w:val="14"/>
                <w:b w:val="1"/>
                <w:bCs w:val="1"/>
                <w:color w:val="auto"/>
              </w:rPr>
              <w:t>Fiscal 2017</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3"/>
          </w:tcPr>
          <w:p>
            <w:pPr>
              <w:jc w:val="right"/>
              <w:ind w:right="5"/>
              <w:spacing w:after="0"/>
              <w:rPr>
                <w:sz w:val="20"/>
                <w:szCs w:val="20"/>
                <w:color w:val="auto"/>
              </w:rPr>
            </w:pPr>
            <w:r>
              <w:rPr>
                <w:rFonts w:ascii="Arial" w:cs="Arial" w:eastAsia="Arial" w:hAnsi="Arial"/>
                <w:sz w:val="14"/>
                <w:szCs w:val="14"/>
                <w:b w:val="1"/>
                <w:bCs w:val="1"/>
                <w:color w:val="auto"/>
              </w:rPr>
              <w:t>Fiscal 2016</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32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ind w:right="296"/>
              <w:spacing w:after="0"/>
              <w:rPr>
                <w:sz w:val="20"/>
                <w:szCs w:val="20"/>
                <w:color w:val="auto"/>
              </w:rPr>
            </w:pPr>
            <w:r>
              <w:rPr>
                <w:rFonts w:ascii="Arial" w:cs="Arial" w:eastAsia="Arial" w:hAnsi="Arial"/>
                <w:sz w:val="14"/>
                <w:szCs w:val="14"/>
                <w:b w:val="1"/>
                <w:bCs w:val="1"/>
                <w:color w:val="auto"/>
              </w:rPr>
              <w:t>High</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jc w:val="right"/>
              <w:ind w:right="314"/>
              <w:spacing w:after="0"/>
              <w:rPr>
                <w:sz w:val="20"/>
                <w:szCs w:val="20"/>
                <w:color w:val="auto"/>
              </w:rPr>
            </w:pPr>
            <w:r>
              <w:rPr>
                <w:rFonts w:ascii="Arial" w:cs="Arial" w:eastAsia="Arial" w:hAnsi="Arial"/>
                <w:sz w:val="14"/>
                <w:szCs w:val="14"/>
                <w:b w:val="1"/>
                <w:bCs w:val="1"/>
                <w:color w:val="auto"/>
              </w:rPr>
              <w:t>Low</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ind w:right="296"/>
              <w:spacing w:after="0"/>
              <w:rPr>
                <w:sz w:val="20"/>
                <w:szCs w:val="20"/>
                <w:color w:val="auto"/>
              </w:rPr>
            </w:pPr>
            <w:r>
              <w:rPr>
                <w:rFonts w:ascii="Arial" w:cs="Arial" w:eastAsia="Arial" w:hAnsi="Arial"/>
                <w:sz w:val="14"/>
                <w:szCs w:val="14"/>
                <w:b w:val="1"/>
                <w:bCs w:val="1"/>
                <w:color w:val="auto"/>
              </w:rPr>
              <w:t>High</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Arial" w:cs="Arial" w:eastAsia="Arial" w:hAnsi="Arial"/>
                <w:sz w:val="14"/>
                <w:szCs w:val="14"/>
                <w:b w:val="1"/>
                <w:bCs w:val="1"/>
                <w:color w:val="auto"/>
              </w:rPr>
              <w:t>Low</w:t>
            </w:r>
          </w:p>
        </w:tc>
      </w:tr>
      <w:tr>
        <w:trPr>
          <w:trHeight w:val="223"/>
        </w:trPr>
        <w:tc>
          <w:tcPr>
            <w:tcW w:w="3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First quarter</w:t>
            </w:r>
          </w:p>
        </w:tc>
        <w:tc>
          <w:tcPr>
            <w:tcW w:w="2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99.34</w:t>
            </w:r>
          </w:p>
        </w:tc>
        <w:tc>
          <w:tcPr>
            <w:tcW w:w="2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79.80</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58.94</w:t>
            </w:r>
          </w:p>
        </w:tc>
        <w:tc>
          <w:tcPr>
            <w:tcW w:w="2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48.55</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220" w:type="dxa"/>
            <w:vAlign w:val="bottom"/>
          </w:tcPr>
          <w:p>
            <w:pPr>
              <w:spacing w:after="0"/>
              <w:rPr>
                <w:sz w:val="20"/>
                <w:szCs w:val="20"/>
                <w:color w:val="auto"/>
              </w:rPr>
            </w:pPr>
            <w:r>
              <w:rPr>
                <w:rFonts w:ascii="Arial" w:cs="Arial" w:eastAsia="Arial" w:hAnsi="Arial"/>
                <w:sz w:val="18"/>
                <w:szCs w:val="18"/>
                <w:color w:val="auto"/>
              </w:rPr>
              <w:t>Second quarter</w:t>
            </w:r>
          </w:p>
        </w:tc>
        <w:tc>
          <w:tcPr>
            <w:tcW w:w="23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104.07</w:t>
            </w:r>
          </w:p>
        </w:tc>
        <w:tc>
          <w:tcPr>
            <w:tcW w:w="52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80.87</w:t>
            </w:r>
          </w:p>
        </w:tc>
        <w:tc>
          <w:tcPr>
            <w:tcW w:w="4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76.91</w:t>
            </w:r>
          </w:p>
        </w:tc>
        <w:tc>
          <w:tcPr>
            <w:tcW w:w="52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51.19</w:t>
            </w:r>
          </w:p>
        </w:tc>
        <w:tc>
          <w:tcPr>
            <w:tcW w:w="100" w:type="dxa"/>
            <w:vAlign w:val="bottom"/>
          </w:tcPr>
          <w:p>
            <w:pPr>
              <w:spacing w:after="0"/>
              <w:rPr>
                <w:sz w:val="19"/>
                <w:szCs w:val="19"/>
                <w:color w:val="auto"/>
              </w:rPr>
            </w:pPr>
          </w:p>
        </w:tc>
      </w:tr>
      <w:tr>
        <w:trPr>
          <w:trHeight w:val="230"/>
        </w:trPr>
        <w:tc>
          <w:tcPr>
            <w:tcW w:w="3220" w:type="dxa"/>
            <w:vAlign w:val="bottom"/>
            <w:shd w:val="clear" w:color="auto" w:fill="CFF0FC"/>
          </w:tcPr>
          <w:p>
            <w:pPr>
              <w:spacing w:after="0"/>
              <w:rPr>
                <w:sz w:val="20"/>
                <w:szCs w:val="20"/>
                <w:color w:val="auto"/>
              </w:rPr>
            </w:pPr>
            <w:r>
              <w:rPr>
                <w:rFonts w:ascii="Arial" w:cs="Arial" w:eastAsia="Arial" w:hAnsi="Arial"/>
                <w:sz w:val="18"/>
                <w:szCs w:val="18"/>
                <w:color w:val="auto"/>
              </w:rPr>
              <w:t>Third quarter</w:t>
            </w:r>
          </w:p>
        </w:tc>
        <w:tc>
          <w:tcPr>
            <w:tcW w:w="234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96.63</w:t>
            </w:r>
          </w:p>
        </w:tc>
        <w:tc>
          <w:tcPr>
            <w:tcW w:w="520" w:type="dxa"/>
            <w:vAlign w:val="bottom"/>
            <w:gridSpan w:val="2"/>
            <w:shd w:val="clear" w:color="auto" w:fill="CFF0FC"/>
          </w:tcPr>
          <w:p>
            <w:pPr>
              <w:jc w:val="right"/>
              <w:ind w:right="145"/>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79.07</w:t>
            </w:r>
          </w:p>
        </w:tc>
        <w:tc>
          <w:tcPr>
            <w:tcW w:w="44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87.23</w:t>
            </w:r>
          </w:p>
        </w:tc>
        <w:tc>
          <w:tcPr>
            <w:tcW w:w="520" w:type="dxa"/>
            <w:vAlign w:val="bottom"/>
            <w:gridSpan w:val="2"/>
            <w:shd w:val="clear" w:color="auto" w:fill="CFF0FC"/>
          </w:tcPr>
          <w:p>
            <w:pPr>
              <w:jc w:val="right"/>
              <w:ind w:right="145"/>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72.45</w:t>
            </w:r>
          </w:p>
        </w:tc>
        <w:tc>
          <w:tcPr>
            <w:tcW w:w="100" w:type="dxa"/>
            <w:vAlign w:val="bottom"/>
            <w:shd w:val="clear" w:color="auto" w:fill="CFF0FC"/>
          </w:tcPr>
          <w:p>
            <w:pPr>
              <w:spacing w:after="0"/>
              <w:rPr>
                <w:sz w:val="19"/>
                <w:szCs w:val="19"/>
                <w:color w:val="auto"/>
              </w:rPr>
            </w:pPr>
          </w:p>
        </w:tc>
      </w:tr>
      <w:tr>
        <w:trPr>
          <w:trHeight w:val="230"/>
        </w:trPr>
        <w:tc>
          <w:tcPr>
            <w:tcW w:w="3220" w:type="dxa"/>
            <w:vAlign w:val="bottom"/>
          </w:tcPr>
          <w:p>
            <w:pPr>
              <w:spacing w:after="0"/>
              <w:rPr>
                <w:sz w:val="20"/>
                <w:szCs w:val="20"/>
                <w:color w:val="auto"/>
              </w:rPr>
            </w:pPr>
            <w:r>
              <w:rPr>
                <w:rFonts w:ascii="Arial" w:cs="Arial" w:eastAsia="Arial" w:hAnsi="Arial"/>
                <w:sz w:val="18"/>
                <w:szCs w:val="18"/>
                <w:color w:val="auto"/>
              </w:rPr>
              <w:t>Fourth quarter</w:t>
            </w:r>
          </w:p>
        </w:tc>
        <w:tc>
          <w:tcPr>
            <w:tcW w:w="23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128.93</w:t>
            </w:r>
          </w:p>
        </w:tc>
        <w:tc>
          <w:tcPr>
            <w:tcW w:w="52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88.64</w:t>
            </w:r>
          </w:p>
        </w:tc>
        <w:tc>
          <w:tcPr>
            <w:tcW w:w="4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91.67</w:t>
            </w:r>
          </w:p>
        </w:tc>
        <w:tc>
          <w:tcPr>
            <w:tcW w:w="52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68.94</w:t>
            </w:r>
          </w:p>
        </w:tc>
        <w:tc>
          <w:tcPr>
            <w:tcW w:w="100" w:type="dxa"/>
            <w:vAlign w:val="bottom"/>
          </w:tcPr>
          <w:p>
            <w:pPr>
              <w:spacing w:after="0"/>
              <w:rPr>
                <w:sz w:val="20"/>
                <w:szCs w:val="20"/>
                <w:color w:val="auto"/>
              </w:rPr>
            </w:pPr>
          </w:p>
        </w:tc>
      </w:tr>
    </w:tbl>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Holders</w:t>
      </w:r>
    </w:p>
    <w:p>
      <w:pPr>
        <w:spacing w:after="0" w:line="117"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As of March 2, 2018, we had 291 holders of record of our common stock. This figure does not include the significantly greater number of beneficial holders of our common stock.</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firstLine="518"/>
        <w:spacing w:after="0" w:line="254" w:lineRule="auto"/>
        <w:rPr>
          <w:sz w:val="20"/>
          <w:szCs w:val="20"/>
          <w:color w:val="auto"/>
        </w:rPr>
      </w:pPr>
      <w:r>
        <w:rPr>
          <w:rFonts w:ascii="Arial" w:cs="Arial" w:eastAsia="Arial" w:hAnsi="Arial"/>
          <w:sz w:val="18"/>
          <w:szCs w:val="18"/>
          <w:color w:val="auto"/>
        </w:rPr>
        <w:t>During the past two fiscal years, we have not declared, and do not anticipate declaring in the near term, dividends on shares of our common stock. We currently do, and intend to continue to, retain all available funds and any future earnings to fund all of the Company's capital expenditures, business initiatives, and to support any potential opportunistic capital structure initiatives. Our ability to pay dividends on our common stock will be limited by restrictions on the ability of our subsidiaries to pay dividends or make distributions under the terms of current and any future agreements governing our indebtedness as described in Note 7 to our Consolidated Financial Statements, “Long Term Debt.” Any determination to pay dividends in the future will be at the discretion of our Board of Directors and will depend upon results of operations, financial condition, contractual restrictions, including those under our ABL Line of Credit and Term Loan Facility, any potential indebtedness we may incur, restrictions imposed by applicable law and other factors our Board of Directors deems relevant.</w:t>
      </w:r>
    </w:p>
    <w:p>
      <w:pPr>
        <w:spacing w:after="0" w:line="192" w:lineRule="exact"/>
        <w:rPr>
          <w:sz w:val="20"/>
          <w:szCs w:val="20"/>
          <w:color w:val="auto"/>
        </w:rPr>
      </w:pPr>
    </w:p>
    <w:p>
      <w:pPr>
        <w:ind w:right="380" w:firstLine="518"/>
        <w:spacing w:after="0" w:line="264" w:lineRule="auto"/>
        <w:rPr>
          <w:sz w:val="20"/>
          <w:szCs w:val="20"/>
          <w:color w:val="auto"/>
        </w:rPr>
      </w:pPr>
      <w:r>
        <w:rPr>
          <w:rFonts w:ascii="Arial" w:cs="Arial" w:eastAsia="Arial" w:hAnsi="Arial"/>
          <w:sz w:val="18"/>
          <w:szCs w:val="18"/>
          <w:color w:val="auto"/>
        </w:rPr>
        <w:t>In addition, since we are a holding company, substantially all of the assets shown on our consolidated balance sheets are held by our subsidiaries. Accordingly, our earnings, cash flow and ability to pay dividends are largely dependent upon the earnings and cash flows of our subsidiaries and the distribution or other payment of such earnings to us in the form of dividends.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Performance Graph</w:t>
      </w:r>
    </w:p>
    <w:p>
      <w:pPr>
        <w:spacing w:after="0" w:line="117" w:lineRule="exact"/>
        <w:rPr>
          <w:sz w:val="20"/>
          <w:szCs w:val="20"/>
          <w:color w:val="auto"/>
        </w:rPr>
      </w:pPr>
    </w:p>
    <w:p>
      <w:pPr>
        <w:ind w:right="360" w:firstLine="518"/>
        <w:spacing w:after="0" w:line="259" w:lineRule="auto"/>
        <w:rPr>
          <w:sz w:val="20"/>
          <w:szCs w:val="20"/>
          <w:color w:val="auto"/>
        </w:rPr>
      </w:pPr>
      <w:r>
        <w:rPr>
          <w:rFonts w:ascii="Arial" w:cs="Arial" w:eastAsia="Arial" w:hAnsi="Arial"/>
          <w:sz w:val="18"/>
          <w:szCs w:val="18"/>
          <w:color w:val="auto"/>
        </w:rPr>
        <w:t>The performance graph below and related information shall not be deemed “soliciting material” or to be “filed” with the Securities and Exchange Commission for purposes of Section 18 of the Exchange Act, or otherwise subject to the liabilities under that Section, and shall not be deemed to be incorporated by reference into any future filing under the Securities Act or the Exchange Act, except to the extent that we specifically incorporate it by reference into such filing.</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20" w:name="page21"/>
    <w:bookmarkEnd w:id="20"/>
    <w:p>
      <w:pPr>
        <w:ind w:right="160" w:firstLine="518"/>
        <w:spacing w:after="0" w:line="302" w:lineRule="auto"/>
        <w:rPr>
          <w:sz w:val="20"/>
          <w:szCs w:val="20"/>
          <w:color w:val="auto"/>
        </w:rPr>
      </w:pPr>
      <w:r>
        <w:rPr>
          <w:rFonts w:ascii="Arial" w:cs="Arial" w:eastAsia="Arial" w:hAnsi="Arial"/>
          <w:sz w:val="16"/>
          <w:szCs w:val="16"/>
          <w:color w:val="auto"/>
        </w:rPr>
        <w:t>The following graph compares the cumulative total stockholder return on our common stock from the closing prices on October 2, 2013 (the date our common stock commenced trading on the New York Stock Exchange) and as of the end of each fiscal year through February 3, 2018, with the return on the Standard &amp; Poor’s (S&amp;P) 500 Index and the S&amp;P Retailing Index over the same period. This graph assumes an initial investment of $100 and assumes the reinvestment of dividends, if any. Such returns are based on historical results and are not intended to suggest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107315</wp:posOffset>
            </wp:positionV>
            <wp:extent cx="5342890" cy="38931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342890" cy="3893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8"/>
              </w:rPr>
              <w:t>Base Period</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60" w:type="dxa"/>
            <w:vAlign w:val="bottom"/>
            <w:gridSpan w:val="7"/>
          </w:tcPr>
          <w:p>
            <w:pPr>
              <w:ind w:left="220"/>
              <w:spacing w:after="0"/>
              <w:rPr>
                <w:sz w:val="20"/>
                <w:szCs w:val="20"/>
                <w:color w:val="auto"/>
              </w:rPr>
            </w:pPr>
            <w:r>
              <w:rPr>
                <w:rFonts w:ascii="Arial" w:cs="Arial" w:eastAsia="Arial" w:hAnsi="Arial"/>
                <w:sz w:val="14"/>
                <w:szCs w:val="14"/>
                <w:b w:val="1"/>
                <w:bCs w:val="1"/>
                <w:color w:val="auto"/>
              </w:rPr>
              <w:t>Indexed Returns for Fiscal Years Ended</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Company / Index</w:t>
            </w:r>
          </w:p>
        </w:tc>
        <w:tc>
          <w:tcPr>
            <w:tcW w:w="1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center"/>
              <w:ind w:right="36"/>
              <w:spacing w:after="0" w:line="133" w:lineRule="exact"/>
              <w:rPr>
                <w:sz w:val="20"/>
                <w:szCs w:val="20"/>
                <w:color w:val="auto"/>
              </w:rPr>
            </w:pPr>
            <w:r>
              <w:rPr>
                <w:rFonts w:ascii="Arial" w:cs="Arial" w:eastAsia="Arial" w:hAnsi="Arial"/>
                <w:sz w:val="14"/>
                <w:szCs w:val="14"/>
                <w:b w:val="1"/>
                <w:bCs w:val="1"/>
                <w:color w:val="auto"/>
                <w:w w:val="92"/>
              </w:rPr>
              <w:t>October 2,</w:t>
            </w: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right"/>
              <w:ind w:right="17"/>
              <w:spacing w:after="0" w:line="133" w:lineRule="exact"/>
              <w:rPr>
                <w:sz w:val="20"/>
                <w:szCs w:val="20"/>
                <w:color w:val="auto"/>
              </w:rPr>
            </w:pPr>
            <w:r>
              <w:rPr>
                <w:rFonts w:ascii="Arial" w:cs="Arial" w:eastAsia="Arial" w:hAnsi="Arial"/>
                <w:sz w:val="14"/>
                <w:szCs w:val="14"/>
                <w:b w:val="1"/>
                <w:bCs w:val="1"/>
                <w:color w:val="auto"/>
                <w:w w:val="92"/>
              </w:rPr>
              <w:t>February 1,</w:t>
            </w:r>
          </w:p>
        </w:tc>
        <w:tc>
          <w:tcPr>
            <w:tcW w:w="2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right"/>
              <w:ind w:right="19"/>
              <w:spacing w:after="0" w:line="133" w:lineRule="exact"/>
              <w:rPr>
                <w:sz w:val="20"/>
                <w:szCs w:val="20"/>
                <w:color w:val="auto"/>
              </w:rPr>
            </w:pPr>
            <w:r>
              <w:rPr>
                <w:rFonts w:ascii="Arial" w:cs="Arial" w:eastAsia="Arial" w:hAnsi="Arial"/>
                <w:sz w:val="14"/>
                <w:szCs w:val="14"/>
                <w:b w:val="1"/>
                <w:bCs w:val="1"/>
                <w:color w:val="auto"/>
                <w:w w:val="90"/>
              </w:rPr>
              <w:t>January 31,</w:t>
            </w:r>
          </w:p>
        </w:tc>
        <w:tc>
          <w:tcPr>
            <w:tcW w:w="2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gridSpan w:val="2"/>
          </w:tcPr>
          <w:p>
            <w:pPr>
              <w:jc w:val="right"/>
              <w:ind w:right="14"/>
              <w:spacing w:after="0" w:line="133" w:lineRule="exact"/>
              <w:rPr>
                <w:sz w:val="20"/>
                <w:szCs w:val="20"/>
                <w:color w:val="auto"/>
              </w:rPr>
            </w:pPr>
            <w:r>
              <w:rPr>
                <w:rFonts w:ascii="Arial" w:cs="Arial" w:eastAsia="Arial" w:hAnsi="Arial"/>
                <w:sz w:val="14"/>
                <w:szCs w:val="14"/>
                <w:b w:val="1"/>
                <w:bCs w:val="1"/>
                <w:color w:val="auto"/>
              </w:rPr>
              <w:t>January 30,</w:t>
            </w:r>
          </w:p>
        </w:tc>
        <w:tc>
          <w:tcPr>
            <w:tcW w:w="2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gridSpan w:val="2"/>
          </w:tcPr>
          <w:p>
            <w:pPr>
              <w:jc w:val="right"/>
              <w:ind w:right="14"/>
              <w:spacing w:after="0" w:line="133" w:lineRule="exact"/>
              <w:rPr>
                <w:sz w:val="20"/>
                <w:szCs w:val="20"/>
                <w:color w:val="auto"/>
              </w:rPr>
            </w:pPr>
            <w:r>
              <w:rPr>
                <w:rFonts w:ascii="Arial" w:cs="Arial" w:eastAsia="Arial" w:hAnsi="Arial"/>
                <w:sz w:val="14"/>
                <w:szCs w:val="14"/>
                <w:b w:val="1"/>
                <w:bCs w:val="1"/>
                <w:color w:val="auto"/>
              </w:rPr>
              <w:t>January 28,</w:t>
            </w:r>
          </w:p>
        </w:tc>
        <w:tc>
          <w:tcPr>
            <w:tcW w:w="2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gridSpan w:val="2"/>
          </w:tcPr>
          <w:p>
            <w:pPr>
              <w:jc w:val="right"/>
              <w:spacing w:after="0" w:line="133" w:lineRule="exact"/>
              <w:rPr>
                <w:sz w:val="20"/>
                <w:szCs w:val="20"/>
                <w:color w:val="auto"/>
              </w:rPr>
            </w:pPr>
            <w:r>
              <w:rPr>
                <w:rFonts w:ascii="Arial" w:cs="Arial" w:eastAsia="Arial" w:hAnsi="Arial"/>
                <w:sz w:val="14"/>
                <w:szCs w:val="14"/>
                <w:b w:val="1"/>
                <w:bCs w:val="1"/>
                <w:color w:val="auto"/>
              </w:rPr>
              <w:t>February 3,</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7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center"/>
              <w:ind w:right="36"/>
              <w:spacing w:after="0"/>
              <w:rPr>
                <w:sz w:val="20"/>
                <w:szCs w:val="20"/>
                <w:color w:val="auto"/>
              </w:rPr>
            </w:pPr>
            <w:r>
              <w:rPr>
                <w:rFonts w:ascii="Arial" w:cs="Arial" w:eastAsia="Arial" w:hAnsi="Arial"/>
                <w:sz w:val="14"/>
                <w:szCs w:val="14"/>
                <w:b w:val="1"/>
                <w:bCs w:val="1"/>
                <w:color w:val="auto"/>
                <w:w w:val="89"/>
              </w:rPr>
              <w:t>2013</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237"/>
              <w:spacing w:after="0"/>
              <w:rPr>
                <w:sz w:val="20"/>
                <w:szCs w:val="20"/>
                <w:color w:val="auto"/>
              </w:rPr>
            </w:pPr>
            <w:r>
              <w:rPr>
                <w:rFonts w:ascii="Arial" w:cs="Arial" w:eastAsia="Arial" w:hAnsi="Arial"/>
                <w:sz w:val="14"/>
                <w:szCs w:val="14"/>
                <w:b w:val="1"/>
                <w:bCs w:val="1"/>
                <w:color w:val="auto"/>
              </w:rPr>
              <w:t>2014</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ind w:left="220"/>
              <w:spacing w:after="0"/>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234"/>
              <w:spacing w:after="0"/>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234"/>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21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6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Burlington Stores, Inc.</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20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102.28</w:t>
            </w:r>
          </w:p>
        </w:tc>
        <w:tc>
          <w:tcPr>
            <w:tcW w:w="2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199.48</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214.83</w:t>
            </w: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9"/>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323.51</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462.81</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gridSpan w:val="2"/>
          </w:tcPr>
          <w:p>
            <w:pPr>
              <w:spacing w:after="0"/>
              <w:rPr>
                <w:sz w:val="20"/>
                <w:szCs w:val="20"/>
                <w:color w:val="auto"/>
              </w:rPr>
            </w:pPr>
            <w:r>
              <w:rPr>
                <w:rFonts w:ascii="Arial" w:cs="Arial" w:eastAsia="Arial" w:hAnsi="Arial"/>
                <w:sz w:val="18"/>
                <w:szCs w:val="18"/>
                <w:color w:val="auto"/>
              </w:rPr>
              <w:t>S&amp;P 500 Index</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100.00</w:t>
            </w:r>
          </w:p>
        </w:tc>
        <w:tc>
          <w:tcPr>
            <w:tcW w:w="20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105.24</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117.78</w:t>
            </w:r>
          </w:p>
        </w:tc>
        <w:tc>
          <w:tcPr>
            <w:tcW w:w="44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114.54</w:t>
            </w:r>
          </w:p>
        </w:tc>
        <w:tc>
          <w:tcPr>
            <w:tcW w:w="400" w:type="dxa"/>
            <w:vAlign w:val="bottom"/>
            <w:gridSpan w:val="2"/>
          </w:tcPr>
          <w:p>
            <w:pPr>
              <w:jc w:val="right"/>
              <w:ind w:right="19"/>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135.47</w:t>
            </w:r>
          </w:p>
        </w:tc>
        <w:tc>
          <w:tcPr>
            <w:tcW w:w="4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163.07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S&amp;P Retailing Index</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20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100.62</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119.48</w:t>
            </w:r>
          </w:p>
        </w:tc>
        <w:tc>
          <w:tcPr>
            <w:tcW w:w="44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138.07</w:t>
            </w:r>
          </w:p>
        </w:tc>
        <w:tc>
          <w:tcPr>
            <w:tcW w:w="400" w:type="dxa"/>
            <w:vAlign w:val="bottom"/>
            <w:gridSpan w:val="2"/>
            <w:shd w:val="clear" w:color="auto" w:fill="CFF0FC"/>
          </w:tcPr>
          <w:p>
            <w:pPr>
              <w:jc w:val="right"/>
              <w:ind w:right="19"/>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161.95</w:t>
            </w:r>
          </w:p>
        </w:tc>
        <w:tc>
          <w:tcPr>
            <w:tcW w:w="40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226.55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48"/>
        </w:trPr>
        <w:tc>
          <w:tcPr>
            <w:tcW w:w="4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19</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6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Purchases of Equity Securities by the Issuer and Affiliated Purchasers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 provides information regarding our purchases of common stock during the three fiscal months ended February 3, 2018:</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Approximate</w:t>
            </w: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Total Number</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Dollar Value</w:t>
            </w: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of Shares</w:t>
            </w: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of Shares</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That May Yet</w:t>
            </w: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Purchased as</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Be Purchased</w:t>
            </w: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 Number</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2"/>
              </w:rPr>
              <w:t>Average Price</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Under the</w:t>
            </w: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Announced</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Plans or</w:t>
            </w:r>
          </w:p>
        </w:tc>
        <w:tc>
          <w:tcPr>
            <w:tcW w:w="0" w:type="dxa"/>
            <w:vAlign w:val="bottom"/>
          </w:tcPr>
          <w:p>
            <w:pPr>
              <w:spacing w:after="0"/>
              <w:rPr>
                <w:sz w:val="1"/>
                <w:szCs w:val="1"/>
                <w:color w:val="auto"/>
              </w:rPr>
            </w:pPr>
          </w:p>
        </w:tc>
      </w:tr>
      <w:tr>
        <w:trPr>
          <w:trHeight w:val="149"/>
        </w:trPr>
        <w:tc>
          <w:tcPr>
            <w:tcW w:w="5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Month</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of Shares</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6"/>
              </w:rPr>
              <w:t>Paid Per</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Plans or</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Programs</w:t>
            </w:r>
          </w:p>
        </w:tc>
        <w:tc>
          <w:tcPr>
            <w:tcW w:w="0" w:type="dxa"/>
            <w:vAlign w:val="bottom"/>
          </w:tcPr>
          <w:p>
            <w:pPr>
              <w:spacing w:after="0"/>
              <w:rPr>
                <w:sz w:val="1"/>
                <w:szCs w:val="1"/>
                <w:color w:val="auto"/>
              </w:rPr>
            </w:pPr>
          </w:p>
        </w:tc>
      </w:tr>
      <w:tr>
        <w:trPr>
          <w:trHeight w:val="171"/>
        </w:trPr>
        <w:tc>
          <w:tcPr>
            <w:tcW w:w="5960" w:type="dxa"/>
            <w:vAlign w:val="bottom"/>
            <w:gridSpan w:val="3"/>
            <w:vMerge w:val="continue"/>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0"/>
              </w:rPr>
              <w:t>Purchased(1)</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Share(2)</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2"/>
              </w:rPr>
              <w:t>Programs(3)</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23"/>
        </w:trPr>
        <w:tc>
          <w:tcPr>
            <w:tcW w:w="582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October 29, 2017 through November 25, 2017</w:t>
            </w:r>
          </w:p>
        </w:tc>
        <w:tc>
          <w:tcPr>
            <w:tcW w:w="14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102,240</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97.60</w:t>
            </w:r>
          </w:p>
        </w:tc>
        <w:tc>
          <w:tcPr>
            <w:tcW w:w="24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95,748</w:t>
            </w: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259,638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gridSpan w:val="3"/>
          </w:tcPr>
          <w:p>
            <w:pPr>
              <w:spacing w:after="0"/>
              <w:rPr>
                <w:sz w:val="20"/>
                <w:szCs w:val="20"/>
                <w:color w:val="auto"/>
              </w:rPr>
            </w:pPr>
            <w:r>
              <w:rPr>
                <w:rFonts w:ascii="Arial" w:cs="Arial" w:eastAsia="Arial" w:hAnsi="Arial"/>
                <w:sz w:val="18"/>
                <w:szCs w:val="18"/>
                <w:color w:val="auto"/>
              </w:rPr>
              <w:t>November 26, 2017 through December 30, 2017</w:t>
            </w:r>
          </w:p>
        </w:tc>
        <w:tc>
          <w:tcPr>
            <w:tcW w:w="1140" w:type="dxa"/>
            <w:vAlign w:val="bottom"/>
          </w:tcPr>
          <w:p>
            <w:pPr>
              <w:jc w:val="right"/>
              <w:spacing w:after="0"/>
              <w:rPr>
                <w:sz w:val="20"/>
                <w:szCs w:val="20"/>
                <w:color w:val="auto"/>
              </w:rPr>
            </w:pPr>
            <w:r>
              <w:rPr>
                <w:rFonts w:ascii="Arial" w:cs="Arial" w:eastAsia="Arial" w:hAnsi="Arial"/>
                <w:sz w:val="18"/>
                <w:szCs w:val="18"/>
                <w:color w:val="auto"/>
              </w:rPr>
              <w:t>190,565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111.53</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190,380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238,405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December 31, 2017 through February 3, 2018</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190,354</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124.12</w:t>
            </w:r>
          </w:p>
        </w:tc>
        <w:tc>
          <w:tcPr>
            <w:tcW w:w="240" w:type="dxa"/>
            <w:vAlign w:val="bottom"/>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171,400</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217,173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gridSpan w:val="3"/>
          </w:tcPr>
          <w:p>
            <w:pPr>
              <w:spacing w:after="0"/>
              <w:rPr>
                <w:sz w:val="20"/>
                <w:szCs w:val="20"/>
                <w:color w:val="auto"/>
              </w:rPr>
            </w:pPr>
            <w:r>
              <w:rPr>
                <w:rFonts w:ascii="Arial" w:cs="Arial" w:eastAsia="Arial" w:hAnsi="Arial"/>
                <w:sz w:val="18"/>
                <w:szCs w:val="18"/>
                <w:b w:val="1"/>
                <w:bCs w:val="1"/>
                <w:color w:val="auto"/>
              </w:rPr>
              <w:t>Total</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483,159</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457,528</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300" w:type="dxa"/>
            <w:vAlign w:val="bottom"/>
            <w:tcBorders>
              <w:bottom w:val="single" w:sz="8" w:color="auto"/>
            </w:tcBorders>
          </w:tcPr>
          <w:p>
            <w:pPr>
              <w:spacing w:after="0"/>
              <w:rPr>
                <w:sz w:val="5"/>
                <w:szCs w:val="5"/>
                <w:color w:val="auto"/>
              </w:rPr>
            </w:pPr>
          </w:p>
        </w:tc>
        <w:tc>
          <w:tcPr>
            <w:tcW w:w="3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520" w:right="240" w:hanging="512"/>
        <w:spacing w:after="0" w:line="254" w:lineRule="auto"/>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number of shares purchased between October 29, 2017 and November 25, 2017, between November 26, 2017 and December 30, 2017 and between December 31, 2017 and February 3, 2017 include 6,492, 185 and 18,954, respectively, which were withheld for tax payments due upon the vesting of employee restricted stock awards, and do not reduce the dollar value that may yet be purchased under our publicly announced share repurchase program.</w:t>
      </w:r>
    </w:p>
    <w:p>
      <w:pPr>
        <w:spacing w:after="0" w:line="2" w:lineRule="exact"/>
        <w:rPr>
          <w:rFonts w:ascii="Arial" w:cs="Arial" w:eastAsia="Arial" w:hAnsi="Arial"/>
          <w:sz w:val="18"/>
          <w:szCs w:val="18"/>
          <w:color w:val="auto"/>
        </w:rPr>
      </w:pPr>
    </w:p>
    <w:p>
      <w:pPr>
        <w:ind w:left="520" w:hanging="512"/>
        <w:spacing w:after="0"/>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commissions for the shares repurchased under our publicly announced share repurchase program.</w:t>
      </w:r>
    </w:p>
    <w:p>
      <w:pPr>
        <w:spacing w:after="0" w:line="22" w:lineRule="exact"/>
        <w:rPr>
          <w:rFonts w:ascii="Arial" w:cs="Arial" w:eastAsia="Arial" w:hAnsi="Arial"/>
          <w:sz w:val="18"/>
          <w:szCs w:val="18"/>
          <w:color w:val="auto"/>
        </w:rPr>
      </w:pPr>
    </w:p>
    <w:p>
      <w:pPr>
        <w:ind w:left="520" w:right="120" w:hanging="512"/>
        <w:spacing w:after="0" w:line="253" w:lineRule="auto"/>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 August 16, 2017, our Board of Directors approved the repurchase of up to $300 million of our common stock. This share repurchase program will be funded using the Company’s available cash and is authorized to be executed through August 2019. As of February 3, 2018, we had $217.2 million available for purchase under this share repurchase program. For a further discussion of our share repurchase program, see Part II, Item 7, Management’s Discussion and Analysis of Financial Condition and Results of Operations—Liquidity and Capital Resources—Share Repurchase Program.</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22" w:name="page23"/>
    <w:bookmarkEnd w:id="22"/>
    <w:p>
      <w:pPr>
        <w:spacing w:after="0"/>
        <w:tabs>
          <w:tab w:leader="none" w:pos="11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121"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color w:val="auto"/>
        </w:rPr>
        <w:t>The following table presents selected historical consolidated financial data. The historical consolidated balance sheet data and consolidated statement of operations data for Fiscal 2017, Fiscal 2016 and Fiscal 2015 and for the fiscal years ended January 31, 2015 (Fiscal 2014) and February 1, 2014 (Fiscal 2013) have been derived from our historical audited Consolidated Financial Statements.</w:t>
      </w:r>
    </w:p>
    <w:p>
      <w:pPr>
        <w:spacing w:after="0" w:line="181" w:lineRule="exact"/>
        <w:rPr>
          <w:sz w:val="20"/>
          <w:szCs w:val="20"/>
          <w:color w:val="auto"/>
        </w:rPr>
      </w:pPr>
    </w:p>
    <w:p>
      <w:pPr>
        <w:ind w:right="40" w:firstLine="518"/>
        <w:spacing w:after="0" w:line="286" w:lineRule="auto"/>
        <w:rPr>
          <w:sz w:val="20"/>
          <w:szCs w:val="20"/>
          <w:color w:val="auto"/>
        </w:rPr>
      </w:pPr>
      <w:r>
        <w:rPr>
          <w:rFonts w:ascii="Arial" w:cs="Arial" w:eastAsia="Arial" w:hAnsi="Arial"/>
          <w:sz w:val="17"/>
          <w:szCs w:val="17"/>
          <w:color w:val="auto"/>
        </w:rPr>
        <w:t>The historical consolidated financial data presented below should only be read in conjunction with our audited Consolidated Financial Statements (and the related notes thereto) and Item 7, Management’s Discussion and Analysis of Financial Condition and Results of Operations, each of which are included elsewhere in this Annual Report. Our historical consolidated financial data may not be indicative of our future performance.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4"/>
                <w:szCs w:val="14"/>
                <w:b w:val="1"/>
                <w:bCs w:val="1"/>
                <w:color w:val="auto"/>
                <w:w w:val="94"/>
              </w:rPr>
              <w:t>Fiscal Year Ended(1)</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5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right"/>
              <w:ind w:right="360"/>
              <w:spacing w:after="0" w:line="133" w:lineRule="exact"/>
              <w:rPr>
                <w:sz w:val="20"/>
                <w:szCs w:val="20"/>
                <w:color w:val="auto"/>
              </w:rPr>
            </w:pPr>
            <w:r>
              <w:rPr>
                <w:rFonts w:ascii="Arial" w:cs="Arial" w:eastAsia="Arial" w:hAnsi="Arial"/>
                <w:sz w:val="14"/>
                <w:szCs w:val="14"/>
                <w:b w:val="1"/>
                <w:bCs w:val="1"/>
                <w:color w:val="auto"/>
                <w:w w:val="97"/>
              </w:rPr>
              <w:t>February 3,</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jc w:val="right"/>
              <w:ind w:right="300"/>
              <w:spacing w:after="0" w:line="133" w:lineRule="exact"/>
              <w:rPr>
                <w:sz w:val="20"/>
                <w:szCs w:val="20"/>
                <w:color w:val="auto"/>
              </w:rPr>
            </w:pPr>
            <w:r>
              <w:rPr>
                <w:rFonts w:ascii="Arial" w:cs="Arial" w:eastAsia="Arial" w:hAnsi="Arial"/>
                <w:sz w:val="14"/>
                <w:szCs w:val="14"/>
                <w:b w:val="1"/>
                <w:bCs w:val="1"/>
                <w:color w:val="auto"/>
                <w:w w:val="93"/>
              </w:rPr>
              <w:t>January 28,</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5"/>
              </w:rPr>
              <w:t>January 30,</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right"/>
              <w:ind w:right="380"/>
              <w:spacing w:after="0" w:line="133" w:lineRule="exact"/>
              <w:rPr>
                <w:sz w:val="20"/>
                <w:szCs w:val="20"/>
                <w:color w:val="auto"/>
              </w:rPr>
            </w:pPr>
            <w:r>
              <w:rPr>
                <w:rFonts w:ascii="Arial" w:cs="Arial" w:eastAsia="Arial" w:hAnsi="Arial"/>
                <w:sz w:val="14"/>
                <w:szCs w:val="14"/>
                <w:b w:val="1"/>
                <w:bCs w:val="1"/>
                <w:color w:val="auto"/>
                <w:w w:val="93"/>
              </w:rPr>
              <w:t>January 31,</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right"/>
              <w:ind w:right="52"/>
              <w:spacing w:after="0" w:line="133" w:lineRule="exact"/>
              <w:rPr>
                <w:sz w:val="20"/>
                <w:szCs w:val="20"/>
                <w:color w:val="auto"/>
              </w:rPr>
            </w:pPr>
            <w:r>
              <w:rPr>
                <w:rFonts w:ascii="Arial" w:cs="Arial" w:eastAsia="Arial" w:hAnsi="Arial"/>
                <w:sz w:val="14"/>
                <w:szCs w:val="14"/>
                <w:b w:val="1"/>
                <w:bCs w:val="1"/>
                <w:color w:val="auto"/>
                <w:w w:val="97"/>
              </w:rPr>
              <w:t>February 1,</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96"/>
              </w:rPr>
              <w:t>2016</w:t>
            </w: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2014</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5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740" w:type="dxa"/>
            <w:vAlign w:val="bottom"/>
            <w:gridSpan w:val="10"/>
          </w:tcPr>
          <w:p>
            <w:pPr>
              <w:jc w:val="center"/>
              <w:ind w:right="360"/>
              <w:spacing w:after="0" w:line="155" w:lineRule="exact"/>
              <w:rPr>
                <w:sz w:val="20"/>
                <w:szCs w:val="20"/>
                <w:color w:val="auto"/>
              </w:rPr>
            </w:pPr>
            <w:r>
              <w:rPr>
                <w:rFonts w:ascii="Arial" w:cs="Arial" w:eastAsia="Arial" w:hAnsi="Arial"/>
                <w:sz w:val="14"/>
                <w:szCs w:val="14"/>
                <w:b w:val="1"/>
                <w:bCs w:val="1"/>
                <w:color w:val="auto"/>
                <w:w w:val="91"/>
              </w:rPr>
              <w:t>(in thousands, except per share data)</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5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Consolidated Statement of Operations Data:</w:t>
            </w:r>
          </w:p>
        </w:tc>
        <w:tc>
          <w:tcPr>
            <w:tcW w:w="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540" w:type="dxa"/>
            <w:vAlign w:val="bottom"/>
          </w:tcPr>
          <w:p>
            <w:pPr>
              <w:spacing w:after="0"/>
              <w:rPr>
                <w:sz w:val="20"/>
                <w:szCs w:val="20"/>
                <w:color w:val="auto"/>
              </w:rPr>
            </w:pPr>
            <w:r>
              <w:rPr>
                <w:rFonts w:ascii="Arial" w:cs="Arial" w:eastAsia="Arial" w:hAnsi="Arial"/>
                <w:sz w:val="18"/>
                <w:szCs w:val="18"/>
                <w:color w:val="auto"/>
              </w:rPr>
              <w:t>Net sales</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6,084,766</w:t>
            </w:r>
          </w:p>
        </w:tc>
        <w:tc>
          <w:tcPr>
            <w:tcW w:w="220" w:type="dxa"/>
            <w:vAlign w:val="bottom"/>
          </w:tcPr>
          <w:p>
            <w:pPr>
              <w:spacing w:after="0"/>
              <w:rPr>
                <w:sz w:val="23"/>
                <w:szCs w:val="23"/>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5,566,038</w:t>
            </w:r>
          </w:p>
        </w:tc>
        <w:tc>
          <w:tcPr>
            <w:tcW w:w="140" w:type="dxa"/>
            <w:vAlign w:val="bottom"/>
          </w:tcPr>
          <w:p>
            <w:pPr>
              <w:spacing w:after="0"/>
              <w:rPr>
                <w:sz w:val="23"/>
                <w:szCs w:val="23"/>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5,098,932</w:t>
            </w:r>
          </w:p>
        </w:tc>
        <w:tc>
          <w:tcPr>
            <w:tcW w:w="220" w:type="dxa"/>
            <w:vAlign w:val="bottom"/>
          </w:tcPr>
          <w:p>
            <w:pPr>
              <w:spacing w:after="0"/>
              <w:rPr>
                <w:sz w:val="23"/>
                <w:szCs w:val="23"/>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4,814,504</w:t>
            </w:r>
          </w:p>
        </w:tc>
        <w:tc>
          <w:tcPr>
            <w:tcW w:w="220" w:type="dxa"/>
            <w:vAlign w:val="bottom"/>
          </w:tcPr>
          <w:p>
            <w:pPr>
              <w:spacing w:after="0"/>
              <w:rPr>
                <w:sz w:val="23"/>
                <w:szCs w:val="23"/>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4,427,503</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45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w:t>
            </w:r>
          </w:p>
        </w:tc>
        <w:tc>
          <w:tcPr>
            <w:tcW w:w="46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384,852</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215,873</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150,482</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65,955</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16,150</w:t>
            </w: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40" w:type="dxa"/>
            <w:vAlign w:val="bottom"/>
            <w:vMerge w:val="restart"/>
          </w:tcPr>
          <w:p>
            <w:pPr>
              <w:spacing w:after="0"/>
              <w:rPr>
                <w:sz w:val="20"/>
                <w:szCs w:val="20"/>
                <w:color w:val="auto"/>
              </w:rPr>
            </w:pPr>
            <w:r>
              <w:rPr>
                <w:rFonts w:ascii="Arial" w:cs="Arial" w:eastAsia="Arial" w:hAnsi="Arial"/>
                <w:sz w:val="18"/>
                <w:szCs w:val="18"/>
                <w:color w:val="auto"/>
              </w:rPr>
              <w:t>Net (loss) income per share—basic:</w:t>
            </w: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4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Class L stockholders</w:t>
            </w:r>
          </w:p>
        </w:tc>
        <w:tc>
          <w:tcPr>
            <w:tcW w:w="5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31.93</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4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18"/>
                <w:szCs w:val="18"/>
                <w:color w:val="auto"/>
              </w:rPr>
              <w:t>Common stockholders</w:t>
            </w:r>
          </w:p>
        </w:tc>
        <w:tc>
          <w:tcPr>
            <w:tcW w:w="4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FF0FC"/>
            </w:tcBorders>
            <w:vMerge w:val="continue"/>
          </w:tcPr>
          <w:p>
            <w:pPr>
              <w:spacing w:after="0"/>
              <w:rPr>
                <w:sz w:val="21"/>
                <w:szCs w:val="21"/>
                <w:color w:val="auto"/>
              </w:rPr>
            </w:pPr>
          </w:p>
        </w:tc>
        <w:tc>
          <w:tcPr>
            <w:tcW w:w="46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w:t>
            </w:r>
          </w:p>
        </w:tc>
        <w:tc>
          <w:tcPr>
            <w:tcW w:w="22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w:t>
            </w:r>
          </w:p>
        </w:tc>
        <w:tc>
          <w:tcPr>
            <w:tcW w:w="140" w:type="dxa"/>
            <w:vAlign w:val="bottom"/>
            <w:tcBorders>
              <w:bottom w:val="single" w:sz="8" w:color="CFF0FC"/>
            </w:tcBorders>
          </w:tcPr>
          <w:p>
            <w:pPr>
              <w:spacing w:after="0"/>
              <w:rPr>
                <w:sz w:val="21"/>
                <w:szCs w:val="21"/>
                <w:color w:val="auto"/>
              </w:rPr>
            </w:pPr>
          </w:p>
        </w:tc>
        <w:tc>
          <w:tcPr>
            <w:tcW w:w="16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22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0.89</w:t>
            </w:r>
          </w:p>
        </w:tc>
        <w:tc>
          <w:tcPr>
            <w:tcW w:w="22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(0.26)</w:t>
            </w:r>
          </w:p>
        </w:tc>
        <w:tc>
          <w:tcPr>
            <w:tcW w:w="18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Net (loss) income per share—diluted:</w:t>
            </w:r>
          </w:p>
        </w:tc>
        <w:tc>
          <w:tcPr>
            <w:tcW w:w="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540" w:type="dxa"/>
            <w:vAlign w:val="bottom"/>
          </w:tcPr>
          <w:p>
            <w:pPr>
              <w:ind w:left="260"/>
              <w:spacing w:after="0"/>
              <w:rPr>
                <w:sz w:val="20"/>
                <w:szCs w:val="20"/>
                <w:color w:val="auto"/>
              </w:rPr>
            </w:pPr>
            <w:r>
              <w:rPr>
                <w:rFonts w:ascii="Arial" w:cs="Arial" w:eastAsia="Arial" w:hAnsi="Arial"/>
                <w:sz w:val="18"/>
                <w:szCs w:val="18"/>
                <w:color w:val="auto"/>
              </w:rPr>
              <w:t>Class L stockholders</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31.93</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454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Common stockholders</w:t>
            </w:r>
          </w:p>
        </w:tc>
        <w:tc>
          <w:tcPr>
            <w:tcW w:w="46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5.48</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3.01</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0.87</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(0.39)</w:t>
            </w: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40" w:type="dxa"/>
            <w:vAlign w:val="bottom"/>
            <w:vMerge w:val="restart"/>
          </w:tcPr>
          <w:p>
            <w:pPr>
              <w:spacing w:after="0"/>
              <w:rPr>
                <w:sz w:val="20"/>
                <w:szCs w:val="20"/>
                <w:color w:val="auto"/>
              </w:rPr>
            </w:pPr>
            <w:r>
              <w:rPr>
                <w:rFonts w:ascii="Arial" w:cs="Arial" w:eastAsia="Arial" w:hAnsi="Arial"/>
                <w:sz w:val="18"/>
                <w:szCs w:val="18"/>
                <w:b w:val="1"/>
                <w:bCs w:val="1"/>
                <w:color w:val="auto"/>
                <w:w w:val="99"/>
              </w:rPr>
              <w:t>Consolidated Balance Sheet Data (end of the period):</w:t>
            </w: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4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Inventory</w:t>
            </w:r>
          </w:p>
        </w:tc>
        <w:tc>
          <w:tcPr>
            <w:tcW w:w="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752,562</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701,891</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783,528</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788,708</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720,052</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Total assets</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2,812,829</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2,574,483</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2,571,813</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2,614,285</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2,596,712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Long term debt</w:t>
            </w:r>
          </w:p>
        </w:tc>
        <w:tc>
          <w:tcPr>
            <w:tcW w:w="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1,113,808</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1,128,843</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1,295,163</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1,238,992</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1,344,779</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Stockholders’ equity (deficit) (2)</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86,774</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(49,812)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(99,022)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(65,951)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(150,468)</w:t>
            </w:r>
          </w:p>
        </w:tc>
        <w:tc>
          <w:tcPr>
            <w:tcW w:w="0" w:type="dxa"/>
            <w:vAlign w:val="bottom"/>
          </w:tcPr>
          <w:p>
            <w:pPr>
              <w:spacing w:after="0"/>
              <w:rPr>
                <w:sz w:val="1"/>
                <w:szCs w:val="1"/>
                <w:color w:val="auto"/>
              </w:rPr>
            </w:pPr>
          </w:p>
        </w:tc>
      </w:tr>
      <w:tr>
        <w:trPr>
          <w:trHeight w:val="230"/>
        </w:trPr>
        <w:tc>
          <w:tcPr>
            <w:tcW w:w="45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Other Financial Data:</w:t>
            </w:r>
          </w:p>
        </w:tc>
        <w:tc>
          <w:tcPr>
            <w:tcW w:w="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Adjusted Net Income(3)</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405,753</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232,268</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174,555</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138,577</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70,239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EBITDA(4)</w:t>
            </w:r>
          </w:p>
        </w:tc>
        <w:tc>
          <w:tcPr>
            <w:tcW w:w="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696,066</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584,562</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484,029</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448,066</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383,697</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Comparable store sales growth(5)</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4.9%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30"/>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Gross margin rate</w:t>
            </w:r>
          </w:p>
        </w:tc>
        <w:tc>
          <w:tcPr>
            <w:tcW w:w="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41.5%</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40.8%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40.0%</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39.7%</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Store payroll as a percentage of net sales</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8.5%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8.5%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8.6%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8.8%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30"/>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Cash flow increase (decrease)</w:t>
            </w:r>
          </w:p>
        </w:tc>
        <w:tc>
          <w:tcPr>
            <w:tcW w:w="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51,689</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60,682</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(4,434)</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(107,635)</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89,648</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Working capital (deficit)(6)</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(46,998)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(96,310)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18,594</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26,566</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80,604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Gross square footage (in thousands)</w:t>
            </w:r>
          </w:p>
        </w:tc>
        <w:tc>
          <w:tcPr>
            <w:tcW w:w="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45,693</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44,736</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43,468</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42,212</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41,010</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Selling square footage (in thousands)</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33,305</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34,234</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33,230</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33,597</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32,601</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144907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00" w:lineRule="exact"/>
        <w:rPr>
          <w:sz w:val="20"/>
          <w:szCs w:val="20"/>
          <w:color w:val="auto"/>
        </w:rPr>
      </w:pPr>
    </w:p>
    <w:p>
      <w:pPr>
        <w:ind w:left="520" w:hanging="512"/>
        <w:spacing w:after="0"/>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Fiscal 2017 consisted of 53 weeks. Fiscal 2016, Fiscal 2015, Fiscal 2014 and Fiscal 2013 consisted of 52 weeks.</w:t>
      </w:r>
    </w:p>
    <w:p>
      <w:pPr>
        <w:spacing w:after="0" w:line="23" w:lineRule="exact"/>
        <w:rPr>
          <w:rFonts w:ascii="Arial" w:cs="Arial" w:eastAsia="Arial" w:hAnsi="Arial"/>
          <w:sz w:val="18"/>
          <w:szCs w:val="18"/>
          <w:color w:val="auto"/>
        </w:rPr>
      </w:pPr>
    </w:p>
    <w:p>
      <w:pPr>
        <w:ind w:left="520" w:right="480" w:hanging="512"/>
        <w:spacing w:after="0" w:line="281" w:lineRule="auto"/>
        <w:tabs>
          <w:tab w:leader="none" w:pos="5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 February 2013, we declared a special cash dividend of approximately $336.0 million ($5.89/unit) to our stockholders from the proceeds of the offering of $350.0 million aggregate principal amount of Senior Notes, payable to Class A and Class L stockholders on a pro rata basis.</w:t>
      </w:r>
    </w:p>
    <w:p>
      <w:pPr>
        <w:spacing w:after="0" w:line="1" w:lineRule="exact"/>
        <w:rPr>
          <w:rFonts w:ascii="Arial" w:cs="Arial" w:eastAsia="Arial" w:hAnsi="Arial"/>
          <w:sz w:val="16"/>
          <w:szCs w:val="16"/>
          <w:color w:val="auto"/>
        </w:rPr>
      </w:pPr>
    </w:p>
    <w:p>
      <w:pPr>
        <w:ind w:left="520" w:right="140" w:hanging="512"/>
        <w:spacing w:after="0" w:line="250" w:lineRule="auto"/>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define Adjusted Net Income as net income, exclusive of the following items: (i) net favorable lease amortization; (ii) costs related to debt amendments, secondary offerings, termination of Advisory Agreement and other; (iii) stock option modification expense; (iv) loss on extinguishment of debt; (v) impairment charges; (vi) advisory fees; (vii) amounts related to certain litigation and (viii) other unusual, non-recurring or extraordinary expenses, losses, charges or gains, all of which are tax effected to arrive at Adjusted Net Income. For further discussion of Adjusted Net Income, including a reconciliation of Adjusted Net Income to net income, see Part II, Item 7. Management’s Discussion and Analysis of Financial Condition and Results of Operations—Key Performance Measures.</w:t>
      </w:r>
    </w:p>
    <w:p>
      <w:pPr>
        <w:spacing w:after="0" w:line="2" w:lineRule="exact"/>
        <w:rPr>
          <w:rFonts w:ascii="Arial" w:cs="Arial" w:eastAsia="Arial" w:hAnsi="Arial"/>
          <w:sz w:val="18"/>
          <w:szCs w:val="18"/>
          <w:color w:val="auto"/>
        </w:rPr>
      </w:pPr>
    </w:p>
    <w:p>
      <w:pPr>
        <w:ind w:left="520" w:right="60" w:hanging="512"/>
        <w:spacing w:after="0" w:line="281" w:lineRule="auto"/>
        <w:tabs>
          <w:tab w:leader="none" w:pos="5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We define Adjusted EBITDA as net income, exclusive of the following items: (i) interest expense, net, (ii) loss on extinguishment of debt, (iii) income tax expense (benefit), (iv) depreciation and amortization, (v) impairment charges, (vi) advisory fees, (vii) stock option modification expense,</w:t>
      </w:r>
    </w:p>
    <w:p>
      <w:pPr>
        <w:spacing w:after="0" w:line="1" w:lineRule="exact"/>
        <w:rPr>
          <w:rFonts w:ascii="Arial" w:cs="Arial" w:eastAsia="Arial" w:hAnsi="Arial"/>
          <w:sz w:val="16"/>
          <w:szCs w:val="16"/>
          <w:color w:val="auto"/>
        </w:rPr>
      </w:pPr>
    </w:p>
    <w:p>
      <w:pPr>
        <w:ind w:left="520" w:right="120"/>
        <w:spacing w:after="0" w:line="254" w:lineRule="auto"/>
        <w:rPr>
          <w:rFonts w:ascii="Arial" w:cs="Arial" w:eastAsia="Arial" w:hAnsi="Arial"/>
          <w:sz w:val="16"/>
          <w:szCs w:val="16"/>
          <w:color w:val="auto"/>
        </w:rPr>
      </w:pPr>
      <w:r>
        <w:rPr>
          <w:rFonts w:ascii="Arial" w:cs="Arial" w:eastAsia="Arial" w:hAnsi="Arial"/>
          <w:sz w:val="18"/>
          <w:szCs w:val="18"/>
          <w:color w:val="auto"/>
        </w:rPr>
        <w:t>(viii) costs related to debt amendments, secondary offerings, termination of our Advisory Agreement and other, (ix) amounts related to certain litigation and (x) other unusual, non-recurring or extraordinary expenses, losses, charges or gains. For further discussion of Adjusted EBITDA, including a reconciliation of Adjusted EBITDA to net income, see Part II, Item 7. Management’s Discussion and Analysis of Financial Condition and Results of Operations—Key Performance Measures.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3" w:name="page24"/>
    <w:bookmarkEnd w:id="23"/>
    <w:p>
      <w:pPr>
        <w:ind w:left="512" w:hanging="512"/>
        <w:spacing w:after="0" w:line="256" w:lineRule="auto"/>
        <w:tabs>
          <w:tab w:leader="none" w:pos="512"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define comparable store sales as sales of those stores, including online sales, commencing on the first day of the fiscal month one year after the end of their grand opening activities, which normally conclude within the first two months of operations. Our comparable store sales are based on a 52-week basis.</w:t>
      </w:r>
    </w:p>
    <w:p>
      <w:pPr>
        <w:ind w:left="512" w:hanging="512"/>
        <w:spacing w:after="0"/>
        <w:tabs>
          <w:tab w:leader="none" w:pos="512"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define working capital as current assets (excluding restricted cash) minus current liabilities.</w:t>
      </w:r>
    </w:p>
    <w:p>
      <w:pPr>
        <w:spacing w:after="0" w:line="21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12"/>
          </w:cols>
          <w:pgMar w:left="248" w:top="341" w:right="239" w:bottom="1440" w:gutter="0" w:footer="0" w:header="0"/>
        </w:sectPr>
      </w:pPr>
    </w:p>
    <w:bookmarkStart w:id="24" w:name="page25"/>
    <w:bookmarkEnd w:id="24"/>
    <w:p>
      <w:pPr>
        <w:spacing w:after="0"/>
        <w:tabs>
          <w:tab w:leader="none" w:pos="11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i w:val="1"/>
          <w:iCs w:val="1"/>
          <w:color w:val="auto"/>
        </w:rPr>
        <w:t>For purposes of the following “Management’s Discussion and Analysis of Financial Condition and Results of Operations,” unless the context requires otherwise, references to “the Company,” “we,” “our,” or “us” refer to Burlington Stores, Inc. and its consolidated subsidiaries.</w:t>
      </w:r>
    </w:p>
    <w:p>
      <w:pPr>
        <w:spacing w:after="0" w:line="170" w:lineRule="exact"/>
        <w:rPr>
          <w:sz w:val="20"/>
          <w:szCs w:val="20"/>
          <w:color w:val="auto"/>
        </w:rPr>
      </w:pPr>
    </w:p>
    <w:p>
      <w:pPr>
        <w:ind w:right="140" w:firstLine="518"/>
        <w:spacing w:after="0" w:line="286" w:lineRule="auto"/>
        <w:rPr>
          <w:sz w:val="20"/>
          <w:szCs w:val="20"/>
          <w:color w:val="auto"/>
        </w:rPr>
      </w:pPr>
      <w:r>
        <w:rPr>
          <w:rFonts w:ascii="Arial" w:cs="Arial" w:eastAsia="Arial" w:hAnsi="Arial"/>
          <w:sz w:val="17"/>
          <w:szCs w:val="17"/>
          <w:i w:val="1"/>
          <w:iCs w:val="1"/>
          <w:color w:val="auto"/>
        </w:rPr>
        <w:t>The following discussion summarizes the significant factors affecting our consolidated operating results, financial condition, liquidity and cash flows as of and for the periods presented below. The following discussion and analysis should be read in conjunction with the “Selected Financial Data” section and our Consolidated Financial Statements, including the notes thereto, appearing elsewhere in this Annual Report.</w:t>
      </w:r>
    </w:p>
    <w:p>
      <w:pPr>
        <w:spacing w:after="0" w:line="166"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i w:val="1"/>
          <w:iCs w:val="1"/>
          <w:color w:val="auto"/>
        </w:rPr>
        <w:t>In addition to historical information, this discussion and analysis contains forward-looking statements based on current expectations that involve risks, uncertainties and assumptions, such as our plans, objectives, expectations and intentions set forth under the caption entitled “Cautionary Statement Regarding Forward-Looking Statements,” which can be found in Item 1A, Risk Factors. Our actual results and the timing of events may differ materially from those anticipated in these forward-looking statements as a result of various factors, including those set forth in Item 1A, Risk Factors and elsewhere in this Annual Report.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60" w:firstLine="518"/>
        <w:spacing w:after="0" w:line="297" w:lineRule="auto"/>
        <w:rPr>
          <w:sz w:val="20"/>
          <w:szCs w:val="20"/>
          <w:color w:val="auto"/>
        </w:rPr>
      </w:pPr>
      <w:r>
        <w:rPr>
          <w:rFonts w:ascii="Arial" w:cs="Arial" w:eastAsia="Arial" w:hAnsi="Arial"/>
          <w:sz w:val="16"/>
          <w:szCs w:val="16"/>
          <w:color w:val="auto"/>
        </w:rPr>
        <w:t>We are a nationally recognized retailer of high-quality, branded apparel at everyday low prices. We opened our first store in Burlington, New Jersey in 1972, selling primarily coats and outerwear. Since then, we have expanded our store base to 629 stores as of February 3, 2018, inclusive of an internet store, in 45 states and Puerto Rico, and diversified our product categories by offering an extensive selection of in-season, fashion-focused merchandise, including: women’s ready-to-wear apparel, accessories, footwear, menswear, youth apparel, baby, home, coats, beauty and gifts. We sell a broad selection of desirable, first-quality, current-brand, labeled merchandise acquired directly from nationally-recognized manufacturers and other suppliers.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 of Fiscal 2017 Operating Results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Highlights from Fiscal 2017 (53 weeks) compared with Fiscal 2016 (52 weeks) include the following:</w:t>
      </w:r>
    </w:p>
    <w:p>
      <w:pPr>
        <w:spacing w:after="0" w:line="117" w:lineRule="exact"/>
        <w:rPr>
          <w:sz w:val="20"/>
          <w:szCs w:val="20"/>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generated total revenues of $6,110.0 million compared with $5,591.0 million.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Net sales improved $518.7 million to $6,084.8 million (inclusive of a 3.4% comparable store sales increase).</w:t>
      </w:r>
    </w:p>
    <w:p>
      <w:pPr>
        <w:spacing w:after="0" w:line="117" w:lineRule="exact"/>
        <w:rPr>
          <w:rFonts w:ascii="Arial" w:cs="Arial" w:eastAsia="Arial" w:hAnsi="Arial"/>
          <w:sz w:val="18"/>
          <w:szCs w:val="18"/>
          <w:color w:val="auto"/>
        </w:rPr>
      </w:pPr>
    </w:p>
    <w:p>
      <w:pPr>
        <w:ind w:left="1040" w:right="420" w:hanging="519"/>
        <w:spacing w:after="0" w:line="277"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Gross margin as a percentage of net sales improved to 41.5% compared with 40.8%. Product sourcing costs, which are included in selling, general and administrative expenses, remained flat.</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Selling, general and administrative expenses as a percentage of net sales improved to 30.6% compared with 31.0%.</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earned net income of $384.9 million compared with $215.9 million.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Adjusted Net Income (as defined in the section below entitled “Key Performance Measures”) improved $173.5 million to $405.8 million.</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Adjusted EBITDA (as defined in the section below entitled “Key Performance Measures”) improved $111.5 million to $696.1 million.</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Adjusted EBIT (as defined in the section below entitled “Key Performance Measures”) improved $93.5 million to $518.3 million.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Weather-Related Incidents</w:t>
      </w:r>
    </w:p>
    <w:p>
      <w:pPr>
        <w:spacing w:after="0" w:line="225" w:lineRule="exact"/>
        <w:rPr>
          <w:sz w:val="20"/>
          <w:szCs w:val="20"/>
          <w:color w:val="auto"/>
        </w:rPr>
      </w:pPr>
    </w:p>
    <w:p>
      <w:pPr>
        <w:ind w:right="120" w:firstLine="518"/>
        <w:spacing w:after="0" w:line="302" w:lineRule="auto"/>
        <w:rPr>
          <w:sz w:val="20"/>
          <w:szCs w:val="20"/>
          <w:color w:val="auto"/>
        </w:rPr>
      </w:pPr>
      <w:r>
        <w:rPr>
          <w:rFonts w:ascii="Arial" w:cs="Arial" w:eastAsia="Arial" w:hAnsi="Arial"/>
          <w:sz w:val="16"/>
          <w:szCs w:val="16"/>
          <w:color w:val="auto"/>
        </w:rPr>
        <w:t>As a result of the effects of certain weather-related incidents during Fiscal 2017, 82 of our stores were closed for at least one day. We incurred losses of $23.1 million related to these closures, as well as repair and maintenance costs related to the clean-up of these stores. As of February 3, 2018, we received approximately $11.7 million of insurance proceeds to offset some of the losses. In addition, we have recorded an $8.9 million receivable related to these losses as of February 3, 2018, as the collection is deemed probable based on the insurance contracts we had in place at the time of the losses.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i w:val="1"/>
          <w:iCs w:val="1"/>
          <w:color w:val="auto"/>
        </w:rPr>
        <w:t>Term Loan Repricing and Extension</w:t>
      </w:r>
    </w:p>
    <w:p>
      <w:pPr>
        <w:spacing w:after="0" w:line="333" w:lineRule="exact"/>
        <w:rPr>
          <w:sz w:val="20"/>
          <w:szCs w:val="20"/>
          <w:color w:val="auto"/>
        </w:rPr>
      </w:pPr>
    </w:p>
    <w:p>
      <w:pPr>
        <w:ind w:right="40" w:firstLine="761"/>
        <w:spacing w:after="0" w:line="297" w:lineRule="auto"/>
        <w:rPr>
          <w:sz w:val="20"/>
          <w:szCs w:val="20"/>
          <w:color w:val="auto"/>
        </w:rPr>
      </w:pPr>
      <w:r>
        <w:rPr>
          <w:rFonts w:ascii="Arial" w:cs="Arial" w:eastAsia="Arial" w:hAnsi="Arial"/>
          <w:sz w:val="16"/>
          <w:szCs w:val="16"/>
          <w:color w:val="auto"/>
        </w:rPr>
        <w:t>On November 17, 2017, we completed the repricing and extension of our senior secured term loan facility (the Term Loan Facility), which, among other things, reduced the interest rate margins applicable under the Term Loan Facility from 1.75% to 1.50% in the case of prime rate loans, and from 2.75% to 2.50% in the case of LIBOR loans, with the LIBOR floor continuing to be 0.75%. We also extended the maturity date from August 13, 2021 to November 17, 2024. As a result of this transaction, we recognized a non-cash loss on the extinguishment of debt of $2.9 million. Also in connection with the transaction, we incurred fees of $2.3 million. Refer to Note 7 to our Consolidated Financial Statements, “Long Term Debt,” for further explanation.</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Store Openings, Closings and Relocations</w:t>
      </w:r>
    </w:p>
    <w:p>
      <w:pPr>
        <w:spacing w:after="0" w:line="117" w:lineRule="exact"/>
        <w:rPr>
          <w:sz w:val="20"/>
          <w:szCs w:val="20"/>
          <w:color w:val="auto"/>
        </w:rPr>
      </w:pPr>
    </w:p>
    <w:p>
      <w:pPr>
        <w:ind w:right="440" w:firstLine="518"/>
        <w:spacing w:after="0" w:line="325" w:lineRule="auto"/>
        <w:rPr>
          <w:sz w:val="20"/>
          <w:szCs w:val="20"/>
          <w:color w:val="auto"/>
        </w:rPr>
      </w:pPr>
      <w:r>
        <w:rPr>
          <w:rFonts w:ascii="Arial" w:cs="Arial" w:eastAsia="Arial" w:hAnsi="Arial"/>
          <w:sz w:val="16"/>
          <w:szCs w:val="16"/>
          <w:color w:val="auto"/>
        </w:rPr>
        <w:t>During Fiscal 2017, we opened 48 new stores, inclusive of five relocations, and closed six stores, exclusive of the aforementioned relocations, bringing our store count as of February 3, 2018 to 629 stores, inclusive of an internet store. We continue to pursue our growth plans and invest in capital</w:t>
      </w:r>
    </w:p>
    <w:p>
      <w:pPr>
        <w:spacing w:after="0" w:line="1" w:lineRule="exact"/>
        <w:rPr>
          <w:sz w:val="20"/>
          <w:szCs w:val="20"/>
          <w:color w:val="auto"/>
        </w:rPr>
      </w:pPr>
    </w:p>
    <w:p>
      <w:pPr>
        <w:ind w:right="400"/>
        <w:spacing w:after="0" w:line="293" w:lineRule="auto"/>
        <w:rPr>
          <w:sz w:val="20"/>
          <w:szCs w:val="20"/>
          <w:color w:val="auto"/>
        </w:rPr>
      </w:pPr>
      <w:r>
        <w:rPr>
          <w:rFonts w:ascii="Arial" w:cs="Arial" w:eastAsia="Arial" w:hAnsi="Arial"/>
          <w:sz w:val="18"/>
          <w:szCs w:val="18"/>
          <w:color w:val="auto"/>
        </w:rPr>
        <w:t>projects that meet our financial requirements. During the fiscal year ending February 2, 2019 (Fiscal 2018), we plan to open 35-40 net new stores, which includes 60 gross new stores, along with 20 to 25 store relocations and closings.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Federal Tax Reform</w:t>
      </w:r>
    </w:p>
    <w:p>
      <w:pPr>
        <w:spacing w:after="0" w:line="117" w:lineRule="exact"/>
        <w:rPr>
          <w:sz w:val="20"/>
          <w:szCs w:val="20"/>
          <w:color w:val="auto"/>
        </w:rPr>
      </w:pPr>
    </w:p>
    <w:p>
      <w:pPr>
        <w:jc w:val="both"/>
        <w:ind w:right="200" w:firstLine="518"/>
        <w:spacing w:after="0" w:line="259" w:lineRule="auto"/>
        <w:rPr>
          <w:sz w:val="20"/>
          <w:szCs w:val="20"/>
          <w:color w:val="auto"/>
        </w:rPr>
      </w:pPr>
      <w:r>
        <w:rPr>
          <w:rFonts w:ascii="Arial" w:cs="Arial" w:eastAsia="Arial" w:hAnsi="Arial"/>
          <w:sz w:val="18"/>
          <w:szCs w:val="18"/>
          <w:color w:val="auto"/>
        </w:rPr>
        <w:t>The 2017 U.S. Tax Cuts and Jobs Act (the Tax Act) was signed into law on December 22, 2017. The Tax Act significantly revises the U.S. corporate income tax by, among other things, lowering the statutory corporate income tax rate from 35% to 21%. The change reduced our effective tax rate by 21.1% for Fiscal 2017, primarily due to a one-time incremental benefit of approximately $93 million related to the re-measurement of net deferred tax positions to reflect the reduced corporate tax rate.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Newly Adopted Accounting Standards</w:t>
      </w:r>
    </w:p>
    <w:p>
      <w:pPr>
        <w:spacing w:after="0" w:line="117" w:lineRule="exact"/>
        <w:rPr>
          <w:sz w:val="20"/>
          <w:szCs w:val="20"/>
          <w:color w:val="auto"/>
        </w:rPr>
      </w:pPr>
    </w:p>
    <w:p>
      <w:pPr>
        <w:ind w:right="20" w:firstLine="588"/>
        <w:spacing w:after="0" w:line="302" w:lineRule="auto"/>
        <w:rPr>
          <w:sz w:val="20"/>
          <w:szCs w:val="20"/>
          <w:color w:val="auto"/>
        </w:rPr>
      </w:pPr>
      <w:r>
        <w:rPr>
          <w:rFonts w:ascii="Arial" w:cs="Arial" w:eastAsia="Arial" w:hAnsi="Arial"/>
          <w:sz w:val="16"/>
          <w:szCs w:val="16"/>
          <w:color w:val="auto"/>
        </w:rPr>
        <w:t>During the first quarter of Fiscal 2017, we adopted the new share based accounting standard. The primary impact of adoption was the prospective recognition of excess tax benefits in the income statement as an income tax benefit rather than equity, which lowered our effective tax rate by 440 basis points and improved our net income per share during the year ended February 3, 2018 by $0.23. Refer to Note 2 to our Consolidated Financial Statements, “Recent Accounting Pronouncements,” for a discussion of recent accounting pronouncements and their impact on our Consolidated Financial Statements.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Ongoing Initiatives for Fiscal 2018</w:t>
      </w:r>
    </w:p>
    <w:p>
      <w:pPr>
        <w:spacing w:after="0" w:line="121"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We continue to focus on a number of ongoing initiatives aimed at increasing our overall profitability by improving our comparable store sales trends, increasing total sales growth and reducing expenses. These initiatives include:</w:t>
      </w:r>
    </w:p>
    <w:p>
      <w:pPr>
        <w:spacing w:after="0" w:line="58" w:lineRule="exact"/>
        <w:rPr>
          <w:sz w:val="20"/>
          <w:szCs w:val="20"/>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Driving Comparable Store Sales Growth.</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intend to continue to increase comparable store sales through the following initiatives:</w:t>
      </w:r>
    </w:p>
    <w:p>
      <w:pPr>
        <w:spacing w:after="0" w:line="117" w:lineRule="exact"/>
        <w:rPr>
          <w:sz w:val="20"/>
          <w:szCs w:val="20"/>
          <w:color w:val="auto"/>
        </w:rPr>
      </w:pPr>
    </w:p>
    <w:p>
      <w:pPr>
        <w:ind w:left="1540" w:hanging="506"/>
        <w:spacing w:after="0" w:line="291" w:lineRule="auto"/>
        <w:tabs>
          <w:tab w:leader="none" w:pos="1540" w:val="left"/>
        </w:tabs>
        <w:numPr>
          <w:ilvl w:val="0"/>
          <w:numId w:val="16"/>
        </w:numPr>
        <w:rPr>
          <w:rFonts w:ascii="Arial" w:cs="Arial" w:eastAsia="Arial" w:hAnsi="Arial"/>
          <w:sz w:val="16"/>
          <w:szCs w:val="16"/>
          <w:color w:val="auto"/>
        </w:rPr>
      </w:pPr>
      <w:r>
        <w:rPr>
          <w:rFonts w:ascii="Arial" w:cs="Arial" w:eastAsia="Arial" w:hAnsi="Arial"/>
          <w:sz w:val="16"/>
          <w:szCs w:val="16"/>
          <w:i w:val="1"/>
          <w:iCs w:val="1"/>
          <w:color w:val="auto"/>
        </w:rPr>
        <w:t xml:space="preserve">Continuing to Enhance Execution of the Off-Price Model. </w:t>
      </w:r>
      <w:r>
        <w:rPr>
          <w:rFonts w:ascii="Arial" w:cs="Arial" w:eastAsia="Arial" w:hAnsi="Arial"/>
          <w:sz w:val="16"/>
          <w:szCs w:val="16"/>
          <w:color w:val="auto"/>
        </w:rPr>
        <w:t>We plan to drive comparable store sales by focusing on product freshness to</w:t>
      </w:r>
      <w:r>
        <w:rPr>
          <w:rFonts w:ascii="Arial" w:cs="Arial" w:eastAsia="Arial" w:hAnsi="Arial"/>
          <w:sz w:val="16"/>
          <w:szCs w:val="16"/>
          <w:i w:val="1"/>
          <w:iCs w:val="1"/>
          <w:color w:val="auto"/>
        </w:rPr>
        <w:t xml:space="preserve"> </w:t>
      </w:r>
      <w:r>
        <w:rPr>
          <w:rFonts w:ascii="Arial" w:cs="Arial" w:eastAsia="Arial" w:hAnsi="Arial"/>
          <w:sz w:val="16"/>
          <w:szCs w:val="16"/>
          <w:color w:val="auto"/>
        </w:rPr>
        <w:t>ensure that we consistently deliver newness to the selling floors. We plan to continue to reduce comparable store inventories, which we believe will result in faster inventory turnover. We maintain our ability to leverage our pack-and-hold program, which is designed to take advantage of terrific buys of either highly desirable branded product or key seasonal merchandise for the next year. While the amount of goods we purchase on pack-and-hold is purely based on the right opportunities in the marketplace, this continues to be a great avenue to source product. We also intend to use our business intelligence systems to identify sell-through rates by product, capitalize on strong performing categories, identify and buy into new fashion trends and opportunistically acquire products in the marketplace.</w:t>
      </w:r>
    </w:p>
    <w:p>
      <w:pPr>
        <w:spacing w:after="0" w:line="59" w:lineRule="exact"/>
        <w:rPr>
          <w:rFonts w:ascii="Arial" w:cs="Arial" w:eastAsia="Arial" w:hAnsi="Arial"/>
          <w:sz w:val="16"/>
          <w:szCs w:val="16"/>
          <w:color w:val="auto"/>
        </w:rPr>
      </w:pPr>
    </w:p>
    <w:p>
      <w:pPr>
        <w:ind w:left="1540" w:hanging="506"/>
        <w:spacing w:after="0" w:line="297" w:lineRule="auto"/>
        <w:tabs>
          <w:tab w:leader="none" w:pos="1540" w:val="left"/>
        </w:tabs>
        <w:numPr>
          <w:ilvl w:val="0"/>
          <w:numId w:val="16"/>
        </w:numPr>
        <w:rPr>
          <w:rFonts w:ascii="Arial" w:cs="Arial" w:eastAsia="Arial" w:hAnsi="Arial"/>
          <w:sz w:val="16"/>
          <w:szCs w:val="16"/>
          <w:color w:val="auto"/>
        </w:rPr>
      </w:pPr>
      <w:r>
        <w:rPr>
          <w:rFonts w:ascii="Arial" w:cs="Arial" w:eastAsia="Arial" w:hAnsi="Arial"/>
          <w:sz w:val="16"/>
          <w:szCs w:val="16"/>
          <w:i w:val="1"/>
          <w:iCs w:val="1"/>
          <w:color w:val="auto"/>
        </w:rPr>
        <w:t xml:space="preserve">Sharpening Focus on Our Core Female Customer. </w:t>
      </w:r>
      <w:r>
        <w:rPr>
          <w:rFonts w:ascii="Arial" w:cs="Arial" w:eastAsia="Arial" w:hAnsi="Arial"/>
          <w:sz w:val="16"/>
          <w:szCs w:val="16"/>
          <w:color w:val="auto"/>
        </w:rPr>
        <w:t>We have focused on better serving our core female customer, a brand-conscious</w:t>
      </w:r>
      <w:r>
        <w:rPr>
          <w:rFonts w:ascii="Arial" w:cs="Arial" w:eastAsia="Arial" w:hAnsi="Arial"/>
          <w:sz w:val="16"/>
          <w:szCs w:val="16"/>
          <w:i w:val="1"/>
          <w:iCs w:val="1"/>
          <w:color w:val="auto"/>
        </w:rPr>
        <w:t xml:space="preserve"> </w:t>
      </w:r>
      <w:r>
        <w:rPr>
          <w:rFonts w:ascii="Arial" w:cs="Arial" w:eastAsia="Arial" w:hAnsi="Arial"/>
          <w:sz w:val="16"/>
          <w:szCs w:val="16"/>
          <w:color w:val="auto"/>
        </w:rPr>
        <w:t>fashion enthusiast, aged 25-49, with an average annual household income of $25,000-$100,000, by improving our product offering, store merchandising and marketing focus on women’s ready-to-wear apparel and accessories to capture incremental sales from our core female customer and become a destination for her across all categories. We believe that these efforts will increase the frequency of her visits and her average spend, further improving the comparable store sales performance in women’s categories.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6" w:name="page27"/>
    <w:bookmarkEnd w:id="26"/>
    <w:p>
      <w:pPr>
        <w:ind w:left="1020" w:hanging="506"/>
        <w:spacing w:after="0" w:line="289" w:lineRule="auto"/>
        <w:tabs>
          <w:tab w:leader="none" w:pos="1020" w:val="left"/>
        </w:tabs>
        <w:numPr>
          <w:ilvl w:val="1"/>
          <w:numId w:val="17"/>
        </w:numPr>
        <w:rPr>
          <w:rFonts w:ascii="Arial" w:cs="Arial" w:eastAsia="Arial" w:hAnsi="Arial"/>
          <w:sz w:val="16"/>
          <w:szCs w:val="16"/>
          <w:color w:val="auto"/>
        </w:rPr>
      </w:pPr>
      <w:r>
        <w:rPr>
          <w:rFonts w:ascii="Arial" w:cs="Arial" w:eastAsia="Arial" w:hAnsi="Arial"/>
          <w:sz w:val="16"/>
          <w:szCs w:val="16"/>
          <w:i w:val="1"/>
          <w:iCs w:val="1"/>
          <w:color w:val="auto"/>
        </w:rPr>
        <w:t xml:space="preserve">Continuing to Improve Our Customer Experience. </w:t>
      </w:r>
      <w:r>
        <w:rPr>
          <w:rFonts w:ascii="Arial" w:cs="Arial" w:eastAsia="Arial" w:hAnsi="Arial"/>
          <w:sz w:val="16"/>
          <w:szCs w:val="16"/>
          <w:color w:val="auto"/>
        </w:rPr>
        <w:t>We have significantly enhanced the store experience and ease of shopping at all of our</w:t>
      </w:r>
      <w:r>
        <w:rPr>
          <w:rFonts w:ascii="Arial" w:cs="Arial" w:eastAsia="Arial" w:hAnsi="Arial"/>
          <w:sz w:val="16"/>
          <w:szCs w:val="16"/>
          <w:i w:val="1"/>
          <w:iCs w:val="1"/>
          <w:color w:val="auto"/>
        </w:rPr>
        <w:t xml:space="preserve"> </w:t>
      </w:r>
      <w:r>
        <w:rPr>
          <w:rFonts w:ascii="Arial" w:cs="Arial" w:eastAsia="Arial" w:hAnsi="Arial"/>
          <w:sz w:val="16"/>
          <w:szCs w:val="16"/>
          <w:color w:val="auto"/>
        </w:rPr>
        <w:t>stores by implementing a comprehensive program focused on offering more brands and styles and simplifying store navigation. We have accomplished this by utilizing clear way-finding signs and distinct product signage, highlighting key brands and new arrivals, improving organization of the floor space, reducing rack density, facilitating quicker checkouts and delivering better customer service. We have made particular improvements in product size visibility, queuing and fitting rooms. To ensure consistent execution of our customer experience priorities, we have improved our store associate training and reorganized and strengthened our field management organization. Our much improved store experience continues to resonate with our customers. We continue to refine our online customer survey to provide more actionable customer feedback to stores. Stores develop action plans to address clearly identified areas of focus. Store managers have the ability to review immediate feedback from their customers, and react accordingly.</w:t>
      </w:r>
    </w:p>
    <w:p>
      <w:pPr>
        <w:spacing w:after="0" w:line="58" w:lineRule="exact"/>
        <w:rPr>
          <w:rFonts w:ascii="Arial" w:cs="Arial" w:eastAsia="Arial" w:hAnsi="Arial"/>
          <w:sz w:val="16"/>
          <w:szCs w:val="16"/>
          <w:color w:val="auto"/>
        </w:rPr>
      </w:pPr>
    </w:p>
    <w:p>
      <w:pPr>
        <w:ind w:left="1020" w:hanging="506"/>
        <w:spacing w:after="0" w:line="264" w:lineRule="auto"/>
        <w:tabs>
          <w:tab w:leader="none" w:pos="1020" w:val="left"/>
        </w:tabs>
        <w:numPr>
          <w:ilvl w:val="1"/>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Increasing Our Sales through e-Commerce. </w:t>
      </w:r>
      <w:r>
        <w:rPr>
          <w:rFonts w:ascii="Arial" w:cs="Arial" w:eastAsia="Arial" w:hAnsi="Arial"/>
          <w:sz w:val="18"/>
          <w:szCs w:val="18"/>
          <w:color w:val="auto"/>
        </w:rPr>
        <w:t>We have been selling to our customers online for more than a decade. We plan to leverage</w:t>
      </w:r>
      <w:r>
        <w:rPr>
          <w:rFonts w:ascii="Arial" w:cs="Arial" w:eastAsia="Arial" w:hAnsi="Arial"/>
          <w:sz w:val="18"/>
          <w:szCs w:val="18"/>
          <w:i w:val="1"/>
          <w:iCs w:val="1"/>
          <w:color w:val="auto"/>
        </w:rPr>
        <w:t xml:space="preserve"> </w:t>
      </w:r>
      <w:r>
        <w:rPr>
          <w:rFonts w:ascii="Arial" w:cs="Arial" w:eastAsia="Arial" w:hAnsi="Arial"/>
          <w:sz w:val="18"/>
          <w:szCs w:val="18"/>
          <w:color w:val="auto"/>
        </w:rPr>
        <w:t>this heritage and continue to utilize e-commerce strategies offering merchandise to our customers while driving incremental traffic to our stores.</w:t>
      </w:r>
    </w:p>
    <w:p>
      <w:pPr>
        <w:spacing w:after="0" w:line="73" w:lineRule="exact"/>
        <w:rPr>
          <w:rFonts w:ascii="Arial" w:cs="Arial" w:eastAsia="Arial" w:hAnsi="Arial"/>
          <w:sz w:val="18"/>
          <w:szCs w:val="18"/>
          <w:color w:val="auto"/>
        </w:rPr>
      </w:pPr>
    </w:p>
    <w:p>
      <w:pPr>
        <w:ind w:left="1020" w:right="360" w:hanging="506"/>
        <w:spacing w:after="0" w:line="286" w:lineRule="auto"/>
        <w:tabs>
          <w:tab w:leader="none" w:pos="1020" w:val="left"/>
        </w:tabs>
        <w:numPr>
          <w:ilvl w:val="1"/>
          <w:numId w:val="17"/>
        </w:numPr>
        <w:rPr>
          <w:rFonts w:ascii="Arial" w:cs="Arial" w:eastAsia="Arial" w:hAnsi="Arial"/>
          <w:sz w:val="17"/>
          <w:szCs w:val="17"/>
          <w:color w:val="auto"/>
        </w:rPr>
      </w:pPr>
      <w:r>
        <w:rPr>
          <w:rFonts w:ascii="Arial" w:cs="Arial" w:eastAsia="Arial" w:hAnsi="Arial"/>
          <w:sz w:val="17"/>
          <w:szCs w:val="17"/>
          <w:i w:val="1"/>
          <w:iCs w:val="1"/>
          <w:color w:val="auto"/>
        </w:rPr>
        <w:t xml:space="preserve">Enhancing Existing Categories and Introducing New Categories. </w:t>
      </w:r>
      <w:r>
        <w:rPr>
          <w:rFonts w:ascii="Arial" w:cs="Arial" w:eastAsia="Arial" w:hAnsi="Arial"/>
          <w:sz w:val="17"/>
          <w:szCs w:val="17"/>
          <w:color w:val="auto"/>
        </w:rPr>
        <w:t>We have opportunities to expand the depth and breadth of certain</w:t>
      </w:r>
      <w:r>
        <w:rPr>
          <w:rFonts w:ascii="Arial" w:cs="Arial" w:eastAsia="Arial" w:hAnsi="Arial"/>
          <w:sz w:val="17"/>
          <w:szCs w:val="17"/>
          <w:i w:val="1"/>
          <w:iCs w:val="1"/>
          <w:color w:val="auto"/>
        </w:rPr>
        <w:t xml:space="preserve"> </w:t>
      </w:r>
      <w:r>
        <w:rPr>
          <w:rFonts w:ascii="Arial" w:cs="Arial" w:eastAsia="Arial" w:hAnsi="Arial"/>
          <w:sz w:val="17"/>
          <w:szCs w:val="17"/>
          <w:color w:val="auto"/>
        </w:rPr>
        <w:t>existing categories such as ladies’ apparel, children’s products, bath and cosmetic merchandise, housewares, décor for the home and beauty as we continue to de-weather our business, and maintain the flexibility to introduce new categories.</w:t>
      </w:r>
    </w:p>
    <w:p>
      <w:pPr>
        <w:spacing w:after="0" w:line="161" w:lineRule="exact"/>
        <w:rPr>
          <w:rFonts w:ascii="Arial" w:cs="Arial" w:eastAsia="Arial" w:hAnsi="Arial"/>
          <w:sz w:val="17"/>
          <w:szCs w:val="17"/>
          <w:color w:val="auto"/>
        </w:rPr>
      </w:pPr>
    </w:p>
    <w:p>
      <w:pPr>
        <w:ind w:left="520" w:hanging="519"/>
        <w:spacing w:after="0"/>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Expanding, Modernizing and Optimizing Our Store Fleet.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intend to expand and enhance our retail store base through the following initiatives:</w:t>
      </w:r>
    </w:p>
    <w:p>
      <w:pPr>
        <w:spacing w:after="0" w:line="117" w:lineRule="exact"/>
        <w:rPr>
          <w:sz w:val="20"/>
          <w:szCs w:val="20"/>
          <w:color w:val="auto"/>
        </w:rPr>
      </w:pPr>
    </w:p>
    <w:p>
      <w:pPr>
        <w:ind w:left="1020" w:right="220" w:hanging="506"/>
        <w:spacing w:after="0" w:line="259" w:lineRule="auto"/>
        <w:tabs>
          <w:tab w:leader="none" w:pos="1020" w:val="left"/>
        </w:tabs>
        <w:numPr>
          <w:ilvl w:val="1"/>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Adhering to a Market Focused and Financially Disciplined Real Estate Strategy. </w:t>
      </w:r>
      <w:r>
        <w:rPr>
          <w:rFonts w:ascii="Arial" w:cs="Arial" w:eastAsia="Arial" w:hAnsi="Arial"/>
          <w:sz w:val="18"/>
          <w:szCs w:val="18"/>
          <w:color w:val="auto"/>
        </w:rPr>
        <w:t>We have grown our store base consistently since our</w:t>
      </w:r>
      <w:r>
        <w:rPr>
          <w:rFonts w:ascii="Arial" w:cs="Arial" w:eastAsia="Arial" w:hAnsi="Arial"/>
          <w:sz w:val="18"/>
          <w:szCs w:val="18"/>
          <w:i w:val="1"/>
          <w:iCs w:val="1"/>
          <w:color w:val="auto"/>
        </w:rPr>
        <w:t xml:space="preserve"> </w:t>
      </w:r>
      <w:r>
        <w:rPr>
          <w:rFonts w:ascii="Arial" w:cs="Arial" w:eastAsia="Arial" w:hAnsi="Arial"/>
          <w:sz w:val="18"/>
          <w:szCs w:val="18"/>
          <w:color w:val="auto"/>
        </w:rPr>
        <w:t>founding in 1972, developing more than 99% of our stores organically. We believe there is significant opportunity to expand our retail store base in the United States. Our goal is to open 35-40 net new stores during Fiscal 2018, and to open a minimum of 30 net new Burlington Stores annually going forward.</w:t>
      </w:r>
    </w:p>
    <w:p>
      <w:pPr>
        <w:spacing w:after="0" w:line="78" w:lineRule="exact"/>
        <w:rPr>
          <w:rFonts w:ascii="Arial" w:cs="Arial" w:eastAsia="Arial" w:hAnsi="Arial"/>
          <w:sz w:val="18"/>
          <w:szCs w:val="18"/>
          <w:color w:val="auto"/>
        </w:rPr>
      </w:pPr>
    </w:p>
    <w:p>
      <w:pPr>
        <w:ind w:left="1020" w:right="40" w:hanging="506"/>
        <w:spacing w:after="0" w:line="255" w:lineRule="auto"/>
        <w:tabs>
          <w:tab w:leader="none" w:pos="1020" w:val="left"/>
        </w:tabs>
        <w:numPr>
          <w:ilvl w:val="1"/>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Maintaining Focus on Unit Economics and Returns. </w:t>
      </w:r>
      <w:r>
        <w:rPr>
          <w:rFonts w:ascii="Arial" w:cs="Arial" w:eastAsia="Arial" w:hAnsi="Arial"/>
          <w:sz w:val="18"/>
          <w:szCs w:val="18"/>
          <w:color w:val="auto"/>
        </w:rPr>
        <w:t>We have adopted a market focused approach to new store openings with a specific</w:t>
      </w:r>
      <w:r>
        <w:rPr>
          <w:rFonts w:ascii="Arial" w:cs="Arial" w:eastAsia="Arial" w:hAnsi="Arial"/>
          <w:sz w:val="18"/>
          <w:szCs w:val="18"/>
          <w:i w:val="1"/>
          <w:iCs w:val="1"/>
          <w:color w:val="auto"/>
        </w:rPr>
        <w:t xml:space="preserve"> </w:t>
      </w:r>
      <w:r>
        <w:rPr>
          <w:rFonts w:ascii="Arial" w:cs="Arial" w:eastAsia="Arial" w:hAnsi="Arial"/>
          <w:sz w:val="18"/>
          <w:szCs w:val="18"/>
          <w:color w:val="auto"/>
        </w:rPr>
        <w:t>focus on maximizing sales while achieving attractive unit economics and returns. This focus is demonstrated by the fact that more than 98% of our existing stores had positive Adjusted EBITDA for Fiscal 2017. By focusing on opening stores with attractive unit economics, we are able to achieve attractive returns on capital and continue to grow our margins. We believe that, as we continue to reduce our comparable store inventory, we will be able to reduce the square footage of our stores while continuing to maintain our broad assortment.</w:t>
      </w:r>
    </w:p>
    <w:p>
      <w:pPr>
        <w:spacing w:after="0" w:line="85" w:lineRule="exact"/>
        <w:rPr>
          <w:rFonts w:ascii="Arial" w:cs="Arial" w:eastAsia="Arial" w:hAnsi="Arial"/>
          <w:sz w:val="18"/>
          <w:szCs w:val="18"/>
          <w:color w:val="auto"/>
        </w:rPr>
      </w:pPr>
    </w:p>
    <w:p>
      <w:pPr>
        <w:ind w:left="1020" w:right="120" w:hanging="506"/>
        <w:spacing w:after="0" w:line="276" w:lineRule="auto"/>
        <w:tabs>
          <w:tab w:leader="none" w:pos="1020" w:val="left"/>
        </w:tabs>
        <w:numPr>
          <w:ilvl w:val="1"/>
          <w:numId w:val="18"/>
        </w:numPr>
        <w:rPr>
          <w:rFonts w:ascii="Arial" w:cs="Arial" w:eastAsia="Arial" w:hAnsi="Arial"/>
          <w:sz w:val="17"/>
          <w:szCs w:val="17"/>
          <w:color w:val="auto"/>
        </w:rPr>
      </w:pPr>
      <w:r>
        <w:rPr>
          <w:rFonts w:ascii="Arial" w:cs="Arial" w:eastAsia="Arial" w:hAnsi="Arial"/>
          <w:sz w:val="17"/>
          <w:szCs w:val="17"/>
          <w:i w:val="1"/>
          <w:iCs w:val="1"/>
          <w:color w:val="auto"/>
        </w:rPr>
        <w:t xml:space="preserve">Enhancing the Store Experience Through Store Remodels. </w:t>
      </w:r>
      <w:r>
        <w:rPr>
          <w:rFonts w:ascii="Arial" w:cs="Arial" w:eastAsia="Arial" w:hAnsi="Arial"/>
          <w:sz w:val="17"/>
          <w:szCs w:val="17"/>
          <w:color w:val="auto"/>
        </w:rPr>
        <w:t>We continue to invest in store remodels on a store-by-store basis where</w:t>
      </w:r>
      <w:r>
        <w:rPr>
          <w:rFonts w:ascii="Arial" w:cs="Arial" w:eastAsia="Arial" w:hAnsi="Arial"/>
          <w:sz w:val="17"/>
          <w:szCs w:val="17"/>
          <w:i w:val="1"/>
          <w:iCs w:val="1"/>
          <w:color w:val="auto"/>
        </w:rPr>
        <w:t xml:space="preserve"> </w:t>
      </w:r>
      <w:r>
        <w:rPr>
          <w:rFonts w:ascii="Arial" w:cs="Arial" w:eastAsia="Arial" w:hAnsi="Arial"/>
          <w:sz w:val="17"/>
          <w:szCs w:val="17"/>
          <w:color w:val="auto"/>
        </w:rPr>
        <w:t>appropriate, taking into consideration the age, sales and profitability of a store, as well as the potential impact to the customer shopping experience. During Fiscal 2017, we remodeled 34 of our stores. In our remodeled stores, we have typically incorporated new flooring, painting, lighting and graphics, relocated our fitting rooms to maximize productive selling space, added new departments such as home and accessories and made various other improvements as appropriate by location.</w:t>
      </w:r>
    </w:p>
    <w:p>
      <w:pPr>
        <w:spacing w:after="0" w:line="168" w:lineRule="exact"/>
        <w:rPr>
          <w:rFonts w:ascii="Arial" w:cs="Arial" w:eastAsia="Arial" w:hAnsi="Arial"/>
          <w:sz w:val="17"/>
          <w:szCs w:val="17"/>
          <w:color w:val="auto"/>
        </w:rPr>
      </w:pPr>
    </w:p>
    <w:p>
      <w:pPr>
        <w:ind w:left="520" w:hanging="519"/>
        <w:spacing w:after="0"/>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Increasing Operating Margins.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intend to increase our operating margins through the following initiatives:</w:t>
      </w:r>
    </w:p>
    <w:p>
      <w:pPr>
        <w:spacing w:after="0" w:line="117" w:lineRule="exact"/>
        <w:rPr>
          <w:sz w:val="20"/>
          <w:szCs w:val="20"/>
          <w:color w:val="auto"/>
        </w:rPr>
      </w:pPr>
    </w:p>
    <w:p>
      <w:pPr>
        <w:jc w:val="both"/>
        <w:ind w:left="1020" w:right="260" w:hanging="506"/>
        <w:spacing w:after="0" w:line="264"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Optimize Markdowns. </w:t>
      </w:r>
      <w:r>
        <w:rPr>
          <w:rFonts w:ascii="Arial" w:cs="Arial" w:eastAsia="Arial" w:hAnsi="Arial"/>
          <w:sz w:val="18"/>
          <w:szCs w:val="18"/>
          <w:color w:val="auto"/>
        </w:rPr>
        <w:t>We believe that our markdown system allows us to maximize sales and gross margin dollars based on forward-looking sales forecasts, sell-through targets and exit dates. This allows us to optimize markdowns at the style and color level by store cluster.</w:t>
      </w:r>
    </w:p>
    <w:p>
      <w:pPr>
        <w:spacing w:after="0" w:line="73" w:lineRule="exact"/>
        <w:rPr>
          <w:rFonts w:ascii="Arial" w:cs="Arial" w:eastAsia="Arial" w:hAnsi="Arial"/>
          <w:sz w:val="18"/>
          <w:szCs w:val="18"/>
          <w:color w:val="auto"/>
        </w:rPr>
      </w:pPr>
    </w:p>
    <w:p>
      <w:pPr>
        <w:ind w:left="1020" w:right="40" w:hanging="506"/>
        <w:spacing w:after="0" w:line="342" w:lineRule="auto"/>
        <w:tabs>
          <w:tab w:leader="none" w:pos="1020" w:val="left"/>
        </w:tabs>
        <w:numPr>
          <w:ilvl w:val="0"/>
          <w:numId w:val="19"/>
        </w:numPr>
        <w:rPr>
          <w:rFonts w:ascii="Arial" w:cs="Arial" w:eastAsia="Arial" w:hAnsi="Arial"/>
          <w:sz w:val="16"/>
          <w:szCs w:val="16"/>
          <w:color w:val="auto"/>
        </w:rPr>
      </w:pPr>
      <w:r>
        <w:rPr>
          <w:rFonts w:ascii="Arial" w:cs="Arial" w:eastAsia="Arial" w:hAnsi="Arial"/>
          <w:sz w:val="16"/>
          <w:szCs w:val="16"/>
          <w:i w:val="1"/>
          <w:iCs w:val="1"/>
          <w:color w:val="auto"/>
        </w:rPr>
        <w:t xml:space="preserve">Enhance Purchasing Power. </w:t>
      </w:r>
      <w:r>
        <w:rPr>
          <w:rFonts w:ascii="Arial" w:cs="Arial" w:eastAsia="Arial" w:hAnsi="Arial"/>
          <w:sz w:val="16"/>
          <w:szCs w:val="16"/>
          <w:color w:val="auto"/>
        </w:rPr>
        <w:t>We believe that our increasing size and West Coast buying office provide us with the opportunity to capture</w:t>
      </w:r>
      <w:r>
        <w:rPr>
          <w:rFonts w:ascii="Arial" w:cs="Arial" w:eastAsia="Arial" w:hAnsi="Arial"/>
          <w:sz w:val="16"/>
          <w:szCs w:val="16"/>
          <w:i w:val="1"/>
          <w:iCs w:val="1"/>
          <w:color w:val="auto"/>
        </w:rPr>
        <w:t xml:space="preserve"> </w:t>
      </w:r>
      <w:r>
        <w:rPr>
          <w:rFonts w:ascii="Arial" w:cs="Arial" w:eastAsia="Arial" w:hAnsi="Arial"/>
          <w:sz w:val="16"/>
          <w:szCs w:val="16"/>
          <w:color w:val="auto"/>
        </w:rPr>
        <w:t>incremental buying opportunities and realize economies of scale in our merchandising and non-merchandising purchasing activities.</w:t>
      </w:r>
    </w:p>
    <w:p>
      <w:pPr>
        <w:spacing w:after="0" w:line="15" w:lineRule="exact"/>
        <w:rPr>
          <w:rFonts w:ascii="Arial" w:cs="Arial" w:eastAsia="Arial" w:hAnsi="Arial"/>
          <w:sz w:val="16"/>
          <w:szCs w:val="16"/>
          <w:color w:val="auto"/>
        </w:rPr>
      </w:pPr>
    </w:p>
    <w:p>
      <w:pPr>
        <w:ind w:left="1020" w:right="620" w:hanging="506"/>
        <w:spacing w:after="0" w:line="308" w:lineRule="auto"/>
        <w:tabs>
          <w:tab w:leader="none" w:pos="1020" w:val="left"/>
        </w:tabs>
        <w:numPr>
          <w:ilvl w:val="0"/>
          <w:numId w:val="19"/>
        </w:numPr>
        <w:rPr>
          <w:rFonts w:ascii="Arial" w:cs="Arial" w:eastAsia="Arial" w:hAnsi="Arial"/>
          <w:sz w:val="17"/>
          <w:szCs w:val="17"/>
          <w:color w:val="auto"/>
        </w:rPr>
      </w:pPr>
      <w:r>
        <w:rPr>
          <w:rFonts w:ascii="Arial" w:cs="Arial" w:eastAsia="Arial" w:hAnsi="Arial"/>
          <w:sz w:val="17"/>
          <w:szCs w:val="17"/>
          <w:i w:val="1"/>
          <w:iCs w:val="1"/>
          <w:color w:val="auto"/>
        </w:rPr>
        <w:t xml:space="preserve">Drive Operating Leverage. </w:t>
      </w:r>
      <w:r>
        <w:rPr>
          <w:rFonts w:ascii="Arial" w:cs="Arial" w:eastAsia="Arial" w:hAnsi="Arial"/>
          <w:sz w:val="17"/>
          <w:szCs w:val="17"/>
          <w:color w:val="auto"/>
        </w:rPr>
        <w:t>We believe that we will be able to leverage our growing sales over the fixed costs of our business. In</w:t>
      </w:r>
      <w:r>
        <w:rPr>
          <w:rFonts w:ascii="Arial" w:cs="Arial" w:eastAsia="Arial" w:hAnsi="Arial"/>
          <w:sz w:val="17"/>
          <w:szCs w:val="17"/>
          <w:i w:val="1"/>
          <w:iCs w:val="1"/>
          <w:color w:val="auto"/>
        </w:rPr>
        <w:t xml:space="preserve"> </w:t>
      </w:r>
      <w:r>
        <w:rPr>
          <w:rFonts w:ascii="Arial" w:cs="Arial" w:eastAsia="Arial" w:hAnsi="Arial"/>
          <w:sz w:val="17"/>
          <w:szCs w:val="17"/>
          <w:color w:val="auto"/>
        </w:rPr>
        <w:t>addition, we are focused on continuing to improve the efficiency of our corporate and in-store operations.</w:t>
      </w:r>
    </w:p>
    <w:p>
      <w:pPr>
        <w:spacing w:after="0" w:line="147"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00"/>
          </w:cols>
          <w:pgMar w:left="760" w:top="449"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Uncertainties and Challenges</w:t>
      </w:r>
    </w:p>
    <w:p>
      <w:pPr>
        <w:spacing w:after="0" w:line="117" w:lineRule="exact"/>
        <w:rPr>
          <w:sz w:val="20"/>
          <w:szCs w:val="20"/>
          <w:color w:val="auto"/>
        </w:rPr>
      </w:pPr>
    </w:p>
    <w:p>
      <w:pPr>
        <w:ind w:right="60" w:firstLine="518"/>
        <w:spacing w:after="0" w:line="302" w:lineRule="auto"/>
        <w:rPr>
          <w:sz w:val="20"/>
          <w:szCs w:val="20"/>
          <w:color w:val="auto"/>
        </w:rPr>
      </w:pPr>
      <w:r>
        <w:rPr>
          <w:rFonts w:ascii="Arial" w:cs="Arial" w:eastAsia="Arial" w:hAnsi="Arial"/>
          <w:sz w:val="16"/>
          <w:szCs w:val="16"/>
          <w:color w:val="auto"/>
        </w:rPr>
        <w:t>As we strive to increase profitability through achieving positive comparable store sales and leveraging productivity initiatives focused on improving the in-store experience, more efficient movement of products from the vendors to the selling floors, and modifying our marketing plans to increase our core customer base and increase our share of our current customers’ spending, there are uncertainties and challenges that we face as an off-price retailer of apparel and accessories for men, women and children and home furnishings that could have a material impact on our revenues or income.</w:t>
      </w:r>
    </w:p>
    <w:p>
      <w:pPr>
        <w:spacing w:after="0" w:line="154"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i w:val="1"/>
          <w:iCs w:val="1"/>
          <w:color w:val="auto"/>
        </w:rPr>
        <w:t>Seasonality of Sales and Weather Conditions</w:t>
      </w:r>
      <w:r>
        <w:rPr>
          <w:rFonts w:ascii="Arial" w:cs="Arial" w:eastAsia="Arial" w:hAnsi="Arial"/>
          <w:sz w:val="18"/>
          <w:szCs w:val="18"/>
          <w:color w:val="auto"/>
        </w:rPr>
        <w:t>. Our sales, like most other retailers, are subject to seasonal influences, with the majority of our sales and</w:t>
      </w:r>
      <w:r>
        <w:rPr>
          <w:rFonts w:ascii="Arial" w:cs="Arial" w:eastAsia="Arial" w:hAnsi="Arial"/>
          <w:sz w:val="18"/>
          <w:szCs w:val="18"/>
          <w:i w:val="1"/>
          <w:iCs w:val="1"/>
          <w:color w:val="auto"/>
        </w:rPr>
        <w:t xml:space="preserve"> </w:t>
      </w:r>
      <w:r>
        <w:rPr>
          <w:rFonts w:ascii="Arial" w:cs="Arial" w:eastAsia="Arial" w:hAnsi="Arial"/>
          <w:sz w:val="18"/>
          <w:szCs w:val="18"/>
          <w:color w:val="auto"/>
        </w:rPr>
        <w:t>net income derived during the second half of the year, which includes the back-to-school and holiday seasons.</w:t>
      </w:r>
    </w:p>
    <w:p>
      <w:pPr>
        <w:spacing w:after="0" w:line="170"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Weather continues to be a contributing factor to the sale of our clothing. Generally, our sales are higher if the weather is cold during the Fall and warm during the early Spring. Sales of cold weather clothing are increased by early cold weather during the Fall, while sales of warm weather clothing are improved by early warm weather conditions in the Spring. Although we have diversified our product offerings, we believe traffic to our stores is still driven, in part, by weather patterns.</w:t>
      </w:r>
    </w:p>
    <w:p>
      <w:pPr>
        <w:spacing w:after="0" w:line="187"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i w:val="1"/>
          <w:iCs w:val="1"/>
          <w:color w:val="auto"/>
        </w:rPr>
        <w:t xml:space="preserve">General Economic Conditions. </w:t>
      </w:r>
      <w:r>
        <w:rPr>
          <w:rFonts w:ascii="Arial" w:cs="Arial" w:eastAsia="Arial" w:hAnsi="Arial"/>
          <w:sz w:val="18"/>
          <w:szCs w:val="18"/>
          <w:color w:val="auto"/>
        </w:rPr>
        <w:t>Consumer spending habits, including spending for the merchandise that we sell, are affected by, among other things,</w:t>
      </w:r>
      <w:r>
        <w:rPr>
          <w:rFonts w:ascii="Arial" w:cs="Arial" w:eastAsia="Arial" w:hAnsi="Arial"/>
          <w:sz w:val="18"/>
          <w:szCs w:val="18"/>
          <w:i w:val="1"/>
          <w:iCs w:val="1"/>
          <w:color w:val="auto"/>
        </w:rPr>
        <w:t xml:space="preserve"> </w:t>
      </w:r>
      <w:r>
        <w:rPr>
          <w:rFonts w:ascii="Arial" w:cs="Arial" w:eastAsia="Arial" w:hAnsi="Arial"/>
          <w:sz w:val="18"/>
          <w:szCs w:val="18"/>
          <w:color w:val="auto"/>
        </w:rPr>
        <w:t>prevailing global economic conditions, inflation, levels of employment, salaries and wage rates, prevailing interest rates, housing costs, energy costs, commodities pricing, income tax rates and policies, consumer confidence and consumer perception of economic conditions. In addition, consumer purchasing patterns may be influenced by consumers’ disposable income, credit availability and debt levels.</w:t>
      </w:r>
    </w:p>
    <w:p>
      <w:pPr>
        <w:spacing w:after="0" w:line="187" w:lineRule="exact"/>
        <w:rPr>
          <w:sz w:val="20"/>
          <w:szCs w:val="20"/>
          <w:color w:val="auto"/>
        </w:rPr>
      </w:pPr>
    </w:p>
    <w:p>
      <w:pPr>
        <w:ind w:right="20" w:firstLine="518"/>
        <w:spacing w:after="0" w:line="293" w:lineRule="auto"/>
        <w:rPr>
          <w:sz w:val="20"/>
          <w:szCs w:val="20"/>
          <w:color w:val="auto"/>
        </w:rPr>
      </w:pPr>
      <w:r>
        <w:rPr>
          <w:rFonts w:ascii="Arial" w:cs="Arial" w:eastAsia="Arial" w:hAnsi="Arial"/>
          <w:sz w:val="16"/>
          <w:szCs w:val="16"/>
          <w:color w:val="auto"/>
        </w:rPr>
        <w:t>A slowdown in the U.S. economy, an uncertain global economic outlook or a credit crisis could adversely affect consumer spending habits resulting in lower net sales and profits than expected on a quarterly or annual basis. Consumer confidence is also affected by the domestic and international political situation. Our financial condition and operations could be impacted by changes in government regulations in areas including taxes and healthcare. The outbreak or escalation of war, or the occurrence of terrorist acts or other hostilities in or affecting the U.S., could lead to a decrease in spending by consumers. In addition, natural disasters, industrial accidents and acts of war in various parts of the world could have the effect of disrupting supplies and raising prices globally which, in turn, may have adverse effects on the world and U.S. economies and lead to a downturn in consumer confidence and spending.</w:t>
      </w:r>
    </w:p>
    <w:p>
      <w:pPr>
        <w:spacing w:after="0" w:line="165"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We closely monitor our net sales, gross margin, expenses and working capital. We have performed scenario planning such that, if our net sales decline, we have identified variable costs that could be reduced to partially mitigate the impact of these declines. If we were to experience adverse economic trends and our efforts to counteract the impacts of these trends are not sufficiently effective, there could be a negative impact on our financial performance and position in future fiscal periods.</w:t>
      </w:r>
    </w:p>
    <w:p>
      <w:pPr>
        <w:spacing w:after="0" w:line="187" w:lineRule="exact"/>
        <w:rPr>
          <w:sz w:val="20"/>
          <w:szCs w:val="20"/>
          <w:color w:val="auto"/>
        </w:rPr>
      </w:pPr>
    </w:p>
    <w:p>
      <w:pPr>
        <w:jc w:val="both"/>
        <w:ind w:right="320" w:firstLine="518"/>
        <w:spacing w:after="0" w:line="342" w:lineRule="auto"/>
        <w:rPr>
          <w:sz w:val="20"/>
          <w:szCs w:val="20"/>
          <w:color w:val="auto"/>
        </w:rPr>
      </w:pPr>
      <w:r>
        <w:rPr>
          <w:rFonts w:ascii="Arial" w:cs="Arial" w:eastAsia="Arial" w:hAnsi="Arial"/>
          <w:sz w:val="16"/>
          <w:szCs w:val="16"/>
          <w:i w:val="1"/>
          <w:iCs w:val="1"/>
          <w:color w:val="auto"/>
        </w:rPr>
        <w:t xml:space="preserve">Competition and Margin Pressure. </w:t>
      </w:r>
      <w:r>
        <w:rPr>
          <w:rFonts w:ascii="Arial" w:cs="Arial" w:eastAsia="Arial" w:hAnsi="Arial"/>
          <w:sz w:val="16"/>
          <w:szCs w:val="16"/>
          <w:color w:val="auto"/>
        </w:rPr>
        <w:t>We believe that, in order to remain competitive with off-price retailers and discount stores, we must continue to</w:t>
      </w:r>
      <w:r>
        <w:rPr>
          <w:rFonts w:ascii="Arial" w:cs="Arial" w:eastAsia="Arial" w:hAnsi="Arial"/>
          <w:sz w:val="16"/>
          <w:szCs w:val="16"/>
          <w:i w:val="1"/>
          <w:iCs w:val="1"/>
          <w:color w:val="auto"/>
        </w:rPr>
        <w:t xml:space="preserve"> </w:t>
      </w:r>
      <w:r>
        <w:rPr>
          <w:rFonts w:ascii="Arial" w:cs="Arial" w:eastAsia="Arial" w:hAnsi="Arial"/>
          <w:sz w:val="16"/>
          <w:szCs w:val="16"/>
          <w:color w:val="auto"/>
        </w:rPr>
        <w:t>offer brand-name merchandise at a discount to prices offered by other retailers as well as an assortment of merchandise that is appealing to our customers.</w:t>
      </w:r>
    </w:p>
    <w:p>
      <w:pPr>
        <w:spacing w:after="0" w:line="124" w:lineRule="exact"/>
        <w:rPr>
          <w:sz w:val="20"/>
          <w:szCs w:val="20"/>
          <w:color w:val="auto"/>
        </w:rPr>
      </w:pPr>
    </w:p>
    <w:p>
      <w:pPr>
        <w:ind w:right="120" w:firstLine="518"/>
        <w:spacing w:after="0" w:line="276" w:lineRule="auto"/>
        <w:rPr>
          <w:sz w:val="20"/>
          <w:szCs w:val="20"/>
          <w:color w:val="auto"/>
        </w:rPr>
      </w:pPr>
      <w:r>
        <w:rPr>
          <w:rFonts w:ascii="Arial" w:cs="Arial" w:eastAsia="Arial" w:hAnsi="Arial"/>
          <w:sz w:val="17"/>
          <w:szCs w:val="17"/>
          <w:color w:val="auto"/>
        </w:rPr>
        <w:t>The U.S. retail apparel and home furnishings markets are highly fragmented and competitive. We compete for business with department stores, off-price retailers, specialty stores, discount stores, wholesale clubs, and outlet stores as well as with certain traditional, full-price retail chains that have developed off-price concepts. At various times throughout the year, traditional full-price department store chains and specialty shops offer brand-name merchandise at substantial markdowns, which can result in prices approximating those offered by us at our Burlington Stores. We anticipate that competition will increase in the future. Therefore, we will continue to look for ways to differentiate our stores from those of our competitors.</w:t>
      </w:r>
    </w:p>
    <w:p>
      <w:pPr>
        <w:spacing w:after="0" w:line="173" w:lineRule="exact"/>
        <w:rPr>
          <w:sz w:val="20"/>
          <w:szCs w:val="20"/>
          <w:color w:val="auto"/>
        </w:rPr>
      </w:pPr>
    </w:p>
    <w:p>
      <w:pPr>
        <w:ind w:right="100" w:firstLine="518"/>
        <w:spacing w:after="0" w:line="279" w:lineRule="auto"/>
        <w:rPr>
          <w:sz w:val="20"/>
          <w:szCs w:val="20"/>
          <w:color w:val="auto"/>
        </w:rPr>
      </w:pPr>
      <w:r>
        <w:rPr>
          <w:rFonts w:ascii="Arial" w:cs="Arial" w:eastAsia="Arial" w:hAnsi="Arial"/>
          <w:sz w:val="17"/>
          <w:szCs w:val="17"/>
          <w:color w:val="auto"/>
        </w:rPr>
        <w:t>The U.S. retail industry continues to face increased pressure on margins as overall challenging retail conditions have led consumers to be more value conscious. Our “open to buy” paradigm, in which we purchase both pre-season and in-season merchandise, allows us the flexibility to purchase less pre-season with the balance purchased in-season and opportunistically. It also provides us with the flexibility to shift purchases between suppliers and categories. This enables us to obtain better terms with our suppliers, which we expect to help offset any rising costs of goods.</w:t>
      </w:r>
    </w:p>
    <w:p>
      <w:pPr>
        <w:spacing w:after="0" w:line="171" w:lineRule="exact"/>
        <w:rPr>
          <w:sz w:val="20"/>
          <w:szCs w:val="20"/>
          <w:color w:val="auto"/>
        </w:rPr>
      </w:pPr>
    </w:p>
    <w:p>
      <w:pPr>
        <w:ind w:right="340" w:firstLine="518"/>
        <w:spacing w:after="0" w:line="277" w:lineRule="auto"/>
        <w:rPr>
          <w:sz w:val="20"/>
          <w:szCs w:val="20"/>
          <w:color w:val="auto"/>
        </w:rPr>
      </w:pPr>
      <w:r>
        <w:rPr>
          <w:rFonts w:ascii="Arial" w:cs="Arial" w:eastAsia="Arial" w:hAnsi="Arial"/>
          <w:sz w:val="18"/>
          <w:szCs w:val="18"/>
          <w:color w:val="auto"/>
        </w:rPr>
        <w:t>Changes to import and export laws could have a direct impact on our income and an indirect impact on consumer prices. Unfortunately, we cannot predict any future changes in such laws.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Key Performance Measures</w:t>
      </w:r>
    </w:p>
    <w:p>
      <w:pPr>
        <w:spacing w:after="0" w:line="114" w:lineRule="exact"/>
        <w:rPr>
          <w:sz w:val="20"/>
          <w:szCs w:val="20"/>
          <w:color w:val="auto"/>
        </w:rPr>
      </w:pPr>
    </w:p>
    <w:p>
      <w:pPr>
        <w:ind w:right="460" w:firstLine="518"/>
        <w:spacing w:after="0" w:line="341" w:lineRule="auto"/>
        <w:rPr>
          <w:sz w:val="20"/>
          <w:szCs w:val="20"/>
          <w:color w:val="auto"/>
        </w:rPr>
      </w:pPr>
      <w:r>
        <w:rPr>
          <w:rFonts w:ascii="Arial" w:cs="Arial" w:eastAsia="Arial" w:hAnsi="Arial"/>
          <w:sz w:val="16"/>
          <w:szCs w:val="16"/>
          <w:color w:val="auto"/>
        </w:rPr>
        <w:t>We consider numerous factors in assessing our performance. Key performance measures used by management include net income</w:t>
      </w:r>
      <w:r>
        <w:rPr>
          <w:rFonts w:ascii="Arial" w:cs="Arial" w:eastAsia="Arial" w:hAnsi="Arial"/>
          <w:sz w:val="19"/>
          <w:szCs w:val="19"/>
          <w:color w:val="auto"/>
        </w:rPr>
        <w:t>,</w:t>
      </w:r>
      <w:r>
        <w:rPr>
          <w:rFonts w:ascii="Arial" w:cs="Arial" w:eastAsia="Arial" w:hAnsi="Arial"/>
          <w:sz w:val="16"/>
          <w:szCs w:val="16"/>
          <w:color w:val="auto"/>
        </w:rPr>
        <w:t xml:space="preserve"> Adjusted Net Income, Adjusted EBITDA, Adjusted EBIT, comparable store sales, gross margin, inventory, store payroll as a percentage of net sales and liquidity.</w:t>
      </w:r>
    </w:p>
    <w:p>
      <w:pPr>
        <w:spacing w:after="0" w:line="111" w:lineRule="exact"/>
        <w:rPr>
          <w:sz w:val="20"/>
          <w:szCs w:val="20"/>
          <w:color w:val="auto"/>
        </w:rPr>
      </w:pPr>
    </w:p>
    <w:p>
      <w:pPr>
        <w:ind w:right="80" w:firstLine="518"/>
        <w:spacing w:after="0" w:line="257" w:lineRule="auto"/>
        <w:rPr>
          <w:sz w:val="20"/>
          <w:szCs w:val="20"/>
          <w:color w:val="auto"/>
        </w:rPr>
      </w:pPr>
      <w:r>
        <w:rPr>
          <w:rFonts w:ascii="Arial" w:cs="Arial" w:eastAsia="Arial" w:hAnsi="Arial"/>
          <w:sz w:val="18"/>
          <w:szCs w:val="18"/>
          <w:i w:val="1"/>
          <w:iCs w:val="1"/>
          <w:color w:val="auto"/>
        </w:rPr>
        <w:t>Net income</w:t>
      </w:r>
      <w:r>
        <w:rPr>
          <w:rFonts w:ascii="Arial" w:cs="Arial" w:eastAsia="Arial" w:hAnsi="Arial"/>
          <w:sz w:val="18"/>
          <w:szCs w:val="18"/>
          <w:color w:val="auto"/>
        </w:rPr>
        <w:t>. We earned net income of $384.9 million during Fiscal 2017 compared with net income of $215.9 million during Fiscal 2016. This</w:t>
      </w:r>
      <w:r>
        <w:rPr>
          <w:rFonts w:ascii="Arial" w:cs="Arial" w:eastAsia="Arial" w:hAnsi="Arial"/>
          <w:sz w:val="18"/>
          <w:szCs w:val="18"/>
          <w:i w:val="1"/>
          <w:iCs w:val="1"/>
          <w:color w:val="auto"/>
        </w:rPr>
        <w:t xml:space="preserve"> </w:t>
      </w:r>
      <w:r>
        <w:rPr>
          <w:rFonts w:ascii="Arial" w:cs="Arial" w:eastAsia="Arial" w:hAnsi="Arial"/>
          <w:sz w:val="18"/>
          <w:szCs w:val="18"/>
          <w:color w:val="auto"/>
        </w:rPr>
        <w:t>improvement was primarily driven by our improved gross margin and a one-time incremental tax benefit from the Tax Act, partially offset by an increase in our selling, general and administrative expenses and depreciation and amortization. We earned net income of $215.9 million during Fiscal 2016 compared with net income of $150.5 million for Fiscal 2015. This improvement was primarily driven by our improved gross margin, partially offset by increases in our selling, general and administrative expenses and income tax expense.</w:t>
      </w:r>
    </w:p>
    <w:p>
      <w:pPr>
        <w:spacing w:after="0" w:line="188"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i w:val="1"/>
          <w:iCs w:val="1"/>
          <w:color w:val="auto"/>
        </w:rPr>
        <w:t>Adjusted Net Income, Adjusted EBITDA and Adjusted EBIT</w:t>
      </w:r>
      <w:r>
        <w:rPr>
          <w:rFonts w:ascii="Arial" w:cs="Arial" w:eastAsia="Arial" w:hAnsi="Arial"/>
          <w:sz w:val="18"/>
          <w:szCs w:val="18"/>
          <w:color w:val="auto"/>
        </w:rPr>
        <w:t>: Adjusted Net Income, Adjusted EBITDA and Adjusted EBIT are non-GAAP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measures of our performance.</w:t>
      </w:r>
    </w:p>
    <w:p>
      <w:pPr>
        <w:spacing w:after="0" w:line="170" w:lineRule="exact"/>
        <w:rPr>
          <w:sz w:val="20"/>
          <w:szCs w:val="20"/>
          <w:color w:val="auto"/>
        </w:rPr>
      </w:pPr>
    </w:p>
    <w:p>
      <w:pPr>
        <w:ind w:firstLine="588"/>
        <w:spacing w:after="0" w:line="259" w:lineRule="auto"/>
        <w:rPr>
          <w:sz w:val="20"/>
          <w:szCs w:val="20"/>
          <w:color w:val="auto"/>
        </w:rPr>
      </w:pPr>
      <w:r>
        <w:rPr>
          <w:rFonts w:ascii="Arial" w:cs="Arial" w:eastAsia="Arial" w:hAnsi="Arial"/>
          <w:sz w:val="18"/>
          <w:szCs w:val="18"/>
          <w:color w:val="auto"/>
        </w:rPr>
        <w:t>We define Adjusted Net Income as net income, exclusive of the following items, if applicable: (i) net favorable lease amortization; (ii) costs related to debt amendments and secondary offering; (iii) stock option modification expense; (iv) loss on extinguishment of debt; (v) impairment charges; (vi) amounts related to certain litigation; (vii) advisory fees and (viii) other unusual, non-recurring or extraordinary expenses, losses, charges or gains, all of which are tax effected to arrive at Adjusted Net Income.</w:t>
      </w:r>
    </w:p>
    <w:p>
      <w:pPr>
        <w:spacing w:after="0" w:line="187" w:lineRule="exact"/>
        <w:rPr>
          <w:sz w:val="20"/>
          <w:szCs w:val="20"/>
          <w:color w:val="auto"/>
        </w:rPr>
      </w:pPr>
    </w:p>
    <w:p>
      <w:pPr>
        <w:ind w:right="40" w:firstLine="588"/>
        <w:spacing w:after="0" w:line="259" w:lineRule="auto"/>
        <w:rPr>
          <w:sz w:val="20"/>
          <w:szCs w:val="20"/>
          <w:color w:val="auto"/>
        </w:rPr>
      </w:pPr>
      <w:r>
        <w:rPr>
          <w:rFonts w:ascii="Arial" w:cs="Arial" w:eastAsia="Arial" w:hAnsi="Arial"/>
          <w:sz w:val="18"/>
          <w:szCs w:val="18"/>
          <w:color w:val="auto"/>
        </w:rPr>
        <w:t>We define Adjusted EBITDA as net income, exclusive of the following items, if applicable: (i) interest expense, net; (ii) loss on extinguishment of debt; (iii) income tax expense (benefit); (iv) depreciation and amortization; (v) impairment charges; (vi) stock option modification expense; (vii) costs related to debt amendments and secondary offering; (viii) amounts related to certain litigation; (ix) advisory fees and (x) other unusual, non-recurring or extraordinary expenses, losses, charges or gains.</w:t>
      </w:r>
    </w:p>
    <w:p>
      <w:pPr>
        <w:spacing w:after="0" w:line="187" w:lineRule="exact"/>
        <w:rPr>
          <w:sz w:val="20"/>
          <w:szCs w:val="20"/>
          <w:color w:val="auto"/>
        </w:rPr>
      </w:pPr>
    </w:p>
    <w:p>
      <w:pPr>
        <w:ind w:left="600"/>
        <w:spacing w:after="0"/>
        <w:rPr>
          <w:sz w:val="20"/>
          <w:szCs w:val="20"/>
          <w:color w:val="auto"/>
        </w:rPr>
      </w:pPr>
      <w:r>
        <w:rPr>
          <w:rFonts w:ascii="Arial" w:cs="Arial" w:eastAsia="Arial" w:hAnsi="Arial"/>
          <w:sz w:val="16"/>
          <w:szCs w:val="16"/>
          <w:color w:val="auto"/>
        </w:rPr>
        <w:t>We define Adjusted EBIT as net income, exclusive of the following items, if applicable: (i) interest expense, net; (ii) loss on extinguishment of debt;</w:t>
      </w:r>
    </w:p>
    <w:p>
      <w:pPr>
        <w:spacing w:after="0" w:line="46" w:lineRule="exact"/>
        <w:rPr>
          <w:sz w:val="20"/>
          <w:szCs w:val="20"/>
          <w:color w:val="auto"/>
        </w:rPr>
      </w:pPr>
    </w:p>
    <w:p>
      <w:pPr>
        <w:jc w:val="both"/>
        <w:ind w:right="120" w:firstLine="8"/>
        <w:spacing w:after="0" w:line="271" w:lineRule="auto"/>
        <w:tabs>
          <w:tab w:leader="none" w:pos="315"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income tax expense (benefit); (iv) impairment charges; (v) stock option modification expense; (vi) net favorable lease amortization; (vii) costs related to debt amendments and secondary offering; (viii) amounts related to certain litigation; (ix) advisory fees and (x) other unusual, non-recurring or extraordinary expenses, losses, charges or gains.</w:t>
      </w:r>
    </w:p>
    <w:p>
      <w:pPr>
        <w:spacing w:after="0" w:line="176" w:lineRule="exact"/>
        <w:rPr>
          <w:sz w:val="20"/>
          <w:szCs w:val="20"/>
          <w:color w:val="auto"/>
        </w:rPr>
      </w:pPr>
    </w:p>
    <w:p>
      <w:pPr>
        <w:ind w:right="60" w:firstLine="518"/>
        <w:spacing w:after="0" w:line="279" w:lineRule="auto"/>
        <w:rPr>
          <w:sz w:val="20"/>
          <w:szCs w:val="20"/>
          <w:color w:val="auto"/>
        </w:rPr>
      </w:pPr>
      <w:r>
        <w:rPr>
          <w:rFonts w:ascii="Arial" w:cs="Arial" w:eastAsia="Arial" w:hAnsi="Arial"/>
          <w:sz w:val="17"/>
          <w:szCs w:val="17"/>
          <w:color w:val="auto"/>
        </w:rPr>
        <w:t>We present Adjusted Net Income, Adjusted EBITDA and Adjusted EBIT, because we believe they are useful supplemental measures in evaluating the performance of our business and provide greater transparency into our results of operations. In particular, we believe that excluding certain items that may vary substantially in frequency and magnitude from operating income are useful supplemental measures that assist in evaluating our ability to generate earnings and leverage sales, and to more readily compare these metrics between past and future periods.</w:t>
      </w:r>
    </w:p>
    <w:p>
      <w:pPr>
        <w:spacing w:after="0" w:line="171" w:lineRule="exact"/>
        <w:rPr>
          <w:sz w:val="20"/>
          <w:szCs w:val="20"/>
          <w:color w:val="auto"/>
        </w:rPr>
      </w:pPr>
    </w:p>
    <w:p>
      <w:pPr>
        <w:ind w:right="300" w:firstLine="518"/>
        <w:spacing w:after="0" w:line="277" w:lineRule="auto"/>
        <w:rPr>
          <w:sz w:val="20"/>
          <w:szCs w:val="20"/>
          <w:color w:val="auto"/>
        </w:rPr>
      </w:pPr>
      <w:r>
        <w:rPr>
          <w:rFonts w:ascii="Arial" w:cs="Arial" w:eastAsia="Arial" w:hAnsi="Arial"/>
          <w:sz w:val="18"/>
          <w:szCs w:val="18"/>
          <w:color w:val="auto"/>
        </w:rPr>
        <w:t>Adjusted Net Income has limitations as an analytical tool, and should not be considered either in isolation or as a substitute for net income or other data prepared in accordance with GAAP. Among other limitations, Adjusted Net Income does not reflect:</w:t>
      </w:r>
    </w:p>
    <w:p>
      <w:pPr>
        <w:spacing w:after="0" w:line="62" w:lineRule="exact"/>
        <w:rPr>
          <w:sz w:val="20"/>
          <w:szCs w:val="20"/>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amortization of net favorable leases, which are amortized over the life of the lease;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costs related to debt amendments or our secondary offering that were expensed during the fiscal periods;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expenses related to our May 2013 stock option modification;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losses on the extinguishment of debt;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impairment charges on long-lived assets;</w:t>
      </w:r>
    </w:p>
    <w:p>
      <w:pPr>
        <w:spacing w:after="0" w:line="117" w:lineRule="exact"/>
        <w:rPr>
          <w:rFonts w:ascii="Arial" w:cs="Arial" w:eastAsia="Arial" w:hAnsi="Arial"/>
          <w:sz w:val="18"/>
          <w:szCs w:val="18"/>
          <w:color w:val="auto"/>
        </w:rPr>
      </w:pPr>
    </w:p>
    <w:p>
      <w:pPr>
        <w:ind w:left="1040" w:right="400" w:hanging="519"/>
        <w:spacing w:after="0" w:line="277"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reimbursement for out-of-pocket expenses that were paid to Bain Capital pursuant to the advisory agreement in connection with our initial public offering (the Advisory Agreement) that were expensed during the fiscal periods;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amounts charged for certain litigation;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other unusual, non-recurring or extraordinary expenses, losses, charges or gains.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29" w:name="page30"/>
    <w:bookmarkEnd w:id="29"/>
    <w:p>
      <w:pPr>
        <w:ind w:firstLine="518"/>
        <w:spacing w:after="0" w:line="297" w:lineRule="auto"/>
        <w:rPr>
          <w:sz w:val="20"/>
          <w:szCs w:val="20"/>
          <w:color w:val="auto"/>
        </w:rPr>
      </w:pPr>
      <w:r>
        <w:rPr>
          <w:rFonts w:ascii="Arial" w:cs="Arial" w:eastAsia="Arial" w:hAnsi="Arial"/>
          <w:sz w:val="16"/>
          <w:szCs w:val="16"/>
          <w:color w:val="auto"/>
        </w:rPr>
        <w:t>For Fiscal 2017, Adjusted Net Income improved $173.5 million to $405.8 million. This improvement was the result of our improved gross margin and a one-time incremental tax benefit from the Tax Act, partially offset by increased selling, general and administrative expenses, as well as increased depreciation and amortization. For Fiscal 2016, Adjusted Net Income improved $57.7 million to $232.3 million. This improvement was the result of our improved gross margin and a reduction in our interest expense, partially offset by increased costs, primarily selling, general and administrative expenses and income tax expense, net of the tax effect of the adjustments cited above (refer to the sections below entitled “Results of Operations” for further explanation).</w:t>
      </w:r>
    </w:p>
    <w:p>
      <w:pPr>
        <w:spacing w:after="0" w:line="15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shows our reconciliation of net income to Adjusted Net Income for Fiscal 2017, Fiscal 2016 and Fiscal 2015:</w:t>
      </w:r>
    </w:p>
    <w:p>
      <w:pPr>
        <w:spacing w:after="0" w:line="302" w:lineRule="exact"/>
        <w:rPr>
          <w:sz w:val="20"/>
          <w:szCs w:val="20"/>
          <w:color w:val="auto"/>
        </w:rPr>
      </w:pPr>
    </w:p>
    <w:tbl>
      <w:tblPr>
        <w:tblLayout w:type="fixed"/>
        <w:tblInd w:w="580" w:type="dxa"/>
        <w:tblCellMar>
          <w:top w:w="0" w:type="dxa"/>
          <w:left w:w="0" w:type="dxa"/>
          <w:bottom w:w="0" w:type="dxa"/>
          <w:right w:w="0" w:type="dxa"/>
        </w:tblCellMar>
      </w:tblPr>
      <w:tr>
        <w:trPr>
          <w:trHeight w:val="167"/>
        </w:trPr>
        <w:tc>
          <w:tcPr>
            <w:tcW w:w="55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4"/>
                <w:szCs w:val="14"/>
                <w:b w:val="1"/>
                <w:bCs w:val="1"/>
                <w:i w:val="1"/>
                <w:iCs w:val="1"/>
                <w:color w:val="auto"/>
                <w:w w:val="89"/>
              </w:rPr>
              <w:t>(unaudited)</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5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4"/>
                <w:szCs w:val="14"/>
                <w:b w:val="1"/>
                <w:bCs w:val="1"/>
                <w:i w:val="1"/>
                <w:iCs w:val="1"/>
                <w:color w:val="auto"/>
                <w:w w:val="89"/>
              </w:rPr>
              <w:t>(in thousands)</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55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4"/>
          </w:tcPr>
          <w:p>
            <w:pPr>
              <w:jc w:val="center"/>
              <w:ind w:right="200"/>
              <w:spacing w:after="0" w:line="155" w:lineRule="exact"/>
              <w:rPr>
                <w:sz w:val="20"/>
                <w:szCs w:val="20"/>
                <w:color w:val="auto"/>
              </w:rPr>
            </w:pPr>
            <w:r>
              <w:rPr>
                <w:rFonts w:ascii="Arial" w:cs="Arial" w:eastAsia="Arial" w:hAnsi="Arial"/>
                <w:sz w:val="14"/>
                <w:szCs w:val="14"/>
                <w:b w:val="1"/>
                <w:bCs w:val="1"/>
                <w:color w:val="auto"/>
                <w:w w:val="92"/>
              </w:rPr>
              <w:t>Fiscal Year Ended</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55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w w:val="95"/>
              </w:rPr>
              <w:t>February 3,</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420"/>
              <w:spacing w:after="0" w:line="147" w:lineRule="exact"/>
              <w:rPr>
                <w:sz w:val="20"/>
                <w:szCs w:val="20"/>
                <w:color w:val="auto"/>
              </w:rPr>
            </w:pPr>
            <w:r>
              <w:rPr>
                <w:rFonts w:ascii="Arial" w:cs="Arial" w:eastAsia="Arial" w:hAnsi="Arial"/>
                <w:sz w:val="14"/>
                <w:szCs w:val="14"/>
                <w:b w:val="1"/>
                <w:bCs w:val="1"/>
                <w:color w:val="auto"/>
                <w:w w:val="93"/>
              </w:rPr>
              <w:t>January 28,</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ind w:right="73"/>
              <w:spacing w:after="0" w:line="147" w:lineRule="exact"/>
              <w:rPr>
                <w:sz w:val="20"/>
                <w:szCs w:val="20"/>
                <w:color w:val="auto"/>
              </w:rPr>
            </w:pPr>
            <w:r>
              <w:rPr>
                <w:rFonts w:ascii="Arial" w:cs="Arial" w:eastAsia="Arial" w:hAnsi="Arial"/>
                <w:sz w:val="14"/>
                <w:szCs w:val="14"/>
                <w:b w:val="1"/>
                <w:bCs w:val="1"/>
                <w:color w:val="auto"/>
                <w:w w:val="93"/>
              </w:rPr>
              <w:t>January 30,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5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center"/>
              <w:ind w:right="54"/>
              <w:spacing w:after="0"/>
              <w:rPr>
                <w:sz w:val="20"/>
                <w:szCs w:val="20"/>
                <w:color w:val="auto"/>
              </w:rPr>
            </w:pPr>
            <w:r>
              <w:rPr>
                <w:rFonts w:ascii="Arial" w:cs="Arial" w:eastAsia="Arial" w:hAnsi="Arial"/>
                <w:sz w:val="14"/>
                <w:szCs w:val="14"/>
                <w:b w:val="1"/>
                <w:bCs w:val="1"/>
                <w:color w:val="auto"/>
                <w:w w:val="89"/>
              </w:rPr>
              <w:t>2018</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center"/>
              <w:ind w:right="54"/>
              <w:spacing w:after="0"/>
              <w:rPr>
                <w:sz w:val="20"/>
                <w:szCs w:val="20"/>
                <w:color w:val="auto"/>
              </w:rPr>
            </w:pPr>
            <w:r>
              <w:rPr>
                <w:rFonts w:ascii="Arial" w:cs="Arial" w:eastAsia="Arial" w:hAnsi="Arial"/>
                <w:sz w:val="14"/>
                <w:szCs w:val="14"/>
                <w:b w:val="1"/>
                <w:bCs w:val="1"/>
                <w:color w:val="auto"/>
                <w:w w:val="89"/>
              </w:rPr>
              <w:t>2017</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ind w:right="29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580" w:type="dxa"/>
            <w:vAlign w:val="bottom"/>
            <w:vMerge w:val="restart"/>
          </w:tcPr>
          <w:p>
            <w:pPr>
              <w:spacing w:after="0"/>
              <w:rPr>
                <w:sz w:val="20"/>
                <w:szCs w:val="20"/>
                <w:color w:val="auto"/>
              </w:rPr>
            </w:pPr>
            <w:r>
              <w:rPr>
                <w:rFonts w:ascii="Arial" w:cs="Arial" w:eastAsia="Arial" w:hAnsi="Arial"/>
                <w:sz w:val="18"/>
                <w:szCs w:val="18"/>
                <w:b w:val="1"/>
                <w:bCs w:val="1"/>
                <w:color w:val="auto"/>
              </w:rPr>
              <w:t>Reconciliation of net income to Adjusted Net Income:</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(53 Weeks)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580" w:type="dxa"/>
            <w:vAlign w:val="bottom"/>
            <w:vMerge w:val="continue"/>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income</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384,852</w:t>
            </w:r>
          </w:p>
        </w:tc>
        <w:tc>
          <w:tcPr>
            <w:tcW w:w="14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215,873</w:t>
            </w:r>
          </w:p>
        </w:tc>
        <w:tc>
          <w:tcPr>
            <w:tcW w:w="280" w:type="dxa"/>
            <w:vAlign w:val="bottom"/>
            <w:shd w:val="clear" w:color="auto" w:fill="CFF0FC"/>
          </w:tcPr>
          <w:p>
            <w:pPr>
              <w:spacing w:after="0"/>
              <w:rPr>
                <w:sz w:val="19"/>
                <w:szCs w:val="19"/>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150,482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tcPr>
          <w:p>
            <w:pPr>
              <w:ind w:left="240"/>
              <w:spacing w:after="0"/>
              <w:rPr>
                <w:sz w:val="20"/>
                <w:szCs w:val="20"/>
                <w:color w:val="auto"/>
              </w:rPr>
            </w:pPr>
            <w:r>
              <w:rPr>
                <w:rFonts w:ascii="Arial" w:cs="Arial" w:eastAsia="Arial" w:hAnsi="Arial"/>
                <w:sz w:val="18"/>
                <w:szCs w:val="18"/>
                <w:color w:val="auto"/>
              </w:rPr>
              <w:t>Net favorable lease amortization (a)</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23,325</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23,828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24,130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Costs related to debt amendments and secondary offering (b)</w:t>
            </w: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2,262</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tcPr>
          <w:p>
            <w:pPr>
              <w:ind w:left="240"/>
              <w:spacing w:after="0"/>
              <w:rPr>
                <w:sz w:val="20"/>
                <w:szCs w:val="20"/>
                <w:color w:val="auto"/>
              </w:rPr>
            </w:pPr>
            <w:r>
              <w:rPr>
                <w:rFonts w:ascii="Arial" w:cs="Arial" w:eastAsia="Arial" w:hAnsi="Arial"/>
                <w:sz w:val="18"/>
                <w:szCs w:val="18"/>
                <w:color w:val="auto"/>
              </w:rPr>
              <w:t>Stock option modification expense (c)</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142</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Loss on extinguishment of debt (d)</w:t>
            </w: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2,881</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tcPr>
          <w:p>
            <w:pPr>
              <w:ind w:left="240"/>
              <w:spacing w:after="0"/>
              <w:rPr>
                <w:sz w:val="20"/>
                <w:szCs w:val="20"/>
                <w:color w:val="auto"/>
              </w:rPr>
            </w:pPr>
            <w:r>
              <w:rPr>
                <w:rFonts w:ascii="Arial" w:cs="Arial" w:eastAsia="Arial" w:hAnsi="Arial"/>
                <w:sz w:val="18"/>
                <w:szCs w:val="18"/>
                <w:color w:val="auto"/>
              </w:rPr>
              <w:t>Impairment charges (e)</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2,127</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2,450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Advisory fees (f)</w:t>
            </w: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tcPr>
          <w:p>
            <w:pPr>
              <w:ind w:left="240"/>
              <w:spacing w:after="0"/>
              <w:rPr>
                <w:sz w:val="20"/>
                <w:szCs w:val="20"/>
                <w:color w:val="auto"/>
              </w:rPr>
            </w:pPr>
            <w:r>
              <w:rPr>
                <w:rFonts w:ascii="Arial" w:cs="Arial" w:eastAsia="Arial" w:hAnsi="Arial"/>
                <w:sz w:val="18"/>
                <w:szCs w:val="18"/>
                <w:color w:val="auto"/>
              </w:rPr>
              <w:t>Litigation accrual(g)</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3,457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5,600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Tax effect (h)</w:t>
            </w: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(9,836)</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(19,092)</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(14,137)</w:t>
            </w:r>
          </w:p>
        </w:tc>
        <w:tc>
          <w:tcPr>
            <w:tcW w:w="0" w:type="dxa"/>
            <w:vAlign w:val="bottom"/>
          </w:tcPr>
          <w:p>
            <w:pPr>
              <w:spacing w:after="0"/>
              <w:rPr>
                <w:sz w:val="1"/>
                <w:szCs w:val="1"/>
                <w:color w:val="auto"/>
              </w:rPr>
            </w:pPr>
          </w:p>
        </w:tc>
      </w:tr>
      <w:tr>
        <w:trPr>
          <w:trHeight w:val="223"/>
        </w:trPr>
        <w:tc>
          <w:tcPr>
            <w:tcW w:w="5580" w:type="dxa"/>
            <w:vAlign w:val="bottom"/>
          </w:tcPr>
          <w:p>
            <w:pPr>
              <w:ind w:left="240"/>
              <w:spacing w:after="0"/>
              <w:rPr>
                <w:sz w:val="20"/>
                <w:szCs w:val="20"/>
                <w:color w:val="auto"/>
              </w:rPr>
            </w:pPr>
            <w:r>
              <w:rPr>
                <w:rFonts w:ascii="Arial" w:cs="Arial" w:eastAsia="Arial" w:hAnsi="Arial"/>
                <w:sz w:val="18"/>
                <w:szCs w:val="18"/>
                <w:b w:val="1"/>
                <w:bCs w:val="1"/>
                <w:color w:val="auto"/>
              </w:rPr>
              <w:t>Adjusted Net Income</w:t>
            </w:r>
          </w:p>
        </w:tc>
        <w:tc>
          <w:tcPr>
            <w:tcW w:w="9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405,753</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232,268</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174,555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20904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330" w:lineRule="exact"/>
        <w:rPr>
          <w:sz w:val="20"/>
          <w:szCs w:val="20"/>
          <w:color w:val="auto"/>
        </w:rPr>
      </w:pPr>
    </w:p>
    <w:p>
      <w:pPr>
        <w:ind w:left="520" w:right="40" w:hanging="512"/>
        <w:spacing w:after="0" w:line="256" w:lineRule="auto"/>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Net favorable lease amortization represents the non-cash amortization expense associated with favorable and unfavorable leases that were recorded as a result of purchase accounting related to the Merger Transaction, and are recorded in the line item “Depreciation and amortization” in our Consolidated Statements of Income.</w:t>
      </w:r>
    </w:p>
    <w:p>
      <w:pPr>
        <w:ind w:left="520" w:right="280" w:hanging="512"/>
        <w:spacing w:after="0" w:line="258" w:lineRule="auto"/>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For Fiscal 2017, costs are related to the repricing and extension of our Term Loan Facility. For Fiscal 2016, costs are related to the repricing of our Term Loan Facility. For Fiscal 2015, costs are related to our secondary offering.</w:t>
      </w:r>
    </w:p>
    <w:p>
      <w:pPr>
        <w:ind w:left="520" w:right="440" w:hanging="512"/>
        <w:spacing w:after="0" w:line="250" w:lineRule="auto"/>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Represents expenses incurred as a result of our May 2013 stock option modification. Refer to Note 12 to our Consolidated Financial Statements, “Stock-Based Compensation,” for further detail.</w:t>
      </w:r>
    </w:p>
    <w:p>
      <w:pPr>
        <w:ind w:left="520" w:right="60" w:hanging="512"/>
        <w:spacing w:after="0" w:line="250" w:lineRule="auto"/>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For Fiscal 2017, amounts relate to the repricing and extension of our Term Loan Facility. For Fiscal 2016, amounts relate to the repricing of our Term Loan Facility. For Fiscal 2015, amounts relate to the May 2015 prepayment on our Term Loan Facility.</w:t>
      </w:r>
    </w:p>
    <w:p>
      <w:pPr>
        <w:ind w:left="520" w:hanging="512"/>
        <w:spacing w:after="0"/>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Represents impairment charges on long-lived assets.</w:t>
      </w:r>
    </w:p>
    <w:p>
      <w:pPr>
        <w:spacing w:after="0" w:line="9" w:lineRule="exact"/>
        <w:rPr>
          <w:rFonts w:ascii="Arial" w:cs="Arial" w:eastAsia="Arial" w:hAnsi="Arial"/>
          <w:sz w:val="18"/>
          <w:szCs w:val="18"/>
          <w:color w:val="auto"/>
        </w:rPr>
      </w:pPr>
    </w:p>
    <w:p>
      <w:pPr>
        <w:ind w:left="520" w:right="480" w:hanging="512"/>
        <w:spacing w:after="0" w:line="250" w:lineRule="auto"/>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Amounts represent reimbursement for out-of-pocket expenses that were paid to Bain Capital pursuant to the Advisory Agreement. Amounts are recorded in the line item “Selling, general and administrative expenses” in our Consolidated Statements of Income.</w:t>
      </w:r>
    </w:p>
    <w:p>
      <w:pPr>
        <w:ind w:left="520" w:hanging="512"/>
        <w:spacing w:after="0"/>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Represents amounts charged for certain litigation.</w:t>
      </w:r>
    </w:p>
    <w:p>
      <w:pPr>
        <w:spacing w:after="0" w:line="9" w:lineRule="exact"/>
        <w:rPr>
          <w:rFonts w:ascii="Arial" w:cs="Arial" w:eastAsia="Arial" w:hAnsi="Arial"/>
          <w:sz w:val="18"/>
          <w:szCs w:val="18"/>
          <w:color w:val="auto"/>
        </w:rPr>
      </w:pPr>
    </w:p>
    <w:p>
      <w:pPr>
        <w:ind w:left="520" w:right="40" w:hanging="512"/>
        <w:spacing w:after="0" w:line="255" w:lineRule="auto"/>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Tax effect is calculated based on the effective tax rates (before discrete items) for the respective periods, for the tax impact of items (a) through (g). In addition, during Fiscal 2016, the tax effect also includes the benefit of the one-time release of certain valuation allowances related to Puerto Rico deferred tax assets.</w:t>
      </w:r>
    </w:p>
    <w:p>
      <w:pPr>
        <w:spacing w:after="0" w:line="190"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color w:val="auto"/>
        </w:rPr>
        <w:t>Adjusted EBITDA has limitations as an analytical tool, and should not be considered either in isolation or as a substitute for net income or other data prepared in accordance with GAAP. Among other limitations, Adjusted EBITDA does not reflect:</w:t>
      </w:r>
    </w:p>
    <w:p>
      <w:pPr>
        <w:spacing w:after="0" w:line="62" w:lineRule="exact"/>
        <w:rPr>
          <w:sz w:val="20"/>
          <w:szCs w:val="20"/>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interest expense, or the cash requirements necessary to service interest or principal payments, on our debt;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losses on the extinguishment of debt;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costs related to debt amendments or our secondary offering that were expensed during the fiscal periods;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expenses related to our May 2013 stock option modification;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reimbursement for out-of-pocket expenses that were paid to Bain Capital pursuant to the Advisory Agreement;</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57" w:right="299" w:bottom="1440" w:gutter="0" w:footer="0" w:header="0"/>
        </w:sectPr>
      </w:pPr>
    </w:p>
    <w:bookmarkStart w:id="30" w:name="page31"/>
    <w:bookmarkEnd w:id="30"/>
    <w:p>
      <w:pPr>
        <w:ind w:left="1040" w:right="20" w:hanging="519"/>
        <w:spacing w:after="0" w:line="277"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will likely have to be replaced in the future, and Adjusted EBITDA measures do not reflect any cash requirements for such replacements;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impairment charges on long-lived assets;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income tax expense or the cash requirements to pay our taxes;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amounts charged for certain litigation;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other unusual, non-recurring or extraordinary expenses, losses, charges or gains.</w:t>
      </w:r>
    </w:p>
    <w:p>
      <w:pPr>
        <w:spacing w:after="0" w:line="225" w:lineRule="exact"/>
        <w:rPr>
          <w:sz w:val="20"/>
          <w:szCs w:val="20"/>
          <w:color w:val="auto"/>
        </w:rPr>
      </w:pPr>
    </w:p>
    <w:p>
      <w:pPr>
        <w:ind w:right="240" w:firstLine="518"/>
        <w:spacing w:after="0" w:line="264" w:lineRule="auto"/>
        <w:rPr>
          <w:sz w:val="20"/>
          <w:szCs w:val="20"/>
          <w:color w:val="auto"/>
        </w:rPr>
      </w:pPr>
      <w:r>
        <w:rPr>
          <w:rFonts w:ascii="Arial" w:cs="Arial" w:eastAsia="Arial" w:hAnsi="Arial"/>
          <w:sz w:val="18"/>
          <w:szCs w:val="18"/>
          <w:color w:val="auto"/>
        </w:rPr>
        <w:t>For Fiscal 2017, Adjusted EBITDA improved $111.5 million to $696.1 million. For Fiscal 2016, Adjusted EBITDA improved $100.5 million to $584.6 million. These improvements in Adjusted EBITDA were the result of our improved gross margin, partially offset by increased selling, general and administrative expenses (refer to the sections below entitled “Results of Operations” for further explanation).</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shows our reconciliation of net income to Adjusted EBITDA for Fiscal 2017, Fiscal 2016 and Fiscal 2015:</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i w:val="1"/>
                <w:iCs w:val="1"/>
                <w:color w:val="auto"/>
                <w:w w:val="91"/>
              </w:rPr>
              <w:t>(unaudited)</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3"/>
          </w:tcPr>
          <w:p>
            <w:pPr>
              <w:jc w:val="center"/>
              <w:ind w:right="180"/>
              <w:spacing w:after="0" w:line="155" w:lineRule="exact"/>
              <w:rPr>
                <w:sz w:val="20"/>
                <w:szCs w:val="20"/>
                <w:color w:val="auto"/>
              </w:rPr>
            </w:pPr>
            <w:r>
              <w:rPr>
                <w:rFonts w:ascii="Arial" w:cs="Arial" w:eastAsia="Arial" w:hAnsi="Arial"/>
                <w:sz w:val="14"/>
                <w:szCs w:val="14"/>
                <w:b w:val="1"/>
                <w:bCs w:val="1"/>
                <w:i w:val="1"/>
                <w:iCs w:val="1"/>
                <w:color w:val="auto"/>
                <w:w w:val="89"/>
              </w:rPr>
              <w:t>(in thousands)</w:t>
            </w: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5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4"/>
          </w:tcPr>
          <w:p>
            <w:pPr>
              <w:jc w:val="center"/>
              <w:ind w:right="40"/>
              <w:spacing w:after="0" w:line="155" w:lineRule="exact"/>
              <w:rPr>
                <w:sz w:val="20"/>
                <w:szCs w:val="20"/>
                <w:color w:val="auto"/>
              </w:rPr>
            </w:pPr>
            <w:r>
              <w:rPr>
                <w:rFonts w:ascii="Arial" w:cs="Arial" w:eastAsia="Arial" w:hAnsi="Arial"/>
                <w:sz w:val="14"/>
                <w:szCs w:val="14"/>
                <w:b w:val="1"/>
                <w:bCs w:val="1"/>
                <w:color w:val="auto"/>
                <w:w w:val="92"/>
              </w:rPr>
              <w:t>Fiscal Year Ended</w:t>
            </w: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6"/>
        </w:trPr>
        <w:tc>
          <w:tcPr>
            <w:tcW w:w="5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97"/>
              </w:rPr>
              <w:t>February 3,</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w w:val="93"/>
              </w:rPr>
              <w:t>January 28,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ind w:right="53"/>
              <w:spacing w:after="0" w:line="147" w:lineRule="exact"/>
              <w:rPr>
                <w:sz w:val="20"/>
                <w:szCs w:val="20"/>
                <w:color w:val="auto"/>
              </w:rPr>
            </w:pPr>
            <w:r>
              <w:rPr>
                <w:rFonts w:ascii="Arial" w:cs="Arial" w:eastAsia="Arial" w:hAnsi="Arial"/>
                <w:sz w:val="14"/>
                <w:szCs w:val="14"/>
                <w:b w:val="1"/>
                <w:bCs w:val="1"/>
                <w:color w:val="auto"/>
                <w:w w:val="93"/>
              </w:rPr>
              <w:t>January 30,</w:t>
            </w:r>
          </w:p>
        </w:tc>
        <w:tc>
          <w:tcPr>
            <w:tcW w:w="100" w:type="dxa"/>
            <w:vAlign w:val="bottom"/>
          </w:tcPr>
          <w:p>
            <w:pPr>
              <w:spacing w:after="0"/>
              <w:rPr>
                <w:sz w:val="12"/>
                <w:szCs w:val="12"/>
                <w:color w:val="auto"/>
              </w:rPr>
            </w:pPr>
          </w:p>
        </w:tc>
      </w:tr>
      <w:tr>
        <w:trPr>
          <w:trHeight w:val="162"/>
        </w:trPr>
        <w:tc>
          <w:tcPr>
            <w:tcW w:w="5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center"/>
              <w:ind w:right="54"/>
              <w:spacing w:after="0"/>
              <w:rPr>
                <w:sz w:val="20"/>
                <w:szCs w:val="20"/>
                <w:color w:val="auto"/>
              </w:rPr>
            </w:pPr>
            <w:r>
              <w:rPr>
                <w:rFonts w:ascii="Arial" w:cs="Arial" w:eastAsia="Arial" w:hAnsi="Arial"/>
                <w:sz w:val="14"/>
                <w:szCs w:val="14"/>
                <w:b w:val="1"/>
                <w:bCs w:val="1"/>
                <w:color w:val="auto"/>
                <w:w w:val="96"/>
              </w:rPr>
              <w:t>2018</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center"/>
              <w:ind w:right="34"/>
              <w:spacing w:after="0"/>
              <w:rPr>
                <w:sz w:val="20"/>
                <w:szCs w:val="20"/>
                <w:color w:val="auto"/>
              </w:rPr>
            </w:pPr>
            <w:r>
              <w:rPr>
                <w:rFonts w:ascii="Arial" w:cs="Arial" w:eastAsia="Arial" w:hAnsi="Arial"/>
                <w:sz w:val="14"/>
                <w:szCs w:val="14"/>
                <w:b w:val="1"/>
                <w:bCs w:val="1"/>
                <w:color w:val="auto"/>
                <w:w w:val="89"/>
              </w:rPr>
              <w:t>2017</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ind w:right="27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r>
      <w:tr>
        <w:trPr>
          <w:trHeight w:val="171"/>
        </w:trPr>
        <w:tc>
          <w:tcPr>
            <w:tcW w:w="5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(53 Weeks)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23"/>
        </w:trPr>
        <w:tc>
          <w:tcPr>
            <w:tcW w:w="580" w:type="dxa"/>
            <w:vAlign w:val="bottom"/>
          </w:tcPr>
          <w:p>
            <w:pPr>
              <w:spacing w:after="0"/>
              <w:rPr>
                <w:sz w:val="19"/>
                <w:szCs w:val="19"/>
                <w:color w:val="auto"/>
              </w:rPr>
            </w:pPr>
          </w:p>
        </w:tc>
        <w:tc>
          <w:tcPr>
            <w:tcW w:w="56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Reconciliation of net income to Adjusted EBITDA:</w:t>
            </w:r>
          </w:p>
        </w:tc>
        <w:tc>
          <w:tcPr>
            <w:tcW w:w="10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5640" w:type="dxa"/>
            <w:vAlign w:val="bottom"/>
            <w:gridSpan w:val="2"/>
          </w:tcPr>
          <w:p>
            <w:pPr>
              <w:ind w:left="240"/>
              <w:spacing w:after="0"/>
              <w:rPr>
                <w:sz w:val="20"/>
                <w:szCs w:val="20"/>
                <w:color w:val="auto"/>
              </w:rPr>
            </w:pPr>
            <w:r>
              <w:rPr>
                <w:rFonts w:ascii="Arial" w:cs="Arial" w:eastAsia="Arial" w:hAnsi="Arial"/>
                <w:sz w:val="18"/>
                <w:szCs w:val="18"/>
                <w:color w:val="auto"/>
              </w:rPr>
              <w:t>Net income</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384,852</w:t>
            </w:r>
          </w:p>
        </w:tc>
        <w:tc>
          <w:tcPr>
            <w:tcW w:w="12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215,873</w:t>
            </w:r>
          </w:p>
        </w:tc>
        <w:tc>
          <w:tcPr>
            <w:tcW w:w="18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150,482</w:t>
            </w:r>
          </w:p>
        </w:tc>
        <w:tc>
          <w:tcPr>
            <w:tcW w:w="10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56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Interest expense</w:t>
            </w: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58,777</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56,161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58,999</w:t>
            </w:r>
          </w:p>
        </w:tc>
        <w:tc>
          <w:tcPr>
            <w:tcW w:w="100" w:type="dxa"/>
            <w:vAlign w:val="bottom"/>
            <w:shd w:val="clear" w:color="auto" w:fill="CFF0FC"/>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5640" w:type="dxa"/>
            <w:vAlign w:val="bottom"/>
            <w:gridSpan w:val="2"/>
          </w:tcPr>
          <w:p>
            <w:pPr>
              <w:ind w:left="240"/>
              <w:spacing w:after="0"/>
              <w:rPr>
                <w:sz w:val="20"/>
                <w:szCs w:val="20"/>
                <w:color w:val="auto"/>
              </w:rPr>
            </w:pPr>
            <w:r>
              <w:rPr>
                <w:rFonts w:ascii="Arial" w:cs="Arial" w:eastAsia="Arial" w:hAnsi="Arial"/>
                <w:sz w:val="18"/>
                <w:szCs w:val="18"/>
                <w:color w:val="auto"/>
              </w:rPr>
              <w:t>Interest income</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(206)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r>
      <w:tr>
        <w:trPr>
          <w:trHeight w:val="230"/>
        </w:trPr>
        <w:tc>
          <w:tcPr>
            <w:tcW w:w="580" w:type="dxa"/>
            <w:vAlign w:val="bottom"/>
          </w:tcPr>
          <w:p>
            <w:pPr>
              <w:spacing w:after="0"/>
              <w:rPr>
                <w:sz w:val="19"/>
                <w:szCs w:val="19"/>
                <w:color w:val="auto"/>
              </w:rPr>
            </w:pPr>
          </w:p>
        </w:tc>
        <w:tc>
          <w:tcPr>
            <w:tcW w:w="56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Loss on extinguishment of debt (a)</w:t>
            </w: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2,881</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649</w:t>
            </w:r>
          </w:p>
        </w:tc>
        <w:tc>
          <w:tcPr>
            <w:tcW w:w="100" w:type="dxa"/>
            <w:vAlign w:val="bottom"/>
            <w:shd w:val="clear" w:color="auto" w:fill="CFF0FC"/>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5640" w:type="dxa"/>
            <w:vAlign w:val="bottom"/>
            <w:gridSpan w:val="2"/>
          </w:tcPr>
          <w:p>
            <w:pPr>
              <w:ind w:left="240"/>
              <w:spacing w:after="0"/>
              <w:rPr>
                <w:sz w:val="20"/>
                <w:szCs w:val="20"/>
                <w:color w:val="auto"/>
              </w:rPr>
            </w:pPr>
            <w:r>
              <w:rPr>
                <w:rFonts w:ascii="Arial" w:cs="Arial" w:eastAsia="Arial" w:hAnsi="Arial"/>
                <w:sz w:val="18"/>
                <w:szCs w:val="18"/>
                <w:color w:val="auto"/>
              </w:rPr>
              <w:t>Costs related to debt amendments and secondary offering (b)</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2,262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1,346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56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Stock option modification expense (c)</w:t>
            </w: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1,368</w:t>
            </w:r>
          </w:p>
        </w:tc>
        <w:tc>
          <w:tcPr>
            <w:tcW w:w="100" w:type="dxa"/>
            <w:vAlign w:val="bottom"/>
            <w:shd w:val="clear" w:color="auto" w:fill="CFF0FC"/>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5640" w:type="dxa"/>
            <w:vAlign w:val="bottom"/>
            <w:gridSpan w:val="2"/>
          </w:tcPr>
          <w:p>
            <w:pPr>
              <w:ind w:left="240"/>
              <w:spacing w:after="0"/>
              <w:rPr>
                <w:sz w:val="20"/>
                <w:szCs w:val="20"/>
                <w:color w:val="auto"/>
              </w:rPr>
            </w:pPr>
            <w:r>
              <w:rPr>
                <w:rFonts w:ascii="Arial" w:cs="Arial" w:eastAsia="Arial" w:hAnsi="Arial"/>
                <w:sz w:val="18"/>
                <w:szCs w:val="18"/>
                <w:color w:val="auto"/>
              </w:rPr>
              <w:t>Advisory fees (d)</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56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Depreciation and amortization</w:t>
            </w: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201,103</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183,586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172,099</w:t>
            </w:r>
          </w:p>
        </w:tc>
        <w:tc>
          <w:tcPr>
            <w:tcW w:w="100" w:type="dxa"/>
            <w:vAlign w:val="bottom"/>
            <w:shd w:val="clear" w:color="auto" w:fill="CFF0FC"/>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5640" w:type="dxa"/>
            <w:vAlign w:val="bottom"/>
            <w:gridSpan w:val="2"/>
          </w:tcPr>
          <w:p>
            <w:pPr>
              <w:ind w:left="240"/>
              <w:spacing w:after="0"/>
              <w:rPr>
                <w:sz w:val="20"/>
                <w:szCs w:val="20"/>
                <w:color w:val="auto"/>
              </w:rPr>
            </w:pPr>
            <w:r>
              <w:rPr>
                <w:rFonts w:ascii="Arial" w:cs="Arial" w:eastAsia="Arial" w:hAnsi="Arial"/>
                <w:sz w:val="18"/>
                <w:szCs w:val="18"/>
                <w:color w:val="auto"/>
              </w:rPr>
              <w:t>Impairment charges (e)</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2,127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2,450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6,111</w:t>
            </w:r>
          </w:p>
        </w:tc>
        <w:tc>
          <w:tcPr>
            <w:tcW w:w="10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56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Litigation accrual (f)</w:t>
            </w: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5,600</w:t>
            </w:r>
          </w:p>
        </w:tc>
        <w:tc>
          <w:tcPr>
            <w:tcW w:w="100" w:type="dxa"/>
            <w:vAlign w:val="bottom"/>
            <w:shd w:val="clear" w:color="auto" w:fill="CFF0FC"/>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5640" w:type="dxa"/>
            <w:vAlign w:val="bottom"/>
            <w:tcBorders>
              <w:bottom w:val="single" w:sz="8" w:color="CFF0FC"/>
            </w:tcBorders>
            <w:gridSpan w:val="2"/>
          </w:tcPr>
          <w:p>
            <w:pPr>
              <w:ind w:left="240"/>
              <w:spacing w:after="0"/>
              <w:rPr>
                <w:sz w:val="20"/>
                <w:szCs w:val="20"/>
                <w:color w:val="auto"/>
              </w:rPr>
            </w:pPr>
            <w:r>
              <w:rPr>
                <w:rFonts w:ascii="Arial" w:cs="Arial" w:eastAsia="Arial" w:hAnsi="Arial"/>
                <w:sz w:val="18"/>
                <w:szCs w:val="18"/>
                <w:color w:val="auto"/>
              </w:rPr>
              <w:t>Income tax expense</w:t>
            </w:r>
          </w:p>
        </w:tc>
        <w:tc>
          <w:tcPr>
            <w:tcW w:w="10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44,128</w:t>
            </w:r>
          </w:p>
        </w:tc>
        <w:tc>
          <w:tcPr>
            <w:tcW w:w="12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117,339</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88,394</w:t>
            </w:r>
          </w:p>
        </w:tc>
        <w:tc>
          <w:tcPr>
            <w:tcW w:w="100" w:type="dxa"/>
            <w:vAlign w:val="bottom"/>
            <w:tcBorders>
              <w:bottom w:val="single" w:sz="8" w:color="CFF0FC"/>
            </w:tcBorders>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5640" w:type="dxa"/>
            <w:vAlign w:val="bottom"/>
            <w:tcBorders>
              <w:bottom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b w:val="1"/>
                <w:bCs w:val="1"/>
                <w:color w:val="auto"/>
              </w:rPr>
              <w:t>Adjusted EBITDA</w:t>
            </w:r>
          </w:p>
        </w:tc>
        <w:tc>
          <w:tcPr>
            <w:tcW w:w="10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696,066</w:t>
            </w: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584,562</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484,029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89"/>
        </w:trPr>
        <w:tc>
          <w:tcPr>
            <w:tcW w:w="580" w:type="dxa"/>
            <w:vAlign w:val="bottom"/>
            <w:tcBorders>
              <w:bottom w:val="single" w:sz="8" w:color="auto"/>
            </w:tcBorders>
          </w:tcPr>
          <w:p>
            <w:pPr>
              <w:spacing w:after="0"/>
              <w:rPr>
                <w:sz w:val="7"/>
                <w:szCs w:val="7"/>
                <w:color w:val="auto"/>
              </w:rPr>
            </w:pPr>
          </w:p>
        </w:tc>
        <w:tc>
          <w:tcPr>
            <w:tcW w:w="1340" w:type="dxa"/>
            <w:vAlign w:val="bottom"/>
            <w:tcBorders>
              <w:bottom w:val="single" w:sz="8" w:color="auto"/>
            </w:tcBorders>
          </w:tcPr>
          <w:p>
            <w:pPr>
              <w:spacing w:after="0"/>
              <w:rPr>
                <w:sz w:val="7"/>
                <w:szCs w:val="7"/>
                <w:color w:val="auto"/>
              </w:rPr>
            </w:pPr>
          </w:p>
        </w:tc>
        <w:tc>
          <w:tcPr>
            <w:tcW w:w="43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r>
    </w:tbl>
    <w:p>
      <w:pPr>
        <w:spacing w:after="0" w:line="13" w:lineRule="exact"/>
        <w:rPr>
          <w:sz w:val="20"/>
          <w:szCs w:val="20"/>
          <w:color w:val="auto"/>
        </w:rPr>
      </w:pPr>
    </w:p>
    <w:p>
      <w:pPr>
        <w:ind w:left="520" w:right="20" w:hanging="512"/>
        <w:spacing w:after="0" w:line="258" w:lineRule="auto"/>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For Fiscal 2017, amounts relate to the repricing and extension of our Term Loan Facility. For Fiscal 2016, amounts relate to the repricing of our Term Loan Facility. For Fiscal 2015, amounts relate to the May 2015 prepayment on our Term Loan Facility.</w:t>
      </w:r>
    </w:p>
    <w:p>
      <w:pPr>
        <w:spacing w:after="0" w:line="1" w:lineRule="exact"/>
        <w:rPr>
          <w:rFonts w:ascii="Arial" w:cs="Arial" w:eastAsia="Arial" w:hAnsi="Arial"/>
          <w:sz w:val="18"/>
          <w:szCs w:val="18"/>
          <w:color w:val="auto"/>
        </w:rPr>
      </w:pPr>
    </w:p>
    <w:p>
      <w:pPr>
        <w:ind w:left="520" w:hanging="512"/>
        <w:spacing w:after="0" w:line="258" w:lineRule="auto"/>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For Fiscal 2017, costs are related to the repricing and extension of our Term Loan Facility. For Fiscal 2016, costs are primarily related to the repricing of our Term Loan Facility. For Fiscal 2015, costs are primarily related to our secondary offering.</w:t>
      </w:r>
    </w:p>
    <w:p>
      <w:pPr>
        <w:ind w:left="520" w:right="400" w:hanging="512"/>
        <w:spacing w:after="0" w:line="250" w:lineRule="auto"/>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Represents expenses incurred as a result of our May 2013 stock option modification. Refer to Note 12 to our Consolidated Financial Statements, “Stock-Based Compensation,” for further detail.</w:t>
      </w:r>
    </w:p>
    <w:p>
      <w:pPr>
        <w:ind w:left="520" w:right="440" w:hanging="512"/>
        <w:spacing w:after="0" w:line="250" w:lineRule="auto"/>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Amounts represent reimbursement for out-of-pocket expenses that were paid to Bain Capital pursuant to the Advisory Agreement. Amounts are recorded in the line item “Selling, general and administrative expenses” in our Consolidated Statements of Income.</w:t>
      </w:r>
    </w:p>
    <w:p>
      <w:pPr>
        <w:ind w:left="520" w:hanging="512"/>
        <w:spacing w:after="0"/>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Represents impairment charges on long-lived assets.</w:t>
      </w:r>
    </w:p>
    <w:p>
      <w:pPr>
        <w:spacing w:after="0" w:line="9" w:lineRule="exact"/>
        <w:rPr>
          <w:rFonts w:ascii="Arial" w:cs="Arial" w:eastAsia="Arial" w:hAnsi="Arial"/>
          <w:sz w:val="18"/>
          <w:szCs w:val="18"/>
          <w:color w:val="auto"/>
        </w:rPr>
      </w:pPr>
    </w:p>
    <w:p>
      <w:pPr>
        <w:ind w:left="520" w:hanging="512"/>
        <w:spacing w:after="0"/>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Represents amounts charged for certain litigation.</w:t>
      </w:r>
    </w:p>
    <w:p>
      <w:pPr>
        <w:spacing w:after="0" w:line="211" w:lineRule="exact"/>
        <w:rPr>
          <w:sz w:val="20"/>
          <w:szCs w:val="20"/>
          <w:color w:val="auto"/>
        </w:rPr>
      </w:pPr>
    </w:p>
    <w:p>
      <w:pPr>
        <w:ind w:right="260" w:firstLine="588"/>
        <w:spacing w:after="0" w:line="277" w:lineRule="auto"/>
        <w:rPr>
          <w:sz w:val="20"/>
          <w:szCs w:val="20"/>
          <w:color w:val="auto"/>
        </w:rPr>
      </w:pPr>
      <w:r>
        <w:rPr>
          <w:rFonts w:ascii="Arial" w:cs="Arial" w:eastAsia="Arial" w:hAnsi="Arial"/>
          <w:sz w:val="18"/>
          <w:szCs w:val="18"/>
          <w:color w:val="auto"/>
        </w:rPr>
        <w:t>Adjusted EBIT has limitations as an analytical tool, and should not be considered either in isolation or as a substitute for net income or other data prepared in accordance with GAAP. Among other limitations, Adjusted EBIT does not reflect:</w:t>
      </w:r>
    </w:p>
    <w:p>
      <w:pPr>
        <w:spacing w:after="0" w:line="62" w:lineRule="exact"/>
        <w:rPr>
          <w:sz w:val="20"/>
          <w:szCs w:val="20"/>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interest expense, or the cash requirements necessary to service interest or principal payments, on our debt;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losses on the extinguishment of debt;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costs related to debt amendments or our secondary offering that were expensed during the fiscal periods;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expenses related to our May 2013 stock option modification;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reimbursement for out-of-pocket expenses that were paid to Bain Capital pursuant to the Advisory Agreement;</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449" w:right="339" w:bottom="1440" w:gutter="0" w:footer="0" w:header="0"/>
        </w:sectPr>
      </w:pPr>
    </w:p>
    <w:bookmarkStart w:id="31" w:name="page32"/>
    <w:bookmarkEnd w:id="31"/>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amortization of net favorable leases, which are amortized over the life of the lease;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impairment charges on long-lived assets;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income tax expense or the cash requirements to pay our taxes;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amounts charged for certain litigation;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other unusual, non-recurring or extraordinary expenses, losses, charges or gains.</w:t>
      </w:r>
    </w:p>
    <w:p>
      <w:pPr>
        <w:spacing w:after="0" w:line="225" w:lineRule="exact"/>
        <w:rPr>
          <w:sz w:val="20"/>
          <w:szCs w:val="20"/>
          <w:color w:val="auto"/>
        </w:rPr>
      </w:pPr>
    </w:p>
    <w:p>
      <w:pPr>
        <w:ind w:right="380" w:firstLine="588"/>
        <w:spacing w:after="0" w:line="264" w:lineRule="auto"/>
        <w:rPr>
          <w:sz w:val="20"/>
          <w:szCs w:val="20"/>
          <w:color w:val="auto"/>
        </w:rPr>
      </w:pPr>
      <w:r>
        <w:rPr>
          <w:rFonts w:ascii="Arial" w:cs="Arial" w:eastAsia="Arial" w:hAnsi="Arial"/>
          <w:sz w:val="18"/>
          <w:szCs w:val="18"/>
          <w:color w:val="auto"/>
        </w:rPr>
        <w:t>For Fiscal 2017, Adjusted EBIT improved $93.5 million to $518.3 million. For Fiscal 2016, Adjusted EBIT improved $88.7 million to $424.8 million. These improvements were primarily driven by our improved gross margin, partially offset by increases in our selling, general and administrative expenses (refer to the section below entitled “Results of Operations” for further explanation).</w:t>
      </w:r>
    </w:p>
    <w:p>
      <w:pPr>
        <w:spacing w:after="0" w:line="18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shows our reconciliation of net income to Adjusted EBIT for Fiscal 2017, Fiscal 2016 and Fiscal 2015:</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i w:val="1"/>
                <w:iCs w:val="1"/>
                <w:color w:val="auto"/>
                <w:w w:val="91"/>
              </w:rPr>
              <w:t>(unaudited)</w:t>
            </w: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1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3"/>
          </w:tcPr>
          <w:p>
            <w:pPr>
              <w:jc w:val="center"/>
              <w:ind w:right="200"/>
              <w:spacing w:after="0" w:line="155" w:lineRule="exact"/>
              <w:rPr>
                <w:sz w:val="20"/>
                <w:szCs w:val="20"/>
                <w:color w:val="auto"/>
              </w:rPr>
            </w:pPr>
            <w:r>
              <w:rPr>
                <w:rFonts w:ascii="Arial" w:cs="Arial" w:eastAsia="Arial" w:hAnsi="Arial"/>
                <w:sz w:val="14"/>
                <w:szCs w:val="14"/>
                <w:b w:val="1"/>
                <w:bCs w:val="1"/>
                <w:i w:val="1"/>
                <w:iCs w:val="1"/>
                <w:color w:val="auto"/>
                <w:w w:val="89"/>
              </w:rPr>
              <w:t>(in thousands)</w:t>
            </w: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1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4"/>
          </w:tcPr>
          <w:p>
            <w:pPr>
              <w:jc w:val="center"/>
              <w:ind w:right="40"/>
              <w:spacing w:after="0" w:line="155" w:lineRule="exact"/>
              <w:rPr>
                <w:sz w:val="20"/>
                <w:szCs w:val="20"/>
                <w:color w:val="auto"/>
              </w:rPr>
            </w:pPr>
            <w:r>
              <w:rPr>
                <w:rFonts w:ascii="Arial" w:cs="Arial" w:eastAsia="Arial" w:hAnsi="Arial"/>
                <w:sz w:val="14"/>
                <w:szCs w:val="14"/>
                <w:b w:val="1"/>
                <w:bCs w:val="1"/>
                <w:color w:val="auto"/>
                <w:w w:val="92"/>
              </w:rPr>
              <w:t>Fiscal Year Ended</w:t>
            </w: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46"/>
        </w:trPr>
        <w:tc>
          <w:tcPr>
            <w:tcW w:w="1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80" w:type="dxa"/>
            <w:vAlign w:val="bottom"/>
            <w:gridSpan w:val="3"/>
          </w:tcPr>
          <w:p>
            <w:pPr>
              <w:jc w:val="center"/>
              <w:ind w:right="140"/>
              <w:spacing w:after="0" w:line="147" w:lineRule="exact"/>
              <w:rPr>
                <w:sz w:val="20"/>
                <w:szCs w:val="20"/>
                <w:color w:val="auto"/>
              </w:rPr>
            </w:pPr>
            <w:r>
              <w:rPr>
                <w:rFonts w:ascii="Arial" w:cs="Arial" w:eastAsia="Arial" w:hAnsi="Arial"/>
                <w:sz w:val="14"/>
                <w:szCs w:val="14"/>
                <w:b w:val="1"/>
                <w:bCs w:val="1"/>
                <w:color w:val="auto"/>
                <w:w w:val="95"/>
              </w:rPr>
              <w:t>February 3,</w:t>
            </w:r>
          </w:p>
        </w:tc>
        <w:tc>
          <w:tcPr>
            <w:tcW w:w="180" w:type="dxa"/>
            <w:vAlign w:val="bottom"/>
          </w:tcPr>
          <w:p>
            <w:pPr>
              <w:spacing w:after="0"/>
              <w:rPr>
                <w:sz w:val="12"/>
                <w:szCs w:val="12"/>
                <w:color w:val="auto"/>
              </w:rPr>
            </w:pPr>
          </w:p>
        </w:tc>
        <w:tc>
          <w:tcPr>
            <w:tcW w:w="1060" w:type="dxa"/>
            <w:vAlign w:val="bottom"/>
            <w:gridSpan w:val="3"/>
          </w:tcPr>
          <w:p>
            <w:pPr>
              <w:jc w:val="center"/>
              <w:ind w:right="220"/>
              <w:spacing w:after="0" w:line="147" w:lineRule="exact"/>
              <w:rPr>
                <w:sz w:val="20"/>
                <w:szCs w:val="20"/>
                <w:color w:val="auto"/>
              </w:rPr>
            </w:pPr>
            <w:r>
              <w:rPr>
                <w:rFonts w:ascii="Arial" w:cs="Arial" w:eastAsia="Arial" w:hAnsi="Arial"/>
                <w:sz w:val="14"/>
                <w:szCs w:val="14"/>
                <w:b w:val="1"/>
                <w:bCs w:val="1"/>
                <w:color w:val="auto"/>
                <w:w w:val="93"/>
              </w:rPr>
              <w:t>January 28,</w:t>
            </w:r>
          </w:p>
        </w:tc>
        <w:tc>
          <w:tcPr>
            <w:tcW w:w="100" w:type="dxa"/>
            <w:vAlign w:val="bottom"/>
          </w:tcPr>
          <w:p>
            <w:pPr>
              <w:spacing w:after="0"/>
              <w:rPr>
                <w:sz w:val="12"/>
                <w:szCs w:val="12"/>
                <w:color w:val="auto"/>
              </w:rPr>
            </w:pPr>
          </w:p>
        </w:tc>
        <w:tc>
          <w:tcPr>
            <w:tcW w:w="880" w:type="dxa"/>
            <w:vAlign w:val="bottom"/>
            <w:gridSpan w:val="2"/>
          </w:tcPr>
          <w:p>
            <w:pPr>
              <w:jc w:val="right"/>
              <w:ind w:right="11"/>
              <w:spacing w:after="0" w:line="147" w:lineRule="exact"/>
              <w:rPr>
                <w:sz w:val="20"/>
                <w:szCs w:val="20"/>
                <w:color w:val="auto"/>
              </w:rPr>
            </w:pPr>
            <w:r>
              <w:rPr>
                <w:rFonts w:ascii="Arial" w:cs="Arial" w:eastAsia="Arial" w:hAnsi="Arial"/>
                <w:sz w:val="14"/>
                <w:szCs w:val="14"/>
                <w:b w:val="1"/>
                <w:bCs w:val="1"/>
                <w:color w:val="auto"/>
                <w:w w:val="98"/>
              </w:rPr>
              <w:t>January 30,</w:t>
            </w:r>
          </w:p>
        </w:tc>
        <w:tc>
          <w:tcPr>
            <w:tcW w:w="80" w:type="dxa"/>
            <w:vAlign w:val="bottom"/>
          </w:tcPr>
          <w:p>
            <w:pPr>
              <w:spacing w:after="0"/>
              <w:rPr>
                <w:sz w:val="12"/>
                <w:szCs w:val="12"/>
                <w:color w:val="auto"/>
              </w:rPr>
            </w:pPr>
          </w:p>
        </w:tc>
      </w:tr>
      <w:tr>
        <w:trPr>
          <w:trHeight w:val="162"/>
        </w:trPr>
        <w:tc>
          <w:tcPr>
            <w:tcW w:w="1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center"/>
              <w:ind w:right="33"/>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center"/>
              <w:ind w:right="33"/>
              <w:spacing w:after="0"/>
              <w:rPr>
                <w:sz w:val="20"/>
                <w:szCs w:val="20"/>
                <w:color w:val="auto"/>
              </w:rPr>
            </w:pPr>
            <w:r>
              <w:rPr>
                <w:rFonts w:ascii="Arial" w:cs="Arial" w:eastAsia="Arial" w:hAnsi="Arial"/>
                <w:sz w:val="14"/>
                <w:szCs w:val="14"/>
                <w:b w:val="1"/>
                <w:bCs w:val="1"/>
                <w:color w:val="auto"/>
                <w:w w:val="89"/>
              </w:rPr>
              <w:t>2017</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231"/>
              <w:spacing w:after="0"/>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4"/>
                <w:szCs w:val="14"/>
                <w:color w:val="auto"/>
              </w:rPr>
            </w:pPr>
          </w:p>
        </w:tc>
      </w:tr>
      <w:tr>
        <w:trPr>
          <w:trHeight w:val="171"/>
        </w:trPr>
        <w:tc>
          <w:tcPr>
            <w:tcW w:w="1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(53 Weeks)</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23"/>
        </w:trPr>
        <w:tc>
          <w:tcPr>
            <w:tcW w:w="1160" w:type="dxa"/>
            <w:vAlign w:val="bottom"/>
          </w:tcPr>
          <w:p>
            <w:pPr>
              <w:spacing w:after="0"/>
              <w:rPr>
                <w:sz w:val="19"/>
                <w:szCs w:val="19"/>
                <w:color w:val="auto"/>
              </w:rPr>
            </w:pPr>
          </w:p>
        </w:tc>
        <w:tc>
          <w:tcPr>
            <w:tcW w:w="52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Reconciliation of net income to Adjusted EBIT:</w:t>
            </w:r>
          </w:p>
        </w:tc>
        <w:tc>
          <w:tcPr>
            <w:tcW w:w="6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5220" w:type="dxa"/>
            <w:vAlign w:val="bottom"/>
            <w:gridSpan w:val="2"/>
          </w:tcPr>
          <w:p>
            <w:pPr>
              <w:ind w:left="240"/>
              <w:spacing w:after="0"/>
              <w:rPr>
                <w:sz w:val="20"/>
                <w:szCs w:val="20"/>
                <w:color w:val="auto"/>
              </w:rPr>
            </w:pPr>
            <w:r>
              <w:rPr>
                <w:rFonts w:ascii="Arial" w:cs="Arial" w:eastAsia="Arial" w:hAnsi="Arial"/>
                <w:sz w:val="18"/>
                <w:szCs w:val="18"/>
                <w:color w:val="auto"/>
              </w:rPr>
              <w:t>Net income</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384,852</w:t>
            </w:r>
          </w:p>
        </w:tc>
        <w:tc>
          <w:tcPr>
            <w:tcW w:w="10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215,873</w:t>
            </w:r>
          </w:p>
        </w:tc>
        <w:tc>
          <w:tcPr>
            <w:tcW w:w="180" w:type="dxa"/>
            <w:vAlign w:val="bottom"/>
          </w:tcPr>
          <w:p>
            <w:pPr>
              <w:spacing w:after="0"/>
              <w:rPr>
                <w:sz w:val="19"/>
                <w:szCs w:val="19"/>
                <w:color w:val="auto"/>
              </w:rPr>
            </w:pPr>
          </w:p>
        </w:tc>
        <w:tc>
          <w:tcPr>
            <w:tcW w:w="2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150,482</w:t>
            </w:r>
          </w:p>
        </w:tc>
        <w:tc>
          <w:tcPr>
            <w:tcW w:w="8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52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Interest expense</w:t>
            </w:r>
          </w:p>
        </w:tc>
        <w:tc>
          <w:tcPr>
            <w:tcW w:w="6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58,777</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56,161</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58,999</w:t>
            </w:r>
          </w:p>
        </w:tc>
        <w:tc>
          <w:tcPr>
            <w:tcW w:w="80" w:type="dxa"/>
            <w:vAlign w:val="bottom"/>
            <w:shd w:val="clear" w:color="auto" w:fill="CFF0FC"/>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5220" w:type="dxa"/>
            <w:vAlign w:val="bottom"/>
            <w:gridSpan w:val="2"/>
          </w:tcPr>
          <w:p>
            <w:pPr>
              <w:ind w:left="240"/>
              <w:spacing w:after="0"/>
              <w:rPr>
                <w:sz w:val="20"/>
                <w:szCs w:val="20"/>
                <w:color w:val="auto"/>
              </w:rPr>
            </w:pPr>
            <w:r>
              <w:rPr>
                <w:rFonts w:ascii="Arial" w:cs="Arial" w:eastAsia="Arial" w:hAnsi="Arial"/>
                <w:sz w:val="18"/>
                <w:szCs w:val="18"/>
                <w:color w:val="auto"/>
              </w:rPr>
              <w:t>Interest income</w:t>
            </w: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(206)</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r>
      <w:tr>
        <w:trPr>
          <w:trHeight w:val="230"/>
        </w:trPr>
        <w:tc>
          <w:tcPr>
            <w:tcW w:w="1160" w:type="dxa"/>
            <w:vAlign w:val="bottom"/>
          </w:tcPr>
          <w:p>
            <w:pPr>
              <w:spacing w:after="0"/>
              <w:rPr>
                <w:sz w:val="19"/>
                <w:szCs w:val="19"/>
                <w:color w:val="auto"/>
              </w:rPr>
            </w:pPr>
          </w:p>
        </w:tc>
        <w:tc>
          <w:tcPr>
            <w:tcW w:w="52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Loss on extinguishment of debt (a)</w:t>
            </w:r>
          </w:p>
        </w:tc>
        <w:tc>
          <w:tcPr>
            <w:tcW w:w="6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2,881</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3,805</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649</w:t>
            </w:r>
          </w:p>
        </w:tc>
        <w:tc>
          <w:tcPr>
            <w:tcW w:w="80" w:type="dxa"/>
            <w:vAlign w:val="bottom"/>
            <w:shd w:val="clear" w:color="auto" w:fill="CFF0FC"/>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5220" w:type="dxa"/>
            <w:vAlign w:val="bottom"/>
            <w:gridSpan w:val="2"/>
          </w:tcPr>
          <w:p>
            <w:pPr>
              <w:ind w:left="240"/>
              <w:spacing w:after="0"/>
              <w:rPr>
                <w:sz w:val="20"/>
                <w:szCs w:val="20"/>
                <w:color w:val="auto"/>
              </w:rPr>
            </w:pPr>
            <w:r>
              <w:rPr>
                <w:rFonts w:ascii="Arial" w:cs="Arial" w:eastAsia="Arial" w:hAnsi="Arial"/>
                <w:sz w:val="18"/>
                <w:szCs w:val="18"/>
                <w:color w:val="auto"/>
              </w:rPr>
              <w:t>Costs related to debt amendments and secondary offering (b)</w:t>
            </w: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2,262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1,346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247</w:t>
            </w:r>
          </w:p>
        </w:tc>
        <w:tc>
          <w:tcPr>
            <w:tcW w:w="8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52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Stock option modification expense (c)</w:t>
            </w:r>
          </w:p>
        </w:tc>
        <w:tc>
          <w:tcPr>
            <w:tcW w:w="6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601</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1,368</w:t>
            </w:r>
          </w:p>
        </w:tc>
        <w:tc>
          <w:tcPr>
            <w:tcW w:w="80" w:type="dxa"/>
            <w:vAlign w:val="bottom"/>
            <w:shd w:val="clear" w:color="auto" w:fill="CFF0FC"/>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5220" w:type="dxa"/>
            <w:vAlign w:val="bottom"/>
            <w:gridSpan w:val="2"/>
          </w:tcPr>
          <w:p>
            <w:pPr>
              <w:ind w:left="240"/>
              <w:spacing w:after="0"/>
              <w:rPr>
                <w:sz w:val="20"/>
                <w:szCs w:val="20"/>
                <w:color w:val="auto"/>
              </w:rPr>
            </w:pPr>
            <w:r>
              <w:rPr>
                <w:rFonts w:ascii="Arial" w:cs="Arial" w:eastAsia="Arial" w:hAnsi="Arial"/>
                <w:sz w:val="18"/>
                <w:szCs w:val="18"/>
                <w:color w:val="auto"/>
              </w:rPr>
              <w:t>Net favorable lease amortization (d)</w:t>
            </w: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23,325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23,828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24,130</w:t>
            </w:r>
          </w:p>
        </w:tc>
        <w:tc>
          <w:tcPr>
            <w:tcW w:w="8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52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Advisory fees (e)</w:t>
            </w:r>
          </w:p>
        </w:tc>
        <w:tc>
          <w:tcPr>
            <w:tcW w:w="6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w:t>
            </w:r>
          </w:p>
        </w:tc>
        <w:tc>
          <w:tcPr>
            <w:tcW w:w="80" w:type="dxa"/>
            <w:vAlign w:val="bottom"/>
            <w:shd w:val="clear" w:color="auto" w:fill="CFF0FC"/>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5220" w:type="dxa"/>
            <w:vAlign w:val="bottom"/>
            <w:gridSpan w:val="2"/>
          </w:tcPr>
          <w:p>
            <w:pPr>
              <w:ind w:left="240"/>
              <w:spacing w:after="0"/>
              <w:rPr>
                <w:sz w:val="20"/>
                <w:szCs w:val="20"/>
                <w:color w:val="auto"/>
              </w:rPr>
            </w:pPr>
            <w:r>
              <w:rPr>
                <w:rFonts w:ascii="Arial" w:cs="Arial" w:eastAsia="Arial" w:hAnsi="Arial"/>
                <w:sz w:val="18"/>
                <w:szCs w:val="18"/>
                <w:color w:val="auto"/>
              </w:rPr>
              <w:t>Impairment charges (f)</w:t>
            </w: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2,127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2,450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6,111</w:t>
            </w:r>
          </w:p>
        </w:tc>
        <w:tc>
          <w:tcPr>
            <w:tcW w:w="8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52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Litigation accrual (g)</w:t>
            </w:r>
          </w:p>
        </w:tc>
        <w:tc>
          <w:tcPr>
            <w:tcW w:w="6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3,457</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5,600</w:t>
            </w:r>
          </w:p>
        </w:tc>
        <w:tc>
          <w:tcPr>
            <w:tcW w:w="80" w:type="dxa"/>
            <w:vAlign w:val="bottom"/>
            <w:shd w:val="clear" w:color="auto" w:fill="CFF0FC"/>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5220" w:type="dxa"/>
            <w:vAlign w:val="bottom"/>
            <w:tcBorders>
              <w:bottom w:val="single" w:sz="8" w:color="CFF0FC"/>
            </w:tcBorders>
            <w:gridSpan w:val="2"/>
          </w:tcPr>
          <w:p>
            <w:pPr>
              <w:ind w:left="240"/>
              <w:spacing w:after="0"/>
              <w:rPr>
                <w:sz w:val="20"/>
                <w:szCs w:val="20"/>
                <w:color w:val="auto"/>
              </w:rPr>
            </w:pPr>
            <w:r>
              <w:rPr>
                <w:rFonts w:ascii="Arial" w:cs="Arial" w:eastAsia="Arial" w:hAnsi="Arial"/>
                <w:sz w:val="18"/>
                <w:szCs w:val="18"/>
                <w:color w:val="auto"/>
              </w:rPr>
              <w:t>Income tax expense</w:t>
            </w:r>
          </w:p>
        </w:tc>
        <w:tc>
          <w:tcPr>
            <w:tcW w:w="6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44,128</w:t>
            </w: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117,339</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88,394</w:t>
            </w:r>
          </w:p>
        </w:tc>
        <w:tc>
          <w:tcPr>
            <w:tcW w:w="80" w:type="dxa"/>
            <w:vAlign w:val="bottom"/>
            <w:tcBorders>
              <w:bottom w:val="single" w:sz="8" w:color="CFF0FC"/>
            </w:tcBorders>
          </w:tcPr>
          <w:p>
            <w:pPr>
              <w:spacing w:after="0"/>
              <w:rPr>
                <w:sz w:val="19"/>
                <w:szCs w:val="19"/>
                <w:color w:val="auto"/>
              </w:rPr>
            </w:pPr>
          </w:p>
        </w:tc>
      </w:tr>
      <w:tr>
        <w:trPr>
          <w:trHeight w:val="223"/>
        </w:trPr>
        <w:tc>
          <w:tcPr>
            <w:tcW w:w="1160" w:type="dxa"/>
            <w:vAlign w:val="bottom"/>
          </w:tcPr>
          <w:p>
            <w:pPr>
              <w:spacing w:after="0"/>
              <w:rPr>
                <w:sz w:val="19"/>
                <w:szCs w:val="19"/>
                <w:color w:val="auto"/>
              </w:rPr>
            </w:pPr>
          </w:p>
        </w:tc>
        <w:tc>
          <w:tcPr>
            <w:tcW w:w="5220" w:type="dxa"/>
            <w:vAlign w:val="bottom"/>
            <w:tcBorders>
              <w:bottom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b w:val="1"/>
                <w:bCs w:val="1"/>
                <w:color w:val="auto"/>
              </w:rPr>
              <w:t>Adjusted EBIT</w:t>
            </w:r>
          </w:p>
        </w:tc>
        <w:tc>
          <w:tcPr>
            <w:tcW w:w="6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518,288</w:t>
            </w:r>
          </w:p>
        </w:tc>
        <w:tc>
          <w:tcPr>
            <w:tcW w:w="1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424,804</w:t>
            </w:r>
          </w:p>
        </w:tc>
        <w:tc>
          <w:tcPr>
            <w:tcW w:w="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336,060</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89"/>
        </w:trPr>
        <w:tc>
          <w:tcPr>
            <w:tcW w:w="116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446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r>
    </w:tbl>
    <w:p>
      <w:pPr>
        <w:spacing w:after="0" w:line="13" w:lineRule="exact"/>
        <w:rPr>
          <w:sz w:val="20"/>
          <w:szCs w:val="20"/>
          <w:color w:val="auto"/>
        </w:rPr>
      </w:pPr>
    </w:p>
    <w:p>
      <w:pPr>
        <w:ind w:left="520" w:right="100" w:hanging="512"/>
        <w:spacing w:after="0" w:line="258" w:lineRule="auto"/>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 Fiscal 2017, amounts relate to the repricing and extension of our Term Loan Facility. For Fiscal 2016, amounts relate to the repricing of our Term Loan Facility. For Fiscal 2015, amounts relate to the May 2015 prepayment on our Term Loan Facility.</w:t>
      </w:r>
    </w:p>
    <w:p>
      <w:pPr>
        <w:spacing w:after="0" w:line="1" w:lineRule="exact"/>
        <w:rPr>
          <w:rFonts w:ascii="Arial" w:cs="Arial" w:eastAsia="Arial" w:hAnsi="Arial"/>
          <w:sz w:val="18"/>
          <w:szCs w:val="18"/>
          <w:color w:val="auto"/>
        </w:rPr>
      </w:pPr>
    </w:p>
    <w:p>
      <w:pPr>
        <w:ind w:left="520" w:right="80" w:hanging="512"/>
        <w:spacing w:after="0" w:line="258" w:lineRule="auto"/>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 Fiscal 2017, costs are related to the repricing and extension of our Term Loan Facility. For Fiscal 2016, costs are primarily related to the repricing of our Term Loan Facility. For Fiscal 2015, costs are primarily related to our secondary offering.</w:t>
      </w:r>
    </w:p>
    <w:p>
      <w:pPr>
        <w:ind w:left="520" w:right="480" w:hanging="512"/>
        <w:spacing w:after="0" w:line="257" w:lineRule="auto"/>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Represents expenses incurred as a result of our May 2013 stock option modification. Refer to Note 12 to our Consolidated Financial Statements, “Stock-Based Compensation,” for further detail.</w:t>
      </w:r>
    </w:p>
    <w:p>
      <w:pPr>
        <w:spacing w:after="0" w:line="1" w:lineRule="exact"/>
        <w:rPr>
          <w:rFonts w:ascii="Arial" w:cs="Arial" w:eastAsia="Arial" w:hAnsi="Arial"/>
          <w:sz w:val="18"/>
          <w:szCs w:val="18"/>
          <w:color w:val="auto"/>
        </w:rPr>
      </w:pPr>
    </w:p>
    <w:p>
      <w:pPr>
        <w:ind w:left="520" w:right="80" w:hanging="512"/>
        <w:spacing w:after="0" w:line="256" w:lineRule="auto"/>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Net favorable lease amortization represents the non-cash amortization expense associated with favorable and unfavorable leases that were recorded as a result of purchase accounting related to the Merger Transaction, and are recorded in the line item “Depreciation and amortization” in our Consolidated Statements of Income.</w:t>
      </w:r>
    </w:p>
    <w:p>
      <w:pPr>
        <w:ind w:left="520" w:right="520" w:hanging="512"/>
        <w:spacing w:after="0" w:line="258" w:lineRule="auto"/>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Amounts represent reimbursement for out-of-pocket expenses that were paid to Bain Capital pursuant to the Advisory Agreement. Amounts are recorded in the line item “Selling, general and administrative expenses” in our Consolidated Statements of Income.</w:t>
      </w:r>
    </w:p>
    <w:p>
      <w:pPr>
        <w:ind w:left="520" w:hanging="512"/>
        <w:spacing w:after="0"/>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Represents impairment charges on long-lived assets.</w:t>
      </w:r>
    </w:p>
    <w:p>
      <w:pPr>
        <w:spacing w:after="0" w:line="9" w:lineRule="exact"/>
        <w:rPr>
          <w:rFonts w:ascii="Arial" w:cs="Arial" w:eastAsia="Arial" w:hAnsi="Arial"/>
          <w:sz w:val="18"/>
          <w:szCs w:val="18"/>
          <w:color w:val="auto"/>
        </w:rPr>
      </w:pPr>
    </w:p>
    <w:p>
      <w:pPr>
        <w:ind w:left="520" w:hanging="512"/>
        <w:spacing w:after="0"/>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Represents amounts charged for certain litigation.</w:t>
      </w:r>
    </w:p>
    <w:p>
      <w:pPr>
        <w:spacing w:after="0" w:line="211"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i w:val="1"/>
          <w:iCs w:val="1"/>
          <w:color w:val="auto"/>
        </w:rPr>
        <w:t>Comparable Store Sales</w:t>
      </w:r>
      <w:r>
        <w:rPr>
          <w:rFonts w:ascii="Arial" w:cs="Arial" w:eastAsia="Arial" w:hAnsi="Arial"/>
          <w:sz w:val="18"/>
          <w:szCs w:val="18"/>
          <w:color w:val="auto"/>
        </w:rPr>
        <w:t>. Comparable store sales measure performance of a store during the current reporting period against the performance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same store in the corresponding period of the previous year. The method of calculating comparable store sales varies across the retail industry. As a result, our definition of comparable store sales may differ from other retailers.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773" w:right="259" w:bottom="1440" w:gutter="0" w:footer="0" w:header="0"/>
        </w:sectPr>
      </w:pPr>
    </w:p>
    <w:bookmarkStart w:id="32" w:name="page33"/>
    <w:bookmarkEnd w:id="32"/>
    <w:p>
      <w:pPr>
        <w:ind w:right="20" w:firstLine="518"/>
        <w:spacing w:after="0" w:line="257" w:lineRule="auto"/>
        <w:rPr>
          <w:sz w:val="20"/>
          <w:szCs w:val="20"/>
          <w:color w:val="auto"/>
        </w:rPr>
      </w:pPr>
      <w:r>
        <w:rPr>
          <w:rFonts w:ascii="Arial" w:cs="Arial" w:eastAsia="Arial" w:hAnsi="Arial"/>
          <w:sz w:val="18"/>
          <w:szCs w:val="18"/>
          <w:color w:val="auto"/>
        </w:rPr>
        <w:t>We define comparable store sales as sales of those stores, including our online store, commencing on the first day of the fiscal month one year after the end of their grand opening activities, which normally conclude within the first two months of operations. If a store is closed for seven or more days during a month, our policy is to remove that store from our calculation of comparable stores sales for any such month, as well as during the month(s) of their grand re-opening activities. The table below depicts our comparable store sales during Fiscal 2017, Fiscal 2016 and Fiscal 2015, all of which are calculated on a 52 week basis.</w:t>
      </w:r>
    </w:p>
    <w:p>
      <w:pPr>
        <w:spacing w:after="0" w:line="181"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Comparable</w:t>
            </w:r>
          </w:p>
        </w:tc>
      </w:tr>
      <w:tr>
        <w:trPr>
          <w:trHeight w:val="171"/>
        </w:trPr>
        <w:tc>
          <w:tcPr>
            <w:tcW w:w="5520" w:type="dxa"/>
            <w:vAlign w:val="bottom"/>
            <w:tcBorders>
              <w:bottom w:val="single" w:sz="8" w:color="CFF0FC"/>
            </w:tcBorders>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Store Sales</w:t>
            </w:r>
          </w:p>
        </w:tc>
        <w:tc>
          <w:tcPr>
            <w:tcW w:w="180" w:type="dxa"/>
            <w:vAlign w:val="bottom"/>
            <w:tcBorders>
              <w:bottom w:val="single" w:sz="8" w:color="CFF0FC"/>
            </w:tcBorders>
          </w:tcPr>
          <w:p>
            <w:pPr>
              <w:spacing w:after="0"/>
              <w:rPr>
                <w:sz w:val="14"/>
                <w:szCs w:val="14"/>
                <w:color w:val="auto"/>
              </w:rPr>
            </w:pPr>
          </w:p>
        </w:tc>
      </w:tr>
      <w:tr>
        <w:trPr>
          <w:trHeight w:val="223"/>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Fiscal 2017</w:t>
            </w: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3.4%</w:t>
            </w: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Fiscal 2016</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r>
      <w:tr>
        <w:trPr>
          <w:trHeight w:val="230"/>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Fiscal 2015</w:t>
            </w: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w:t>
            </w:r>
          </w:p>
        </w:tc>
      </w:tr>
    </w:tbl>
    <w:p>
      <w:pPr>
        <w:spacing w:after="0" w:line="242" w:lineRule="exact"/>
        <w:rPr>
          <w:sz w:val="20"/>
          <w:szCs w:val="20"/>
          <w:color w:val="auto"/>
        </w:rPr>
      </w:pPr>
    </w:p>
    <w:p>
      <w:pPr>
        <w:ind w:right="80" w:firstLine="518"/>
        <w:spacing w:after="0" w:line="297" w:lineRule="auto"/>
        <w:rPr>
          <w:sz w:val="20"/>
          <w:szCs w:val="20"/>
          <w:color w:val="auto"/>
        </w:rPr>
      </w:pPr>
      <w:r>
        <w:rPr>
          <w:rFonts w:ascii="Arial" w:cs="Arial" w:eastAsia="Arial" w:hAnsi="Arial"/>
          <w:sz w:val="16"/>
          <w:szCs w:val="16"/>
          <w:color w:val="auto"/>
        </w:rPr>
        <w:t>During Fiscal 2017, there were 19 stores that were temporarily closed for seven or more days due to weather-related incidents. In accordance with our policy, we removed these stores from our calculation of comparable stores sales for the month(s) in which the stores were closed for seven or more days. In addition, we temporarily closed five stores during Fiscal 2017 for relocation, and one during Fiscal 2016. We have removed these stores from our calculation of comparable stores sales for the month(s) in which the stores were closed for seven or more days, as well as during the month(s) of their grand re-opening activities. Refer to the section below entitled “Results of Operations” for further explanation on the impact of the weather-related incidents on our net sales.</w:t>
      </w:r>
    </w:p>
    <w:p>
      <w:pPr>
        <w:spacing w:after="0" w:line="226"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color w:val="auto"/>
        </w:rPr>
        <w:t>Various factors affect comparable store sales, including weather conditions, current economic conditions, the timing of our releases of new merchandise and promotional events, the general retail sales environment, consumer preferences and buying trends, changes in sales mix among distribution channels, competition and the success of marketing programs.</w:t>
      </w:r>
    </w:p>
    <w:p>
      <w:pPr>
        <w:spacing w:after="0" w:line="181" w:lineRule="exact"/>
        <w:rPr>
          <w:sz w:val="20"/>
          <w:szCs w:val="20"/>
          <w:color w:val="auto"/>
        </w:rPr>
      </w:pPr>
    </w:p>
    <w:p>
      <w:pPr>
        <w:ind w:right="300" w:firstLine="518"/>
        <w:spacing w:after="0" w:line="290" w:lineRule="auto"/>
        <w:rPr>
          <w:sz w:val="20"/>
          <w:szCs w:val="20"/>
          <w:color w:val="auto"/>
        </w:rPr>
      </w:pPr>
      <w:r>
        <w:rPr>
          <w:rFonts w:ascii="Arial" w:cs="Arial" w:eastAsia="Arial" w:hAnsi="Arial"/>
          <w:sz w:val="16"/>
          <w:szCs w:val="16"/>
          <w:i w:val="1"/>
          <w:iCs w:val="1"/>
          <w:color w:val="auto"/>
        </w:rPr>
        <w:t>Gross Margin</w:t>
      </w:r>
      <w:r>
        <w:rPr>
          <w:rFonts w:ascii="Arial" w:cs="Arial" w:eastAsia="Arial" w:hAnsi="Arial"/>
          <w:sz w:val="16"/>
          <w:szCs w:val="16"/>
          <w:color w:val="auto"/>
        </w:rPr>
        <w:t>. Gross margin is the difference between net sales and the cost of sales. Our cost of sales and gross margin may not be comparable to</w:t>
      </w:r>
      <w:r>
        <w:rPr>
          <w:rFonts w:ascii="Arial" w:cs="Arial" w:eastAsia="Arial" w:hAnsi="Arial"/>
          <w:sz w:val="16"/>
          <w:szCs w:val="16"/>
          <w:i w:val="1"/>
          <w:iCs w:val="1"/>
          <w:color w:val="auto"/>
        </w:rPr>
        <w:t xml:space="preserve"> </w:t>
      </w:r>
      <w:r>
        <w:rPr>
          <w:rFonts w:ascii="Arial" w:cs="Arial" w:eastAsia="Arial" w:hAnsi="Arial"/>
          <w:sz w:val="16"/>
          <w:szCs w:val="16"/>
          <w:color w:val="auto"/>
        </w:rPr>
        <w:t>those of other entities, since some entities include all of the costs related to their buying and distribution functions, and other costs, in cost of sales. We include certain of these costs in the line items “Selling, general and administrative expenses” and “Depreciation and amortization” in our Consolidated Statements of Income. We include in our “Cost of sales” line item all costs of merchandise (net of purchase discounts and certain vendor allowances), inbound freight, distribution center outbound freight and certain merchandise acquisition costs, primarily commissions and import fees. Gross margin as a percentage of net sales expanded approximately 70 basis points to 41.5% during Fiscal 2017, compared with 40.8% during Fiscal 2016. The improvement was driven by strong merchandise margins. In addition, product sourcing costs remained flat, which are included in the line item “Selling, general and administrative expenses” in our Consolidated Statements of Income. Gross margin as a percentage of net sales during Fiscal 2015 was 40.0%.</w:t>
      </w:r>
    </w:p>
    <w:p>
      <w:pPr>
        <w:spacing w:after="0" w:line="166"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i w:val="1"/>
          <w:iCs w:val="1"/>
          <w:color w:val="auto"/>
        </w:rPr>
        <w:t>Inventory</w:t>
      </w:r>
      <w:r>
        <w:rPr>
          <w:rFonts w:ascii="Arial" w:cs="Arial" w:eastAsia="Arial" w:hAnsi="Arial"/>
          <w:sz w:val="18"/>
          <w:szCs w:val="18"/>
          <w:color w:val="auto"/>
        </w:rPr>
        <w:t>. Inventory at February 3, 2018 increased to $752.6 million from $701.9 million at January 28, 2017. This increase was primarily driven by</w:t>
      </w:r>
      <w:r>
        <w:rPr>
          <w:rFonts w:ascii="Arial" w:cs="Arial" w:eastAsia="Arial" w:hAnsi="Arial"/>
          <w:sz w:val="18"/>
          <w:szCs w:val="18"/>
          <w:i w:val="1"/>
          <w:iCs w:val="1"/>
          <w:color w:val="auto"/>
        </w:rPr>
        <w:t xml:space="preserve"> </w:t>
      </w:r>
      <w:r>
        <w:rPr>
          <w:rFonts w:ascii="Arial" w:cs="Arial" w:eastAsia="Arial" w:hAnsi="Arial"/>
          <w:sz w:val="18"/>
          <w:szCs w:val="18"/>
          <w:color w:val="auto"/>
        </w:rPr>
        <w:t>the inventory required for our 37 net new stores opened since January 28, 2017, as well as an increase in our pack-and-hold inventory, which was 25% of total inventory at the end of Fiscal 2017 compared to 23% at the end of Fiscal 2016.</w:t>
      </w:r>
    </w:p>
    <w:p>
      <w:pPr>
        <w:spacing w:after="0" w:line="181" w:lineRule="exact"/>
        <w:rPr>
          <w:sz w:val="20"/>
          <w:szCs w:val="20"/>
          <w:color w:val="auto"/>
        </w:rPr>
      </w:pPr>
    </w:p>
    <w:p>
      <w:pPr>
        <w:ind w:right="80" w:firstLine="518"/>
        <w:spacing w:after="0" w:line="257" w:lineRule="auto"/>
        <w:rPr>
          <w:sz w:val="20"/>
          <w:szCs w:val="20"/>
          <w:color w:val="auto"/>
        </w:rPr>
      </w:pPr>
      <w:r>
        <w:rPr>
          <w:rFonts w:ascii="Arial" w:cs="Arial" w:eastAsia="Arial" w:hAnsi="Arial"/>
          <w:sz w:val="18"/>
          <w:szCs w:val="18"/>
          <w:color w:val="auto"/>
        </w:rPr>
        <w:t>In order to better serve our customers and maximize sales, we continue to refine our merchandising mix and inventory levels within our stores. By appropriately managing our inventories, we believe we will be better able to deliver a continual flow of fresh merchandise to our customers. We continue to move toward more productive inventories by increasing the amount of current inventory as a percent of total inventory. Comparable store inventory, which is calculated on a 52 weeks basis, decreased approximately 7% as of February 3, 2018 as a result of our ongoing initiative to reduce inventory levels and increase inventory turnover.</w:t>
      </w:r>
    </w:p>
    <w:p>
      <w:pPr>
        <w:spacing w:after="0" w:line="188"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Inventory turnover and comparable store inventory turnover are performance metrics that indicate how efficiently inventory is bought and sold. They each measure the length of time that we own our inventory.</w:t>
      </w:r>
    </w:p>
    <w:p>
      <w:pPr>
        <w:spacing w:after="0" w:line="170" w:lineRule="exact"/>
        <w:rPr>
          <w:sz w:val="20"/>
          <w:szCs w:val="20"/>
          <w:color w:val="auto"/>
        </w:rPr>
      </w:pPr>
    </w:p>
    <w:p>
      <w:pPr>
        <w:ind w:right="1040" w:firstLine="563"/>
        <w:spacing w:after="0" w:line="342" w:lineRule="auto"/>
        <w:rPr>
          <w:sz w:val="20"/>
          <w:szCs w:val="20"/>
          <w:color w:val="auto"/>
        </w:rPr>
      </w:pPr>
      <w:r>
        <w:rPr>
          <w:rFonts w:ascii="Arial" w:cs="Arial" w:eastAsia="Arial" w:hAnsi="Arial"/>
          <w:sz w:val="16"/>
          <w:szCs w:val="16"/>
          <w:color w:val="auto"/>
        </w:rPr>
        <w:t>Inventory turnover is calculated by dividing cost of goods sold by the 13-month average cost value of our inventory for the period being measured. Our inventory turnover rate improved to 4.6 turns per year during Fiscal 2017, compared with 4.2 turns per year during Fiscal 2016.</w:t>
      </w:r>
    </w:p>
    <w:p>
      <w:pPr>
        <w:spacing w:after="0" w:line="124" w:lineRule="exact"/>
        <w:rPr>
          <w:sz w:val="20"/>
          <w:szCs w:val="20"/>
          <w:color w:val="auto"/>
        </w:rPr>
      </w:pPr>
    </w:p>
    <w:p>
      <w:pPr>
        <w:ind w:right="120" w:firstLine="518"/>
        <w:spacing w:after="0" w:line="276" w:lineRule="auto"/>
        <w:rPr>
          <w:sz w:val="20"/>
          <w:szCs w:val="20"/>
          <w:color w:val="auto"/>
        </w:rPr>
      </w:pPr>
      <w:r>
        <w:rPr>
          <w:rFonts w:ascii="Arial" w:cs="Arial" w:eastAsia="Arial" w:hAnsi="Arial"/>
          <w:sz w:val="17"/>
          <w:szCs w:val="17"/>
          <w:color w:val="auto"/>
        </w:rPr>
        <w:t>Comparable store inventory turnover, which is determined on a 52-week basis, is calculated by dividing comparable store sales by the average comparable store retail value of inventory for the period being measured. The comparable store retail value of inventories is estimated based on the original sales price of items on hand reduced by retail reductions, which include sales, markdowns taken, an estimated shortage adjustment and employee discounts, for our comparable stores. The calculation is based on a rolling 13 month average of inventory (at estimated retail value) and the last 12 months’ comparable sales. Our comparable store inventory turnover rate improved approximately 9% during Fiscal 2017.</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3" w:name="page34"/>
    <w:bookmarkEnd w:id="33"/>
    <w:p>
      <w:pPr>
        <w:ind w:right="100" w:firstLine="518"/>
        <w:spacing w:after="0" w:line="279" w:lineRule="auto"/>
        <w:rPr>
          <w:sz w:val="20"/>
          <w:szCs w:val="20"/>
          <w:color w:val="auto"/>
        </w:rPr>
      </w:pPr>
      <w:r>
        <w:rPr>
          <w:rFonts w:ascii="Arial" w:cs="Arial" w:eastAsia="Arial" w:hAnsi="Arial"/>
          <w:sz w:val="17"/>
          <w:szCs w:val="17"/>
          <w:color w:val="auto"/>
        </w:rPr>
        <w:t>The difference between inventory turnover and comparable store inventory turnover is primarily the result of not including distribution center and warehouse inventory as well as inventory at new and non-comparable stores. Inventory held at our warehouses and distribution centers includes merchandise being readied for shipment to our stores and “pack-and-hold” inventory acquired opportunistically for future store release. The magnitude of pack-and-hold inventory, at any one point in time, is dependent on the buying opportunities identified in the marketplace.</w:t>
      </w:r>
    </w:p>
    <w:p>
      <w:pPr>
        <w:spacing w:after="0" w:line="171"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We present inventory turnover because it demonstrates how effective we are at managing our inventory. We present comparable store inventory turnover as we believe this is a useful supplemental metric in evaluating the effectiveness of our merchandising efforts, as a faster comparable store inventory turnover generally leads to reduced markdowns and more fresh merchandise in our stores.</w:t>
      </w:r>
    </w:p>
    <w:p>
      <w:pPr>
        <w:spacing w:after="0" w:line="181" w:lineRule="exact"/>
        <w:rPr>
          <w:sz w:val="20"/>
          <w:szCs w:val="20"/>
          <w:color w:val="auto"/>
        </w:rPr>
      </w:pPr>
    </w:p>
    <w:p>
      <w:pPr>
        <w:ind w:right="40" w:firstLine="518"/>
        <w:spacing w:after="0" w:line="291" w:lineRule="auto"/>
        <w:rPr>
          <w:sz w:val="20"/>
          <w:szCs w:val="20"/>
          <w:color w:val="auto"/>
        </w:rPr>
      </w:pPr>
      <w:r>
        <w:rPr>
          <w:rFonts w:ascii="Arial" w:cs="Arial" w:eastAsia="Arial" w:hAnsi="Arial"/>
          <w:sz w:val="16"/>
          <w:szCs w:val="16"/>
          <w:i w:val="1"/>
          <w:iCs w:val="1"/>
          <w:color w:val="auto"/>
        </w:rPr>
        <w:t>Store Payroll as a Percentage of Net Sales</w:t>
      </w:r>
      <w:r>
        <w:rPr>
          <w:rFonts w:ascii="Arial" w:cs="Arial" w:eastAsia="Arial" w:hAnsi="Arial"/>
          <w:sz w:val="16"/>
          <w:szCs w:val="16"/>
          <w:color w:val="auto"/>
        </w:rPr>
        <w:t>. Store payroll as a percentage of net sales measures our ability to manage our payroll in accordance with</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increases or decreases in net sales. The method of calculating store payroll varies across the retail industry. As a result, our store payroll as a percentage of net sales may differ from other retailers. We define store payroll as regular and overtime payroll for all store personnel as well as regional and territory personnel, exclusive of benefits and payroll charges related to corporate and warehouse employees. Store payroll as a percentage of net sales was 8.5% during both Fiscal 2017 and Fiscal 2016. We were able to utilize efficiencies realized through the continued simplification of store operating procedures and improvement of execution to offset (i) minimum wage increases at our stores, as well as (ii) store payroll for our Puerto Rico stores with no related sales at the stores that were closed during Fiscal 2017 as a result of the weather-related incidents. Store payroll as a percentage of net sales was 8.6% during Fiscal 2015.</w:t>
      </w:r>
    </w:p>
    <w:p>
      <w:pPr>
        <w:spacing w:after="0" w:line="167"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i w:val="1"/>
          <w:iCs w:val="1"/>
          <w:color w:val="auto"/>
        </w:rPr>
        <w:t xml:space="preserve">Liquidity. </w:t>
      </w:r>
      <w:r>
        <w:rPr>
          <w:rFonts w:ascii="Arial" w:cs="Arial" w:eastAsia="Arial" w:hAnsi="Arial"/>
          <w:sz w:val="18"/>
          <w:szCs w:val="18"/>
          <w:color w:val="auto"/>
        </w:rPr>
        <w:t>Liquidity measures our ability to generate cash. Management measures liquidity through cash flow and working capital position. Cash flow</w:t>
      </w:r>
      <w:r>
        <w:rPr>
          <w:rFonts w:ascii="Arial" w:cs="Arial" w:eastAsia="Arial" w:hAnsi="Arial"/>
          <w:sz w:val="18"/>
          <w:szCs w:val="18"/>
          <w:i w:val="1"/>
          <w:iCs w:val="1"/>
          <w:color w:val="auto"/>
        </w:rPr>
        <w:t xml:space="preserve"> </w:t>
      </w:r>
      <w:r>
        <w:rPr>
          <w:rFonts w:ascii="Arial" w:cs="Arial" w:eastAsia="Arial" w:hAnsi="Arial"/>
          <w:sz w:val="18"/>
          <w:szCs w:val="18"/>
          <w:color w:val="auto"/>
        </w:rPr>
        <w:t>is the measure of cash generated from or used in operating, financing, and investing activities. Cash and cash equivalents increased $51.7 million during Fiscal 2017, resulting in a cash and cash equivalent balance of $133.3 million as of February 3, 2018, compared with an increase in cash and cash equivalents of $60.7 million during Fiscal 2016. The decrease in our cash flow was primarily driven by increased purchases of treasury stock and increased purchases of property and equipment. These increased cash outflows were partially offset by changes in the net borrowings on our ABL Line of Credit (no net change during Fiscal 2017 compared with $167.4 million net repayments during Fiscal 2016). Refer to the section below entitled “Liquidity and Capital Resources” for further explanation.</w:t>
      </w:r>
    </w:p>
    <w:p>
      <w:pPr>
        <w:spacing w:after="0" w:line="189"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Changes in working capital also impact our cash flows. Working capital equals current assets (exclusive of restricted cash) minus current liabilities. We had a working capital deficit at February 3, 2018 of $47.0 million compared with a working capital deficit of $96.3 million at January 28, 2017. The improved working capital was primarily related to the increases in our cash and cash equivalents and inventories. Prepaid rent also increased from January 28, 2017, due to the timing of our fiscal calendar. These increases were partially offset by an increase in our accounts payable from January 28, 2017 as a result of our 37 net new stores opened during Fiscal 2017 and the timing of our inventory purchases.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 sets forth certain items in the Consolidated Statements of Income as a percentage of net sales for the periods indicated.</w:t>
      </w:r>
    </w:p>
    <w:p>
      <w:pPr>
        <w:spacing w:after="0" w:line="309"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12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4"/>
                <w:szCs w:val="14"/>
                <w:b w:val="1"/>
                <w:bCs w:val="1"/>
                <w:color w:val="auto"/>
                <w:w w:val="90"/>
              </w:rPr>
              <w:t>Percentage of Net Sales</w:t>
            </w:r>
          </w:p>
        </w:tc>
        <w:tc>
          <w:tcPr>
            <w:tcW w:w="11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6120" w:type="dxa"/>
            <w:vAlign w:val="bottom"/>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3"/>
          </w:tcPr>
          <w:p>
            <w:pPr>
              <w:jc w:val="center"/>
              <w:ind w:right="180"/>
              <w:spacing w:after="0" w:line="155" w:lineRule="exact"/>
              <w:rPr>
                <w:sz w:val="20"/>
                <w:szCs w:val="20"/>
                <w:color w:val="auto"/>
              </w:rPr>
            </w:pPr>
            <w:r>
              <w:rPr>
                <w:rFonts w:ascii="Arial" w:cs="Arial" w:eastAsia="Arial" w:hAnsi="Arial"/>
                <w:sz w:val="14"/>
                <w:szCs w:val="14"/>
                <w:b w:val="1"/>
                <w:bCs w:val="1"/>
                <w:color w:val="auto"/>
                <w:w w:val="92"/>
              </w:rPr>
              <w:t>Fiscal Year Ended</w:t>
            </w:r>
          </w:p>
        </w:tc>
        <w:tc>
          <w:tcPr>
            <w:tcW w:w="110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r>
      <w:tr>
        <w:trPr>
          <w:trHeight w:val="146"/>
        </w:trPr>
        <w:tc>
          <w:tcPr>
            <w:tcW w:w="6120" w:type="dxa"/>
            <w:vAlign w:val="bottom"/>
          </w:tcPr>
          <w:p>
            <w:pPr>
              <w:spacing w:after="0"/>
              <w:rPr>
                <w:sz w:val="12"/>
                <w:szCs w:val="12"/>
                <w:color w:val="auto"/>
              </w:rPr>
            </w:pPr>
          </w:p>
        </w:tc>
        <w:tc>
          <w:tcPr>
            <w:tcW w:w="1260" w:type="dxa"/>
            <w:vAlign w:val="bottom"/>
            <w:gridSpan w:val="2"/>
          </w:tcPr>
          <w:p>
            <w:pPr>
              <w:jc w:val="right"/>
              <w:ind w:right="360"/>
              <w:spacing w:after="0" w:line="147" w:lineRule="exact"/>
              <w:rPr>
                <w:sz w:val="20"/>
                <w:szCs w:val="20"/>
                <w:color w:val="auto"/>
              </w:rPr>
            </w:pPr>
            <w:r>
              <w:rPr>
                <w:rFonts w:ascii="Arial" w:cs="Arial" w:eastAsia="Arial" w:hAnsi="Arial"/>
                <w:sz w:val="14"/>
                <w:szCs w:val="14"/>
                <w:b w:val="1"/>
                <w:bCs w:val="1"/>
                <w:color w:val="auto"/>
              </w:rPr>
              <w:t>February 3,</w:t>
            </w:r>
          </w:p>
        </w:tc>
        <w:tc>
          <w:tcPr>
            <w:tcW w:w="200" w:type="dxa"/>
            <w:vAlign w:val="bottom"/>
          </w:tcPr>
          <w:p>
            <w:pPr>
              <w:spacing w:after="0"/>
              <w:rPr>
                <w:sz w:val="12"/>
                <w:szCs w:val="12"/>
                <w:color w:val="auto"/>
              </w:rPr>
            </w:pPr>
          </w:p>
        </w:tc>
        <w:tc>
          <w:tcPr>
            <w:tcW w:w="1420" w:type="dxa"/>
            <w:vAlign w:val="bottom"/>
            <w:gridSpan w:val="2"/>
          </w:tcPr>
          <w:p>
            <w:pPr>
              <w:jc w:val="center"/>
              <w:ind w:right="380"/>
              <w:spacing w:after="0" w:line="147" w:lineRule="exact"/>
              <w:rPr>
                <w:sz w:val="20"/>
                <w:szCs w:val="20"/>
                <w:color w:val="auto"/>
              </w:rPr>
            </w:pPr>
            <w:r>
              <w:rPr>
                <w:rFonts w:ascii="Arial" w:cs="Arial" w:eastAsia="Arial" w:hAnsi="Arial"/>
                <w:sz w:val="14"/>
                <w:szCs w:val="14"/>
                <w:b w:val="1"/>
                <w:bCs w:val="1"/>
                <w:color w:val="auto"/>
                <w:w w:val="93"/>
              </w:rPr>
              <w:t>January 28,</w:t>
            </w:r>
          </w:p>
        </w:tc>
        <w:tc>
          <w:tcPr>
            <w:tcW w:w="1100" w:type="dxa"/>
            <w:vAlign w:val="bottom"/>
          </w:tcPr>
          <w:p>
            <w:pPr>
              <w:jc w:val="right"/>
              <w:ind w:right="112"/>
              <w:spacing w:after="0" w:line="147" w:lineRule="exact"/>
              <w:rPr>
                <w:sz w:val="20"/>
                <w:szCs w:val="20"/>
                <w:color w:val="auto"/>
              </w:rPr>
            </w:pPr>
            <w:r>
              <w:rPr>
                <w:rFonts w:ascii="Arial" w:cs="Arial" w:eastAsia="Arial" w:hAnsi="Arial"/>
                <w:sz w:val="14"/>
                <w:szCs w:val="14"/>
                <w:b w:val="1"/>
                <w:bCs w:val="1"/>
                <w:color w:val="auto"/>
              </w:rPr>
              <w:t>January 30,</w:t>
            </w:r>
          </w:p>
        </w:tc>
        <w:tc>
          <w:tcPr>
            <w:tcW w:w="180" w:type="dxa"/>
            <w:vAlign w:val="bottom"/>
          </w:tcPr>
          <w:p>
            <w:pPr>
              <w:spacing w:after="0"/>
              <w:rPr>
                <w:sz w:val="12"/>
                <w:szCs w:val="12"/>
                <w:color w:val="auto"/>
              </w:rPr>
            </w:pPr>
          </w:p>
        </w:tc>
      </w:tr>
      <w:tr>
        <w:trPr>
          <w:trHeight w:val="171"/>
        </w:trPr>
        <w:tc>
          <w:tcPr>
            <w:tcW w:w="6120" w:type="dxa"/>
            <w:vAlign w:val="bottom"/>
            <w:tcBorders>
              <w:bottom w:val="single" w:sz="8" w:color="CFF0FC"/>
            </w:tcBorders>
          </w:tcPr>
          <w:p>
            <w:pPr>
              <w:spacing w:after="0"/>
              <w:rPr>
                <w:sz w:val="14"/>
                <w:szCs w:val="14"/>
                <w:color w:val="auto"/>
              </w:rPr>
            </w:pPr>
          </w:p>
        </w:tc>
        <w:tc>
          <w:tcPr>
            <w:tcW w:w="110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FF0FC"/>
            </w:tcBorders>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340" w:type="dxa"/>
            <w:vAlign w:val="bottom"/>
            <w:tcBorders>
              <w:bottom w:val="single" w:sz="8" w:color="CFF0FC"/>
            </w:tcBorders>
          </w:tcPr>
          <w:p>
            <w:pPr>
              <w:spacing w:after="0"/>
              <w:rPr>
                <w:sz w:val="14"/>
                <w:szCs w:val="14"/>
                <w:color w:val="auto"/>
              </w:rPr>
            </w:pPr>
          </w:p>
        </w:tc>
        <w:tc>
          <w:tcPr>
            <w:tcW w:w="110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FF0FC"/>
            </w:tcBorders>
          </w:tcPr>
          <w:p>
            <w:pPr>
              <w:spacing w:after="0"/>
              <w:rPr>
                <w:sz w:val="14"/>
                <w:szCs w:val="14"/>
                <w:color w:val="auto"/>
              </w:rPr>
            </w:pPr>
          </w:p>
        </w:tc>
      </w:tr>
      <w:tr>
        <w:trPr>
          <w:trHeight w:val="223"/>
        </w:trPr>
        <w:tc>
          <w:tcPr>
            <w:tcW w:w="612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100.0%</w:t>
            </w: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100.0%</w:t>
            </w:r>
          </w:p>
        </w:tc>
      </w:tr>
      <w:tr>
        <w:trPr>
          <w:trHeight w:val="230"/>
        </w:trPr>
        <w:tc>
          <w:tcPr>
            <w:tcW w:w="6120" w:type="dxa"/>
            <w:vAlign w:val="bottom"/>
          </w:tcPr>
          <w:p>
            <w:pPr>
              <w:spacing w:after="0"/>
              <w:rPr>
                <w:sz w:val="20"/>
                <w:szCs w:val="20"/>
                <w:color w:val="auto"/>
              </w:rPr>
            </w:pPr>
            <w:r>
              <w:rPr>
                <w:rFonts w:ascii="Arial" w:cs="Arial" w:eastAsia="Arial" w:hAnsi="Arial"/>
                <w:sz w:val="18"/>
                <w:szCs w:val="18"/>
                <w:color w:val="auto"/>
              </w:rPr>
              <w:t>Other revenue</w:t>
            </w:r>
          </w:p>
        </w:tc>
        <w:tc>
          <w:tcPr>
            <w:tcW w:w="1100" w:type="dxa"/>
            <w:vAlign w:val="bottom"/>
          </w:tcPr>
          <w:p>
            <w:pPr>
              <w:jc w:val="right"/>
              <w:spacing w:after="0"/>
              <w:rPr>
                <w:sz w:val="20"/>
                <w:szCs w:val="20"/>
                <w:color w:val="auto"/>
              </w:rPr>
            </w:pPr>
            <w:r>
              <w:rPr>
                <w:rFonts w:ascii="Arial" w:cs="Arial" w:eastAsia="Arial" w:hAnsi="Arial"/>
                <w:sz w:val="18"/>
                <w:szCs w:val="18"/>
                <w:color w:val="auto"/>
              </w:rPr>
              <w:t>0.4</w:t>
            </w:r>
          </w:p>
        </w:tc>
        <w:tc>
          <w:tcPr>
            <w:tcW w:w="16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0.6</w:t>
            </w:r>
          </w:p>
        </w:tc>
        <w:tc>
          <w:tcPr>
            <w:tcW w:w="180" w:type="dxa"/>
            <w:vAlign w:val="bottom"/>
          </w:tcPr>
          <w:p>
            <w:pPr>
              <w:spacing w:after="0"/>
              <w:rPr>
                <w:sz w:val="19"/>
                <w:szCs w:val="19"/>
                <w:color w:val="auto"/>
              </w:rPr>
            </w:pPr>
          </w:p>
        </w:tc>
      </w:tr>
      <w:tr>
        <w:trPr>
          <w:trHeight w:val="223"/>
        </w:trPr>
        <w:tc>
          <w:tcPr>
            <w:tcW w:w="612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revenue</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100.4</w:t>
            </w:r>
          </w:p>
        </w:tc>
        <w:tc>
          <w:tcPr>
            <w:tcW w:w="1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100.4</w:t>
            </w:r>
          </w:p>
        </w:tc>
        <w:tc>
          <w:tcPr>
            <w:tcW w:w="34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100.6</w:t>
            </w:r>
          </w:p>
        </w:tc>
        <w:tc>
          <w:tcPr>
            <w:tcW w:w="180" w:type="dxa"/>
            <w:vAlign w:val="bottom"/>
            <w:tcBorders>
              <w:top w:val="single" w:sz="8" w:color="CFF0FC"/>
            </w:tcBorders>
            <w:shd w:val="clear" w:color="auto" w:fill="CFF0FC"/>
          </w:tcPr>
          <w:p>
            <w:pPr>
              <w:spacing w:after="0"/>
              <w:rPr>
                <w:sz w:val="19"/>
                <w:szCs w:val="19"/>
                <w:color w:val="auto"/>
              </w:rPr>
            </w:pPr>
          </w:p>
        </w:tc>
      </w:tr>
      <w:tr>
        <w:trPr>
          <w:trHeight w:val="230"/>
        </w:trPr>
        <w:tc>
          <w:tcPr>
            <w:tcW w:w="6120" w:type="dxa"/>
            <w:vAlign w:val="bottom"/>
          </w:tcPr>
          <w:p>
            <w:pPr>
              <w:spacing w:after="0"/>
              <w:rPr>
                <w:sz w:val="20"/>
                <w:szCs w:val="20"/>
                <w:color w:val="auto"/>
              </w:rPr>
            </w:pPr>
            <w:r>
              <w:rPr>
                <w:rFonts w:ascii="Arial" w:cs="Arial" w:eastAsia="Arial" w:hAnsi="Arial"/>
                <w:sz w:val="18"/>
                <w:szCs w:val="18"/>
                <w:color w:val="auto"/>
              </w:rPr>
              <w:t>Cost of sales</w:t>
            </w:r>
          </w:p>
        </w:tc>
        <w:tc>
          <w:tcPr>
            <w:tcW w:w="1100" w:type="dxa"/>
            <w:vAlign w:val="bottom"/>
          </w:tcPr>
          <w:p>
            <w:pPr>
              <w:jc w:val="right"/>
              <w:spacing w:after="0"/>
              <w:rPr>
                <w:sz w:val="20"/>
                <w:szCs w:val="20"/>
                <w:color w:val="auto"/>
              </w:rPr>
            </w:pPr>
            <w:r>
              <w:rPr>
                <w:rFonts w:ascii="Arial" w:cs="Arial" w:eastAsia="Arial" w:hAnsi="Arial"/>
                <w:sz w:val="18"/>
                <w:szCs w:val="18"/>
                <w:color w:val="auto"/>
              </w:rPr>
              <w:t>58.5</w:t>
            </w:r>
          </w:p>
        </w:tc>
        <w:tc>
          <w:tcPr>
            <w:tcW w:w="16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59.2</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60.0</w:t>
            </w:r>
          </w:p>
        </w:tc>
        <w:tc>
          <w:tcPr>
            <w:tcW w:w="180" w:type="dxa"/>
            <w:vAlign w:val="bottom"/>
          </w:tcPr>
          <w:p>
            <w:pPr>
              <w:spacing w:after="0"/>
              <w:rPr>
                <w:sz w:val="19"/>
                <w:szCs w:val="19"/>
                <w:color w:val="auto"/>
              </w:rPr>
            </w:pPr>
          </w:p>
        </w:tc>
      </w:tr>
      <w:tr>
        <w:trPr>
          <w:trHeight w:val="230"/>
        </w:trPr>
        <w:tc>
          <w:tcPr>
            <w:tcW w:w="612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and administrative expenses</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w:t>
            </w:r>
          </w:p>
        </w:tc>
        <w:tc>
          <w:tcPr>
            <w:tcW w:w="1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31.0</w:t>
            </w: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w:t>
            </w:r>
          </w:p>
        </w:tc>
        <w:tc>
          <w:tcPr>
            <w:tcW w:w="180" w:type="dxa"/>
            <w:vAlign w:val="bottom"/>
            <w:shd w:val="clear" w:color="auto" w:fill="CFF0FC"/>
          </w:tcPr>
          <w:p>
            <w:pPr>
              <w:spacing w:after="0"/>
              <w:rPr>
                <w:sz w:val="19"/>
                <w:szCs w:val="19"/>
                <w:color w:val="auto"/>
              </w:rPr>
            </w:pPr>
          </w:p>
        </w:tc>
      </w:tr>
      <w:tr>
        <w:trPr>
          <w:trHeight w:val="230"/>
        </w:trPr>
        <w:tc>
          <w:tcPr>
            <w:tcW w:w="6120" w:type="dxa"/>
            <w:vAlign w:val="bottom"/>
          </w:tcPr>
          <w:p>
            <w:pPr>
              <w:spacing w:after="0"/>
              <w:rPr>
                <w:sz w:val="20"/>
                <w:szCs w:val="20"/>
                <w:color w:val="auto"/>
              </w:rPr>
            </w:pPr>
            <w:r>
              <w:rPr>
                <w:rFonts w:ascii="Arial" w:cs="Arial" w:eastAsia="Arial" w:hAnsi="Arial"/>
                <w:sz w:val="18"/>
                <w:szCs w:val="18"/>
                <w:color w:val="auto"/>
              </w:rPr>
              <w:t>Costs related to debt amendments and secondary offering</w:t>
            </w:r>
          </w:p>
        </w:tc>
        <w:tc>
          <w:tcPr>
            <w:tcW w:w="1100" w:type="dxa"/>
            <w:vAlign w:val="bottom"/>
          </w:tcPr>
          <w:p>
            <w:pPr>
              <w:jc w:val="right"/>
              <w:spacing w:after="0"/>
              <w:rPr>
                <w:sz w:val="20"/>
                <w:szCs w:val="20"/>
                <w:color w:val="auto"/>
              </w:rPr>
            </w:pPr>
            <w:r>
              <w:rPr>
                <w:rFonts w:ascii="Arial" w:cs="Arial" w:eastAsia="Arial" w:hAnsi="Arial"/>
                <w:sz w:val="18"/>
                <w:szCs w:val="18"/>
                <w:color w:val="auto"/>
              </w:rPr>
              <w:t>0.0</w:t>
            </w:r>
          </w:p>
        </w:tc>
        <w:tc>
          <w:tcPr>
            <w:tcW w:w="16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0.0</w:t>
            </w:r>
          </w:p>
        </w:tc>
        <w:tc>
          <w:tcPr>
            <w:tcW w:w="180" w:type="dxa"/>
            <w:vAlign w:val="bottom"/>
          </w:tcPr>
          <w:p>
            <w:pPr>
              <w:spacing w:after="0"/>
              <w:rPr>
                <w:sz w:val="19"/>
                <w:szCs w:val="19"/>
                <w:color w:val="auto"/>
              </w:rPr>
            </w:pPr>
          </w:p>
        </w:tc>
      </w:tr>
      <w:tr>
        <w:trPr>
          <w:trHeight w:val="230"/>
        </w:trPr>
        <w:tc>
          <w:tcPr>
            <w:tcW w:w="6120" w:type="dxa"/>
            <w:vAlign w:val="bottom"/>
            <w:shd w:val="clear" w:color="auto" w:fill="CFF0FC"/>
          </w:tcPr>
          <w:p>
            <w:pPr>
              <w:spacing w:after="0"/>
              <w:rPr>
                <w:sz w:val="20"/>
                <w:szCs w:val="20"/>
                <w:color w:val="auto"/>
              </w:rPr>
            </w:pPr>
            <w:r>
              <w:rPr>
                <w:rFonts w:ascii="Arial" w:cs="Arial" w:eastAsia="Arial" w:hAnsi="Arial"/>
                <w:sz w:val="18"/>
                <w:szCs w:val="18"/>
                <w:color w:val="auto"/>
              </w:rPr>
              <w:t>Stock option modification expense</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1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180" w:type="dxa"/>
            <w:vAlign w:val="bottom"/>
            <w:shd w:val="clear" w:color="auto" w:fill="CFF0FC"/>
          </w:tcPr>
          <w:p>
            <w:pPr>
              <w:spacing w:after="0"/>
              <w:rPr>
                <w:sz w:val="19"/>
                <w:szCs w:val="19"/>
                <w:color w:val="auto"/>
              </w:rPr>
            </w:pPr>
          </w:p>
        </w:tc>
      </w:tr>
      <w:tr>
        <w:trPr>
          <w:trHeight w:val="230"/>
        </w:trPr>
        <w:tc>
          <w:tcPr>
            <w:tcW w:w="61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100" w:type="dxa"/>
            <w:vAlign w:val="bottom"/>
          </w:tcPr>
          <w:p>
            <w:pPr>
              <w:jc w:val="right"/>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w:t>
            </w:r>
          </w:p>
        </w:tc>
        <w:tc>
          <w:tcPr>
            <w:tcW w:w="180" w:type="dxa"/>
            <w:vAlign w:val="bottom"/>
          </w:tcPr>
          <w:p>
            <w:pPr>
              <w:spacing w:after="0"/>
              <w:rPr>
                <w:sz w:val="19"/>
                <w:szCs w:val="19"/>
                <w:color w:val="auto"/>
              </w:rPr>
            </w:pPr>
          </w:p>
        </w:tc>
      </w:tr>
      <w:tr>
        <w:trPr>
          <w:trHeight w:val="230"/>
        </w:trPr>
        <w:tc>
          <w:tcPr>
            <w:tcW w:w="6120" w:type="dxa"/>
            <w:vAlign w:val="bottom"/>
            <w:shd w:val="clear" w:color="auto" w:fill="CFF0FC"/>
          </w:tcPr>
          <w:p>
            <w:pPr>
              <w:spacing w:after="0"/>
              <w:rPr>
                <w:sz w:val="20"/>
                <w:szCs w:val="20"/>
                <w:color w:val="auto"/>
              </w:rPr>
            </w:pPr>
            <w:r>
              <w:rPr>
                <w:rFonts w:ascii="Arial" w:cs="Arial" w:eastAsia="Arial" w:hAnsi="Arial"/>
                <w:sz w:val="18"/>
                <w:szCs w:val="18"/>
                <w:color w:val="auto"/>
              </w:rPr>
              <w:t>Impairment charges - long-lived assets</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1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180" w:type="dxa"/>
            <w:vAlign w:val="bottom"/>
            <w:shd w:val="clear" w:color="auto" w:fill="CFF0FC"/>
          </w:tcPr>
          <w:p>
            <w:pPr>
              <w:spacing w:after="0"/>
              <w:rPr>
                <w:sz w:val="19"/>
                <w:szCs w:val="19"/>
                <w:color w:val="auto"/>
              </w:rPr>
            </w:pPr>
          </w:p>
        </w:tc>
      </w:tr>
      <w:tr>
        <w:trPr>
          <w:trHeight w:val="230"/>
        </w:trPr>
        <w:tc>
          <w:tcPr>
            <w:tcW w:w="6120" w:type="dxa"/>
            <w:vAlign w:val="bottom"/>
          </w:tcPr>
          <w:p>
            <w:pPr>
              <w:spacing w:after="0"/>
              <w:rPr>
                <w:sz w:val="20"/>
                <w:szCs w:val="20"/>
                <w:color w:val="auto"/>
              </w:rPr>
            </w:pPr>
            <w:r>
              <w:rPr>
                <w:rFonts w:ascii="Arial" w:cs="Arial" w:eastAsia="Arial" w:hAnsi="Arial"/>
                <w:sz w:val="18"/>
                <w:szCs w:val="18"/>
                <w:color w:val="auto"/>
              </w:rPr>
              <w:t>Other income - net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c>
          <w:tcPr>
            <w:tcW w:w="1620" w:type="dxa"/>
            <w:vAlign w:val="bottom"/>
            <w:gridSpan w:val="3"/>
          </w:tcPr>
          <w:p>
            <w:pPr>
              <w:jc w:val="right"/>
              <w:ind w:right="300"/>
              <w:spacing w:after="0"/>
              <w:rPr>
                <w:sz w:val="20"/>
                <w:szCs w:val="20"/>
                <w:color w:val="auto"/>
              </w:rPr>
            </w:pPr>
            <w:r>
              <w:rPr>
                <w:rFonts w:ascii="Arial" w:cs="Arial" w:eastAsia="Arial" w:hAnsi="Arial"/>
                <w:sz w:val="18"/>
                <w:szCs w:val="18"/>
                <w:color w:val="auto"/>
              </w:rPr>
              <w:t>(0.2)</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(0.1)</w:t>
            </w:r>
          </w:p>
        </w:tc>
      </w:tr>
      <w:tr>
        <w:trPr>
          <w:trHeight w:val="230"/>
        </w:trPr>
        <w:tc>
          <w:tcPr>
            <w:tcW w:w="6120" w:type="dxa"/>
            <w:vAlign w:val="bottom"/>
            <w:shd w:val="clear" w:color="auto" w:fill="CFF0FC"/>
          </w:tcPr>
          <w:p>
            <w:pPr>
              <w:spacing w:after="0"/>
              <w:rPr>
                <w:sz w:val="20"/>
                <w:szCs w:val="20"/>
                <w:color w:val="auto"/>
              </w:rPr>
            </w:pPr>
            <w:r>
              <w:rPr>
                <w:rFonts w:ascii="Arial" w:cs="Arial" w:eastAsia="Arial" w:hAnsi="Arial"/>
                <w:sz w:val="18"/>
                <w:szCs w:val="18"/>
                <w:color w:val="auto"/>
              </w:rPr>
              <w:t>Loss on extinguishment of debt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1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180" w:type="dxa"/>
            <w:vAlign w:val="bottom"/>
            <w:shd w:val="clear" w:color="auto" w:fill="CFF0FC"/>
          </w:tcPr>
          <w:p>
            <w:pPr>
              <w:spacing w:after="0"/>
              <w:rPr>
                <w:sz w:val="19"/>
                <w:szCs w:val="19"/>
                <w:color w:val="auto"/>
              </w:rPr>
            </w:pPr>
          </w:p>
        </w:tc>
      </w:tr>
      <w:tr>
        <w:trPr>
          <w:trHeight w:val="230"/>
        </w:trPr>
        <w:tc>
          <w:tcPr>
            <w:tcW w:w="6120" w:type="dxa"/>
            <w:vAlign w:val="bottom"/>
          </w:tcPr>
          <w:p>
            <w:pPr>
              <w:spacing w:after="0"/>
              <w:rPr>
                <w:sz w:val="20"/>
                <w:szCs w:val="20"/>
                <w:color w:val="auto"/>
              </w:rPr>
            </w:pPr>
            <w:r>
              <w:rPr>
                <w:rFonts w:ascii="Arial" w:cs="Arial" w:eastAsia="Arial" w:hAnsi="Arial"/>
                <w:sz w:val="18"/>
                <w:szCs w:val="18"/>
                <w:color w:val="auto"/>
              </w:rPr>
              <w:t>Interest expense</w:t>
            </w:r>
          </w:p>
        </w:tc>
        <w:tc>
          <w:tcPr>
            <w:tcW w:w="1100" w:type="dxa"/>
            <w:vAlign w:val="bottom"/>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9"/>
                <w:szCs w:val="19"/>
                <w:color w:val="auto"/>
              </w:rPr>
            </w:pPr>
          </w:p>
        </w:tc>
      </w:tr>
      <w:tr>
        <w:trPr>
          <w:trHeight w:val="223"/>
        </w:trPr>
        <w:tc>
          <w:tcPr>
            <w:tcW w:w="612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costs and expenses</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93.3</w:t>
            </w:r>
          </w:p>
        </w:tc>
        <w:tc>
          <w:tcPr>
            <w:tcW w:w="1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94.4</w:t>
            </w:r>
          </w:p>
        </w:tc>
        <w:tc>
          <w:tcPr>
            <w:tcW w:w="34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96.0</w:t>
            </w:r>
          </w:p>
        </w:tc>
        <w:tc>
          <w:tcPr>
            <w:tcW w:w="180" w:type="dxa"/>
            <w:vAlign w:val="bottom"/>
            <w:tcBorders>
              <w:top w:val="single" w:sz="8" w:color="CFF0FC"/>
            </w:tcBorders>
            <w:shd w:val="clear" w:color="auto" w:fill="CFF0FC"/>
          </w:tcPr>
          <w:p>
            <w:pPr>
              <w:spacing w:after="0"/>
              <w:rPr>
                <w:sz w:val="19"/>
                <w:szCs w:val="19"/>
                <w:color w:val="auto"/>
              </w:rPr>
            </w:pPr>
          </w:p>
        </w:tc>
      </w:tr>
      <w:tr>
        <w:trPr>
          <w:trHeight w:val="223"/>
        </w:trPr>
        <w:tc>
          <w:tcPr>
            <w:tcW w:w="6120" w:type="dxa"/>
            <w:vAlign w:val="bottom"/>
          </w:tcPr>
          <w:p>
            <w:pPr>
              <w:spacing w:after="0"/>
              <w:rPr>
                <w:sz w:val="20"/>
                <w:szCs w:val="20"/>
                <w:color w:val="auto"/>
              </w:rPr>
            </w:pPr>
            <w:r>
              <w:rPr>
                <w:rFonts w:ascii="Arial" w:cs="Arial" w:eastAsia="Arial" w:hAnsi="Arial"/>
                <w:sz w:val="18"/>
                <w:szCs w:val="18"/>
                <w:color w:val="auto"/>
              </w:rPr>
              <w:t>Income before income tax expense</w:t>
            </w:r>
          </w:p>
        </w:tc>
        <w:tc>
          <w:tcPr>
            <w:tcW w:w="1100" w:type="dxa"/>
            <w:vAlign w:val="bottom"/>
          </w:tcPr>
          <w:p>
            <w:pPr>
              <w:jc w:val="right"/>
              <w:spacing w:after="0"/>
              <w:rPr>
                <w:sz w:val="20"/>
                <w:szCs w:val="20"/>
                <w:color w:val="auto"/>
              </w:rPr>
            </w:pPr>
            <w:r>
              <w:rPr>
                <w:rFonts w:ascii="Arial" w:cs="Arial" w:eastAsia="Arial" w:hAnsi="Arial"/>
                <w:sz w:val="18"/>
                <w:szCs w:val="18"/>
                <w:color w:val="auto"/>
              </w:rPr>
              <w:t>7.1</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6.0</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w:t>
            </w:r>
          </w:p>
        </w:tc>
        <w:tc>
          <w:tcPr>
            <w:tcW w:w="180" w:type="dxa"/>
            <w:vAlign w:val="bottom"/>
          </w:tcPr>
          <w:p>
            <w:pPr>
              <w:spacing w:after="0"/>
              <w:rPr>
                <w:sz w:val="19"/>
                <w:szCs w:val="19"/>
                <w:color w:val="auto"/>
              </w:rPr>
            </w:pPr>
          </w:p>
        </w:tc>
      </w:tr>
      <w:tr>
        <w:trPr>
          <w:trHeight w:val="230"/>
        </w:trPr>
        <w:tc>
          <w:tcPr>
            <w:tcW w:w="612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0.7</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340" w:type="dxa"/>
            <w:vAlign w:val="bottom"/>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80" w:type="dxa"/>
            <w:vAlign w:val="bottom"/>
            <w:shd w:val="clear" w:color="auto" w:fill="CFF0FC"/>
          </w:tcPr>
          <w:p>
            <w:pPr>
              <w:spacing w:after="0"/>
              <w:rPr>
                <w:sz w:val="19"/>
                <w:szCs w:val="19"/>
                <w:color w:val="auto"/>
              </w:rPr>
            </w:pPr>
          </w:p>
        </w:tc>
      </w:tr>
      <w:tr>
        <w:trPr>
          <w:trHeight w:val="223"/>
        </w:trPr>
        <w:tc>
          <w:tcPr>
            <w:tcW w:w="6120" w:type="dxa"/>
            <w:vAlign w:val="bottom"/>
          </w:tcPr>
          <w:p>
            <w:pPr>
              <w:spacing w:after="0"/>
              <w:rPr>
                <w:sz w:val="20"/>
                <w:szCs w:val="20"/>
                <w:color w:val="auto"/>
              </w:rPr>
            </w:pPr>
            <w:r>
              <w:rPr>
                <w:rFonts w:ascii="Arial" w:cs="Arial" w:eastAsia="Arial" w:hAnsi="Arial"/>
                <w:sz w:val="18"/>
                <w:szCs w:val="18"/>
                <w:color w:val="auto"/>
              </w:rPr>
              <w:t>Net income</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6.4%</w:t>
            </w:r>
          </w:p>
        </w:tc>
        <w:tc>
          <w:tcPr>
            <w:tcW w:w="20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3.9%</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r>
      <w:tr>
        <w:trPr>
          <w:trHeight w:val="20"/>
        </w:trPr>
        <w:tc>
          <w:tcPr>
            <w:tcW w:w="61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35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Performance for Fiscal Year (53 weeks) Ended February 3, 2018 (Fiscal 2017) Compared with Fiscal Year (52 weeks) Ended January 28, 2017 (Fiscal 2016)</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sales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Net sales improved $518.7 million, or 9.3%, to $6,084.8 million, primarily attributable to the following:</w:t>
      </w:r>
    </w:p>
    <w:p>
      <w:pPr>
        <w:spacing w:after="0" w:line="117" w:lineRule="exact"/>
        <w:rPr>
          <w:sz w:val="20"/>
          <w:szCs w:val="20"/>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 increase of $274.0 million from our new and non-comparable stores;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 increase in comparable store sales of $184.9 million, or 3.4%, to $5,581.6 million;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 increase of $82.1 million from the of 53</w:t>
      </w:r>
      <w:r>
        <w:rPr>
          <w:rFonts w:ascii="Arial" w:cs="Arial" w:eastAsia="Arial" w:hAnsi="Arial"/>
          <w:sz w:val="15"/>
          <w:szCs w:val="15"/>
          <w:color w:val="auto"/>
        </w:rPr>
        <w:t>rd</w:t>
      </w:r>
      <w:r>
        <w:rPr>
          <w:rFonts w:ascii="Arial" w:cs="Arial" w:eastAsia="Arial" w:hAnsi="Arial"/>
          <w:sz w:val="18"/>
          <w:szCs w:val="18"/>
          <w:color w:val="auto"/>
        </w:rPr>
        <w:t xml:space="preserve"> week of Fiscal 2017; partially offset by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$22.3 million decrease related to the net impact of permanently closed stores and other sales adjustments.</w:t>
      </w:r>
    </w:p>
    <w:p>
      <w:pPr>
        <w:spacing w:after="0" w:line="225" w:lineRule="exact"/>
        <w:rPr>
          <w:sz w:val="20"/>
          <w:szCs w:val="20"/>
          <w:color w:val="auto"/>
        </w:rPr>
      </w:pPr>
    </w:p>
    <w:p>
      <w:pPr>
        <w:ind w:right="80" w:firstLine="588"/>
        <w:spacing w:after="0" w:line="279" w:lineRule="auto"/>
        <w:rPr>
          <w:sz w:val="20"/>
          <w:szCs w:val="20"/>
          <w:color w:val="auto"/>
        </w:rPr>
      </w:pPr>
      <w:r>
        <w:rPr>
          <w:rFonts w:ascii="Arial" w:cs="Arial" w:eastAsia="Arial" w:hAnsi="Arial"/>
          <w:sz w:val="17"/>
          <w:szCs w:val="17"/>
          <w:color w:val="auto"/>
        </w:rPr>
        <w:t>We believe that the comparable store sales increase was primarily due to the improved execution of our off-price model. During Fiscal 2017, we closed a total of 19 stores due to weather-related incidents. In accordance with our policy, we removed these stores from our calculation of comparable stores sales for the month(s) in which the stores were closed for seven or more days. The impact of these store closures are reflected in the total sales results for Fiscal 2017, and reduced the incremental contribution from new and non-comparable sales by approximately $47 million.</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sales</w:t>
      </w:r>
    </w:p>
    <w:p>
      <w:pPr>
        <w:spacing w:after="0" w:line="117"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Cost of sales as a percentage of net sales improved approximately 70 basis points to 58.5% during Fiscal 2017, primarily driven by strong merchandise margins. Product sourcing costs were flat, which are included in the line item “Selling, general and administrative expenses” in our Consolidated Statements of Income. On a dollar basis, cost of sales increased $261.8 million, or 7.9%, primarily driven by our overall increase in sales and costs incurred during the 53</w:t>
      </w:r>
      <w:r>
        <w:rPr>
          <w:rFonts w:ascii="Arial" w:cs="Arial" w:eastAsia="Arial" w:hAnsi="Arial"/>
          <w:sz w:val="15"/>
          <w:szCs w:val="15"/>
          <w:color w:val="auto"/>
        </w:rPr>
        <w:t>rd</w:t>
      </w:r>
      <w:r>
        <w:rPr>
          <w:rFonts w:ascii="Arial" w:cs="Arial" w:eastAsia="Arial" w:hAnsi="Arial"/>
          <w:sz w:val="18"/>
          <w:szCs w:val="18"/>
          <w:color w:val="auto"/>
        </w:rPr>
        <w:t xml:space="preserve"> week of Fiscal 2017.</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35" w:name="page36"/>
    <w:bookmarkEnd w:id="35"/>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17" w:lineRule="exact"/>
        <w:rPr>
          <w:sz w:val="20"/>
          <w:szCs w:val="20"/>
          <w:color w:val="auto"/>
        </w:rPr>
      </w:pPr>
    </w:p>
    <w:p>
      <w:pPr>
        <w:ind w:right="400" w:firstLine="518"/>
        <w:spacing w:after="0" w:line="277" w:lineRule="auto"/>
        <w:rPr>
          <w:sz w:val="20"/>
          <w:szCs w:val="20"/>
          <w:color w:val="auto"/>
        </w:rPr>
      </w:pPr>
      <w:r>
        <w:rPr>
          <w:rFonts w:ascii="Arial" w:cs="Arial" w:eastAsia="Arial" w:hAnsi="Arial"/>
          <w:sz w:val="18"/>
          <w:szCs w:val="18"/>
          <w:color w:val="auto"/>
        </w:rPr>
        <w:t>Selling, general and administrative expenses as a percentage of net sales improved 40 basis points during Fiscal 2017. The following table details selling, general and administrative expenses for Fiscal 2017 compared with Fiscal 2016:</w:t>
      </w:r>
    </w:p>
    <w:p>
      <w:pPr>
        <w:spacing w:after="0" w:line="247" w:lineRule="exact"/>
        <w:rPr>
          <w:sz w:val="20"/>
          <w:szCs w:val="20"/>
          <w:color w:val="auto"/>
        </w:rPr>
      </w:pPr>
    </w:p>
    <w:tbl>
      <w:tblPr>
        <w:tblLayout w:type="fixed"/>
        <w:tblInd w:w="300" w:type="dxa"/>
        <w:tblCellMar>
          <w:top w:w="0" w:type="dxa"/>
          <w:left w:w="0" w:type="dxa"/>
          <w:bottom w:w="0" w:type="dxa"/>
          <w:right w:w="0" w:type="dxa"/>
        </w:tblCellMar>
      </w:tblPr>
      <w:tr>
        <w:trPr>
          <w:trHeight w:val="167"/>
        </w:trPr>
        <w:tc>
          <w:tcPr>
            <w:tcW w:w="37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4"/>
          </w:tcPr>
          <w:p>
            <w:pPr>
              <w:jc w:val="right"/>
              <w:ind w:right="900"/>
              <w:spacing w:after="0"/>
              <w:rPr>
                <w:sz w:val="20"/>
                <w:szCs w:val="20"/>
                <w:color w:val="auto"/>
              </w:rPr>
            </w:pPr>
            <w:r>
              <w:rPr>
                <w:rFonts w:ascii="Arial" w:cs="Arial" w:eastAsia="Arial" w:hAnsi="Arial"/>
                <w:sz w:val="14"/>
                <w:szCs w:val="14"/>
                <w:b w:val="1"/>
                <w:bCs w:val="1"/>
                <w:i w:val="1"/>
                <w:iCs w:val="1"/>
                <w:color w:val="auto"/>
              </w:rPr>
              <w:t>(in millions)</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7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20" w:type="dxa"/>
            <w:vAlign w:val="bottom"/>
            <w:tcBorders>
              <w:bottom w:val="single" w:sz="8" w:color="auto"/>
            </w:tcBorders>
            <w:gridSpan w:val="4"/>
          </w:tcPr>
          <w:p>
            <w:pPr>
              <w:jc w:val="right"/>
              <w:ind w:right="700"/>
              <w:spacing w:after="0" w:line="155" w:lineRule="exact"/>
              <w:rPr>
                <w:sz w:val="20"/>
                <w:szCs w:val="20"/>
                <w:color w:val="auto"/>
              </w:rPr>
            </w:pPr>
            <w:r>
              <w:rPr>
                <w:rFonts w:ascii="Arial" w:cs="Arial" w:eastAsia="Arial" w:hAnsi="Arial"/>
                <w:sz w:val="14"/>
                <w:szCs w:val="14"/>
                <w:b w:val="1"/>
                <w:bCs w:val="1"/>
                <w:color w:val="auto"/>
              </w:rPr>
              <w:t>Fiscal Year Ended</w:t>
            </w: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3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5"/>
              </w:rPr>
              <w:t>February 3,</w:t>
            </w:r>
          </w:p>
        </w:tc>
        <w:tc>
          <w:tcPr>
            <w:tcW w:w="116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90"/>
              </w:rPr>
              <w:t>Percentage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January 28,</w:t>
            </w:r>
          </w:p>
        </w:tc>
        <w:tc>
          <w:tcPr>
            <w:tcW w:w="114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87"/>
              </w:rPr>
              <w:t>Percentage</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36"/>
              <w:spacing w:after="0" w:line="149" w:lineRule="exact"/>
              <w:rPr>
                <w:sz w:val="20"/>
                <w:szCs w:val="20"/>
                <w:color w:val="auto"/>
              </w:rPr>
            </w:pPr>
            <w:r>
              <w:rPr>
                <w:rFonts w:ascii="Arial" w:cs="Arial" w:eastAsia="Arial" w:hAnsi="Arial"/>
                <w:sz w:val="14"/>
                <w:szCs w:val="14"/>
                <w:b w:val="1"/>
                <w:bCs w:val="1"/>
                <w:color w:val="auto"/>
                <w:w w:val="89"/>
              </w:rPr>
              <w:t>2018</w:t>
            </w:r>
          </w:p>
        </w:tc>
        <w:tc>
          <w:tcPr>
            <w:tcW w:w="220" w:type="dxa"/>
            <w:vAlign w:val="bottom"/>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of</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of</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w w:val="91"/>
              </w:rPr>
              <w:t>$ Variance</w:t>
            </w:r>
          </w:p>
        </w:tc>
        <w:tc>
          <w:tcPr>
            <w:tcW w:w="220" w:type="dxa"/>
            <w:vAlign w:val="bottom"/>
            <w:vMerge w:val="restart"/>
          </w:tcPr>
          <w:p>
            <w:pPr>
              <w:spacing w:after="0"/>
              <w:rPr>
                <w:sz w:val="12"/>
                <w:szCs w:val="12"/>
                <w:color w:val="auto"/>
              </w:rPr>
            </w:pPr>
          </w:p>
        </w:tc>
        <w:tc>
          <w:tcPr>
            <w:tcW w:w="94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 Change</w:t>
            </w:r>
          </w:p>
        </w:tc>
        <w:tc>
          <w:tcPr>
            <w:tcW w:w="18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7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2"/>
              </w:rPr>
              <w:t>(53 Weeks)</w:t>
            </w:r>
          </w:p>
        </w:tc>
        <w:tc>
          <w:tcPr>
            <w:tcW w:w="220" w:type="dxa"/>
            <w:vAlign w:val="bottom"/>
            <w:tcBorders>
              <w:bottom w:val="single" w:sz="8" w:color="CFF0FC"/>
            </w:tcBorders>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Net Sales</w:t>
            </w:r>
          </w:p>
        </w:tc>
        <w:tc>
          <w:tcPr>
            <w:tcW w:w="2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FF0FC"/>
            </w:tcBorders>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Net Sales</w:t>
            </w:r>
          </w:p>
        </w:tc>
        <w:tc>
          <w:tcPr>
            <w:tcW w:w="20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FF0FC"/>
            </w:tcBorders>
            <w:vMerge w:val="continue"/>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CFF0F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Store related costs</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1,236.0</w:t>
            </w:r>
          </w:p>
        </w:tc>
        <w:tc>
          <w:tcPr>
            <w:tcW w:w="2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20.3%</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1,133.8</w:t>
            </w: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20.4%</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102.2</w:t>
            </w:r>
          </w:p>
        </w:tc>
        <w:tc>
          <w:tcPr>
            <w:tcW w:w="2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ind w:left="700"/>
              <w:spacing w:after="0"/>
              <w:rPr>
                <w:sz w:val="20"/>
                <w:szCs w:val="20"/>
                <w:color w:val="auto"/>
              </w:rPr>
            </w:pPr>
            <w:r>
              <w:rPr>
                <w:rFonts w:ascii="Arial" w:cs="Arial" w:eastAsia="Arial" w:hAnsi="Arial"/>
                <w:sz w:val="18"/>
                <w:szCs w:val="18"/>
                <w:color w:val="auto"/>
                <w:w w:val="97"/>
              </w:rPr>
              <w:t>9.0%</w:t>
            </w:r>
          </w:p>
        </w:tc>
        <w:tc>
          <w:tcPr>
            <w:tcW w:w="0" w:type="dxa"/>
            <w:vAlign w:val="bottom"/>
          </w:tcPr>
          <w:p>
            <w:pPr>
              <w:spacing w:after="0"/>
              <w:rPr>
                <w:sz w:val="1"/>
                <w:szCs w:val="1"/>
                <w:color w:val="auto"/>
              </w:rPr>
            </w:pP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Product sourcing costs</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283.6</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261.0</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22.6</w:t>
            </w:r>
          </w:p>
        </w:tc>
        <w:tc>
          <w:tcPr>
            <w:tcW w:w="220" w:type="dxa"/>
            <w:vAlign w:val="bottom"/>
          </w:tcPr>
          <w:p>
            <w:pPr>
              <w:spacing w:after="0"/>
              <w:rPr>
                <w:sz w:val="19"/>
                <w:szCs w:val="19"/>
                <w:color w:val="auto"/>
              </w:rPr>
            </w:pPr>
          </w:p>
        </w:tc>
        <w:tc>
          <w:tcPr>
            <w:tcW w:w="940" w:type="dxa"/>
            <w:vAlign w:val="bottom"/>
          </w:tcPr>
          <w:p>
            <w:pPr>
              <w:ind w:left="700"/>
              <w:spacing w:after="0"/>
              <w:rPr>
                <w:sz w:val="20"/>
                <w:szCs w:val="20"/>
                <w:color w:val="auto"/>
              </w:rPr>
            </w:pPr>
            <w:r>
              <w:rPr>
                <w:rFonts w:ascii="Arial" w:cs="Arial" w:eastAsia="Arial" w:hAnsi="Arial"/>
                <w:sz w:val="18"/>
                <w:szCs w:val="18"/>
                <w:color w:val="auto"/>
                <w:w w:val="87"/>
              </w:rPr>
              <w:t>8.7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Corporate costs</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180.5</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168.5</w:t>
            </w: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ind w:left="700"/>
              <w:spacing w:after="0"/>
              <w:rPr>
                <w:sz w:val="20"/>
                <w:szCs w:val="20"/>
                <w:color w:val="auto"/>
              </w:rPr>
            </w:pPr>
            <w:r>
              <w:rPr>
                <w:rFonts w:ascii="Arial" w:cs="Arial" w:eastAsia="Arial" w:hAnsi="Arial"/>
                <w:sz w:val="18"/>
                <w:szCs w:val="18"/>
                <w:color w:val="auto"/>
                <w:w w:val="87"/>
              </w:rPr>
              <w:t>7.1</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Marketing and strategy costs</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92.2</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91.8</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0.4</w:t>
            </w:r>
          </w:p>
        </w:tc>
        <w:tc>
          <w:tcPr>
            <w:tcW w:w="220" w:type="dxa"/>
            <w:vAlign w:val="bottom"/>
          </w:tcPr>
          <w:p>
            <w:pPr>
              <w:spacing w:after="0"/>
              <w:rPr>
                <w:sz w:val="19"/>
                <w:szCs w:val="19"/>
                <w:color w:val="auto"/>
              </w:rPr>
            </w:pPr>
          </w:p>
        </w:tc>
        <w:tc>
          <w:tcPr>
            <w:tcW w:w="940" w:type="dxa"/>
            <w:vAlign w:val="bottom"/>
          </w:tcPr>
          <w:p>
            <w:pPr>
              <w:ind w:left="700"/>
              <w:spacing w:after="0"/>
              <w:rPr>
                <w:sz w:val="20"/>
                <w:szCs w:val="20"/>
                <w:color w:val="auto"/>
              </w:rPr>
            </w:pPr>
            <w:r>
              <w:rPr>
                <w:rFonts w:ascii="Arial" w:cs="Arial" w:eastAsia="Arial" w:hAnsi="Arial"/>
                <w:sz w:val="18"/>
                <w:szCs w:val="18"/>
                <w:color w:val="auto"/>
                <w:w w:val="87"/>
              </w:rPr>
              <w:t>0.4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w w:val="93"/>
              </w:rPr>
              <w:t>Other selling, general and administrative expenses</w:t>
            </w:r>
          </w:p>
        </w:tc>
        <w:tc>
          <w:tcPr>
            <w:tcW w:w="1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71.2</w:t>
            </w:r>
          </w:p>
        </w:tc>
        <w:tc>
          <w:tcPr>
            <w:tcW w:w="22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68.2</w:t>
            </w:r>
          </w:p>
        </w:tc>
        <w:tc>
          <w:tcPr>
            <w:tcW w:w="24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22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ind w:left="700"/>
              <w:spacing w:after="0"/>
              <w:rPr>
                <w:sz w:val="20"/>
                <w:szCs w:val="20"/>
                <w:color w:val="auto"/>
              </w:rPr>
            </w:pPr>
            <w:r>
              <w:rPr>
                <w:rFonts w:ascii="Arial" w:cs="Arial" w:eastAsia="Arial" w:hAnsi="Arial"/>
                <w:sz w:val="18"/>
                <w:szCs w:val="18"/>
                <w:color w:val="auto"/>
                <w:w w:val="87"/>
              </w:rPr>
              <w:t>4.4</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80" w:type="dxa"/>
            <w:vAlign w:val="bottom"/>
          </w:tcPr>
          <w:p>
            <w:pPr>
              <w:spacing w:after="0"/>
              <w:rPr>
                <w:sz w:val="20"/>
                <w:szCs w:val="20"/>
                <w:color w:val="auto"/>
              </w:rPr>
            </w:pPr>
            <w:r>
              <w:rPr>
                <w:rFonts w:ascii="Arial" w:cs="Arial" w:eastAsia="Arial" w:hAnsi="Arial"/>
                <w:sz w:val="18"/>
                <w:szCs w:val="18"/>
                <w:b w:val="1"/>
                <w:bCs w:val="1"/>
                <w:color w:val="auto"/>
                <w:w w:val="97"/>
              </w:rPr>
              <w:t>Selling, general and administrative expenses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1,863.</w:t>
            </w:r>
            <w:r>
              <w:rPr>
                <w:rFonts w:ascii="Arial" w:cs="Arial" w:eastAsia="Arial" w:hAnsi="Arial"/>
                <w:sz w:val="18"/>
                <w:szCs w:val="18"/>
                <w:u w:val="single" w:color="auto"/>
                <w:color w:val="auto"/>
              </w:rPr>
              <w:t>5</w:t>
            </w:r>
          </w:p>
        </w:tc>
        <w:tc>
          <w:tcPr>
            <w:tcW w:w="22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30.6%</w:t>
            </w:r>
          </w:p>
        </w:tc>
        <w:tc>
          <w:tcPr>
            <w:tcW w:w="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1,723.</w:t>
            </w:r>
            <w:r>
              <w:rPr>
                <w:rFonts w:ascii="Arial" w:cs="Arial" w:eastAsia="Arial" w:hAnsi="Arial"/>
                <w:sz w:val="18"/>
                <w:szCs w:val="18"/>
                <w:u w:val="single" w:color="auto"/>
                <w:color w:val="auto"/>
              </w:rPr>
              <w:t>3</w:t>
            </w:r>
          </w:p>
        </w:tc>
        <w:tc>
          <w:tcPr>
            <w:tcW w:w="24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31.0%</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140.2</w:t>
            </w:r>
          </w:p>
        </w:tc>
        <w:tc>
          <w:tcPr>
            <w:tcW w:w="220" w:type="dxa"/>
            <w:vAlign w:val="bottom"/>
          </w:tcPr>
          <w:p>
            <w:pPr>
              <w:spacing w:after="0"/>
              <w:rPr>
                <w:sz w:val="19"/>
                <w:szCs w:val="19"/>
                <w:color w:val="auto"/>
              </w:rPr>
            </w:pPr>
          </w:p>
        </w:tc>
        <w:tc>
          <w:tcPr>
            <w:tcW w:w="1120" w:type="dxa"/>
            <w:vAlign w:val="bottom"/>
            <w:gridSpan w:val="2"/>
          </w:tcPr>
          <w:p>
            <w:pPr>
              <w:ind w:left="700"/>
              <w:spacing w:after="0"/>
              <w:rPr>
                <w:sz w:val="20"/>
                <w:szCs w:val="20"/>
                <w:color w:val="auto"/>
              </w:rPr>
            </w:pPr>
            <w:r>
              <w:rPr>
                <w:rFonts w:ascii="Arial" w:cs="Arial" w:eastAsia="Arial" w:hAnsi="Arial"/>
                <w:sz w:val="18"/>
                <w:szCs w:val="18"/>
                <w:color w:val="auto"/>
                <w:w w:val="97"/>
              </w:rPr>
              <w:t>8.1%</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Store related costs as a percentage of net sales improved approximately 10 basis points during Fiscal 2017, driven by leverage in occupancy costs. We were able to utilize efficiencies realized through the continued simplification of store operating procedures and improvement of execution to offset (i) minimum wage increases at our stores, as well as (ii) store payroll for our Puerto Rico stores with no related sales at the stores that were closed during Fiscal 2017 as a result of the hurricanes. On a dollar basis, the $102.2 million increase was primarily driven by our new and non-comparable stores, as well as costs incurred during the 53</w:t>
      </w:r>
      <w:r>
        <w:rPr>
          <w:rFonts w:ascii="Arial" w:cs="Arial" w:eastAsia="Arial" w:hAnsi="Arial"/>
          <w:sz w:val="15"/>
          <w:szCs w:val="15"/>
          <w:color w:val="auto"/>
        </w:rPr>
        <w:t>rd</w:t>
      </w:r>
      <w:r>
        <w:rPr>
          <w:rFonts w:ascii="Arial" w:cs="Arial" w:eastAsia="Arial" w:hAnsi="Arial"/>
          <w:sz w:val="18"/>
          <w:szCs w:val="18"/>
          <w:color w:val="auto"/>
        </w:rPr>
        <w:t xml:space="preserve"> week of Fiscal 2017.</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Product sourcing costs as a percentage of net sales remained flat during Fiscal 2017.</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Corporate costs increased $12.0 million during Fiscal 2017, primarily driven by an increase in our stock-based compensation.</w:t>
      </w:r>
    </w:p>
    <w:p>
      <w:pPr>
        <w:spacing w:after="0" w:line="225"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Marketing and strategy costs as a percentage of net sales improved 10 basis points during Fiscal 2017, primarily driven by our increased leverage from our national television advertising.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related to debt amendments and secondary offering</w:t>
      </w:r>
    </w:p>
    <w:p>
      <w:pPr>
        <w:spacing w:after="0" w:line="117" w:lineRule="exact"/>
        <w:rPr>
          <w:sz w:val="20"/>
          <w:szCs w:val="20"/>
          <w:color w:val="auto"/>
        </w:rPr>
      </w:pPr>
    </w:p>
    <w:p>
      <w:pPr>
        <w:ind w:right="220" w:firstLine="518"/>
        <w:spacing w:after="0" w:line="312" w:lineRule="auto"/>
        <w:rPr>
          <w:sz w:val="20"/>
          <w:szCs w:val="20"/>
          <w:color w:val="auto"/>
        </w:rPr>
      </w:pPr>
      <w:r>
        <w:rPr>
          <w:rFonts w:ascii="Arial" w:cs="Arial" w:eastAsia="Arial" w:hAnsi="Arial"/>
          <w:sz w:val="16"/>
          <w:szCs w:val="16"/>
          <w:color w:val="auto"/>
        </w:rPr>
        <w:t>During Fiscal 2017 and Fiscal 2016, we recorded costs related to debt amendments of $2.3 million and $1.3 million, respectively, representing legal and placement fees incurred in connection with the repricing and extension of our Term Loan Facility in Fiscal 2017, and the repricing of our Term Loan Facility in Fiscal 2016. Refer to Note 7, “Long Term Debt,” to our Consolidated Financial Statements for further details regarding these transactions.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160" w:firstLine="518"/>
        <w:spacing w:after="0" w:line="286" w:lineRule="auto"/>
        <w:rPr>
          <w:sz w:val="20"/>
          <w:szCs w:val="20"/>
          <w:color w:val="auto"/>
        </w:rPr>
      </w:pPr>
      <w:r>
        <w:rPr>
          <w:rFonts w:ascii="Arial" w:cs="Arial" w:eastAsia="Arial" w:hAnsi="Arial"/>
          <w:sz w:val="17"/>
          <w:szCs w:val="17"/>
          <w:color w:val="auto"/>
        </w:rPr>
        <w:t>Depreciation and amortization expense related to the depreciation and amortization of fixed assets and the amortization of favorable and unfavorable leases amounted to $201.1 million during Fiscal 2017 compared with $183.6 million during Fiscal 2016. The increase was primarily driven by our investments in new and non-comparable stores, as well as depreciation and amortization for the 53</w:t>
      </w:r>
      <w:r>
        <w:rPr>
          <w:rFonts w:ascii="Arial" w:cs="Arial" w:eastAsia="Arial" w:hAnsi="Arial"/>
          <w:sz w:val="14"/>
          <w:szCs w:val="14"/>
          <w:color w:val="auto"/>
        </w:rPr>
        <w:t>rd</w:t>
      </w:r>
      <w:r>
        <w:rPr>
          <w:rFonts w:ascii="Arial" w:cs="Arial" w:eastAsia="Arial" w:hAnsi="Arial"/>
          <w:sz w:val="17"/>
          <w:szCs w:val="17"/>
          <w:color w:val="auto"/>
        </w:rPr>
        <w:t xml:space="preserve"> week during Fiscal 2017.</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charges—long-lived assets</w:t>
      </w:r>
    </w:p>
    <w:p>
      <w:pPr>
        <w:spacing w:after="0" w:line="117"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Impairment charges related to long-lived assets were $2.1 million and $2.5 million during Fiscal 2017 and Fiscal 2016, respectively. We recorded impairment charges related to store-level assets for four stores and five stores during Fiscal 2017 and Fiscal 2016, respectively. During Fiscal 2016, we also recorded impairment charges for capital expenditures for previously impaired stores. Refer to Note 6 to our Consolidated Financial Statements, “Impairment Charges,” for further discussion.</w:t>
      </w:r>
    </w:p>
    <w:p>
      <w:pPr>
        <w:spacing w:after="0" w:line="187"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The recoverability assessment related to these store-level assets requires various judgments and estimates, including estimates related to future revenues, gross margin rates, store expenses and other assumptions. We base these estimates upon our past and expected future performance. We believe our estimates are appropriate in light of current market conditions. However, future impairment charges could be required if we do not achieve our current revenue or cash flow projections for each store.</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36" w:name="page37"/>
    <w:bookmarkEnd w:id="36"/>
    <w:p>
      <w:pPr>
        <w:spacing w:after="0"/>
        <w:rPr>
          <w:sz w:val="20"/>
          <w:szCs w:val="20"/>
          <w:color w:val="auto"/>
        </w:rPr>
      </w:pPr>
      <w:r>
        <w:rPr>
          <w:rFonts w:ascii="Arial" w:cs="Arial" w:eastAsia="Arial" w:hAnsi="Arial"/>
          <w:sz w:val="18"/>
          <w:szCs w:val="18"/>
          <w:i w:val="1"/>
          <w:iCs w:val="1"/>
          <w:color w:val="auto"/>
        </w:rPr>
        <w:t>Other income, net</w:t>
      </w:r>
    </w:p>
    <w:p>
      <w:pPr>
        <w:spacing w:after="0" w:line="117"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Other income, net (consisting of breakage income, gains and losses on disposition of assets, investment income and other miscellaneous items) decreased $1.9 million to $8.9 million during Fiscal 2017. The decrease in other income was primarily driven by the losses recognized related to damage to our stores caused by certain weather-related incidents during Fiscal 2017, as well as a gain on the sale of one of our owned stores during Fiscal 2016 that did not repeat in Fiscal 2017.</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on extinguishment of debt</w:t>
      </w:r>
    </w:p>
    <w:p>
      <w:pPr>
        <w:spacing w:after="0" w:line="117" w:lineRule="exact"/>
        <w:rPr>
          <w:sz w:val="20"/>
          <w:szCs w:val="20"/>
          <w:color w:val="auto"/>
        </w:rPr>
      </w:pPr>
    </w:p>
    <w:p>
      <w:pPr>
        <w:jc w:val="both"/>
        <w:ind w:right="280" w:firstLine="518"/>
        <w:spacing w:after="0" w:line="264" w:lineRule="auto"/>
        <w:rPr>
          <w:sz w:val="20"/>
          <w:szCs w:val="20"/>
          <w:color w:val="auto"/>
        </w:rPr>
      </w:pPr>
      <w:r>
        <w:rPr>
          <w:rFonts w:ascii="Arial" w:cs="Arial" w:eastAsia="Arial" w:hAnsi="Arial"/>
          <w:sz w:val="18"/>
          <w:szCs w:val="18"/>
          <w:color w:val="auto"/>
        </w:rPr>
        <w:t>During Fiscal 2017 and Fiscal 2016, we recorded a loss on extinguishment of debt of $2.9 million and $3.8 million, respectively, as a result of the repricing and extension of our Term Loan Facility in Fiscal 2017 and the repricing of our Term Loan Facility in Fiscal 2016. Refer to Note 7, “Long Term Debt,” to our Consolidated Financial Statements for further details regarding our debt transactions.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right="220" w:firstLine="518"/>
        <w:spacing w:after="0" w:line="279" w:lineRule="auto"/>
        <w:rPr>
          <w:sz w:val="20"/>
          <w:szCs w:val="20"/>
          <w:color w:val="auto"/>
        </w:rPr>
      </w:pPr>
      <w:r>
        <w:rPr>
          <w:rFonts w:ascii="Arial" w:cs="Arial" w:eastAsia="Arial" w:hAnsi="Arial"/>
          <w:sz w:val="17"/>
          <w:szCs w:val="17"/>
          <w:color w:val="auto"/>
        </w:rPr>
        <w:t>Interest expense increased $2.6 million to $58.8 million, primarily driven by an increase in the amortization of financing costs associated with our interest rate cap contracts from accumulated other comprehensive income into interest expense, as well as the impact of rising LIBOR rates during Fiscal 2017 on the ABL Line of Credit and the unhedged portion of the Term Loan Facility. This increase was partially offset by the lower average balance of the ABL Credit Facility in Fiscal 2017 compared to Fiscal 2016, as well as the repricing of the Term Loan Facility.</w:t>
      </w:r>
    </w:p>
    <w:p>
      <w:pPr>
        <w:spacing w:after="0" w:line="171"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Our average interest rates and average balances related to our ABL Line of Credit and our Term Loan Facility for Fiscal 2017 compared with Fiscal 2016 are summarized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4181475</wp:posOffset>
            </wp:positionH>
            <wp:positionV relativeFrom="paragraph">
              <wp:posOffset>117475</wp:posOffset>
            </wp:positionV>
            <wp:extent cx="229806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298065" cy="8890"/>
                    </a:xfrm>
                    <a:prstGeom prst="rect">
                      <a:avLst/>
                    </a:prstGeom>
                    <a:noFill/>
                  </pic:spPr>
                </pic:pic>
              </a:graphicData>
            </a:graphic>
          </wp:anchor>
        </w:drawing>
      </w:r>
    </w:p>
    <w:p>
      <w:pPr>
        <w:spacing w:after="0" w:line="223"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w w:val="92"/>
              </w:rPr>
              <w:t>Fiscal Year Ended</w:t>
            </w:r>
          </w:p>
        </w:tc>
        <w:tc>
          <w:tcPr>
            <w:tcW w:w="12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6"/>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ind w:left="200"/>
              <w:spacing w:after="0" w:line="147" w:lineRule="exact"/>
              <w:rPr>
                <w:sz w:val="20"/>
                <w:szCs w:val="20"/>
                <w:color w:val="auto"/>
              </w:rPr>
            </w:pPr>
            <w:r>
              <w:rPr>
                <w:rFonts w:ascii="Arial" w:cs="Arial" w:eastAsia="Arial" w:hAnsi="Arial"/>
                <w:sz w:val="14"/>
                <w:szCs w:val="14"/>
                <w:b w:val="1"/>
                <w:bCs w:val="1"/>
                <w:color w:val="auto"/>
                <w:w w:val="95"/>
              </w:rPr>
              <w:t>February 3,</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40" w:type="dxa"/>
            <w:vAlign w:val="bottom"/>
          </w:tcPr>
          <w:p>
            <w:pPr>
              <w:ind w:left="40"/>
              <w:spacing w:after="0" w:line="147" w:lineRule="exact"/>
              <w:rPr>
                <w:sz w:val="20"/>
                <w:szCs w:val="20"/>
                <w:color w:val="auto"/>
              </w:rPr>
            </w:pPr>
            <w:r>
              <w:rPr>
                <w:rFonts w:ascii="Arial" w:cs="Arial" w:eastAsia="Arial" w:hAnsi="Arial"/>
                <w:sz w:val="14"/>
                <w:szCs w:val="14"/>
                <w:b w:val="1"/>
                <w:bCs w:val="1"/>
                <w:color w:val="auto"/>
              </w:rPr>
              <w:t>January 28,</w:t>
            </w:r>
          </w:p>
        </w:tc>
        <w:tc>
          <w:tcPr>
            <w:tcW w:w="80" w:type="dxa"/>
            <w:vAlign w:val="bottom"/>
          </w:tcPr>
          <w:p>
            <w:pPr>
              <w:spacing w:after="0"/>
              <w:rPr>
                <w:sz w:val="12"/>
                <w:szCs w:val="12"/>
                <w:color w:val="auto"/>
              </w:rPr>
            </w:pPr>
          </w:p>
        </w:tc>
      </w:tr>
      <w:tr>
        <w:trPr>
          <w:trHeight w:val="171"/>
        </w:trPr>
        <w:tc>
          <w:tcPr>
            <w:tcW w:w="20" w:type="dxa"/>
            <w:vAlign w:val="bottom"/>
          </w:tcPr>
          <w:p>
            <w:pPr>
              <w:spacing w:after="0"/>
              <w:rPr>
                <w:sz w:val="14"/>
                <w:szCs w:val="14"/>
                <w:color w:val="auto"/>
              </w:rPr>
            </w:pPr>
          </w:p>
        </w:tc>
        <w:tc>
          <w:tcPr>
            <w:tcW w:w="4580" w:type="dxa"/>
            <w:vAlign w:val="bottom"/>
            <w:tcBorders>
              <w:bottom w:val="single" w:sz="8" w:color="CFF0FC"/>
            </w:tcBorders>
          </w:tcPr>
          <w:p>
            <w:pPr>
              <w:spacing w:after="0"/>
              <w:rPr>
                <w:sz w:val="14"/>
                <w:szCs w:val="14"/>
                <w:color w:val="auto"/>
              </w:rPr>
            </w:pPr>
          </w:p>
        </w:tc>
        <w:tc>
          <w:tcPr>
            <w:tcW w:w="84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left="96"/>
              <w:spacing w:after="0"/>
              <w:rPr>
                <w:sz w:val="20"/>
                <w:szCs w:val="20"/>
                <w:color w:val="auto"/>
              </w:rPr>
            </w:pPr>
            <w:r>
              <w:rPr>
                <w:rFonts w:ascii="Arial" w:cs="Arial" w:eastAsia="Arial" w:hAnsi="Arial"/>
                <w:sz w:val="14"/>
                <w:szCs w:val="14"/>
                <w:b w:val="1"/>
                <w:bCs w:val="1"/>
                <w:color w:val="auto"/>
                <w:w w:val="89"/>
              </w:rPr>
              <w:t>2018</w:t>
            </w:r>
          </w:p>
        </w:tc>
        <w:tc>
          <w:tcPr>
            <w:tcW w:w="560" w:type="dxa"/>
            <w:vAlign w:val="bottom"/>
            <w:tcBorders>
              <w:bottom w:val="single" w:sz="8" w:color="auto"/>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356"/>
              <w:spacing w:after="0"/>
              <w:rPr>
                <w:sz w:val="20"/>
                <w:szCs w:val="20"/>
                <w:color w:val="auto"/>
              </w:rPr>
            </w:pPr>
            <w:r>
              <w:rPr>
                <w:rFonts w:ascii="Arial" w:cs="Arial" w:eastAsia="Arial" w:hAnsi="Arial"/>
                <w:sz w:val="14"/>
                <w:szCs w:val="14"/>
                <w:b w:val="1"/>
                <w:bCs w:val="1"/>
                <w:color w:val="auto"/>
                <w:w w:val="89"/>
              </w:rPr>
              <w:t>2017</w:t>
            </w:r>
          </w:p>
        </w:tc>
        <w:tc>
          <w:tcPr>
            <w:tcW w:w="80" w:type="dxa"/>
            <w:vAlign w:val="bottom"/>
            <w:tcBorders>
              <w:bottom w:val="single" w:sz="8" w:color="CFF0FC"/>
            </w:tcBorders>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Average interest rate – ABL Line of Credit</w:t>
            </w:r>
          </w:p>
        </w:tc>
        <w:tc>
          <w:tcPr>
            <w:tcW w:w="8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center"/>
              <w:ind w:left="116"/>
              <w:spacing w:after="0"/>
              <w:rPr>
                <w:sz w:val="20"/>
                <w:szCs w:val="20"/>
                <w:color w:val="auto"/>
              </w:rPr>
            </w:pPr>
            <w:r>
              <w:rPr>
                <w:rFonts w:ascii="Arial" w:cs="Arial" w:eastAsia="Arial" w:hAnsi="Arial"/>
                <w:sz w:val="18"/>
                <w:szCs w:val="18"/>
                <w:color w:val="auto"/>
                <w:w w:val="92"/>
              </w:rPr>
              <w:t>2.7%</w:t>
            </w: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40" w:type="dxa"/>
            <w:vAlign w:val="bottom"/>
            <w:shd w:val="clear" w:color="auto" w:fill="CFF0FC"/>
          </w:tcPr>
          <w:p>
            <w:pPr>
              <w:jc w:val="center"/>
              <w:ind w:right="356"/>
              <w:spacing w:after="0"/>
              <w:rPr>
                <w:sz w:val="20"/>
                <w:szCs w:val="20"/>
                <w:color w:val="auto"/>
              </w:rPr>
            </w:pPr>
            <w:r>
              <w:rPr>
                <w:rFonts w:ascii="Arial" w:cs="Arial" w:eastAsia="Arial" w:hAnsi="Arial"/>
                <w:sz w:val="18"/>
                <w:szCs w:val="18"/>
                <w:color w:val="auto"/>
                <w:w w:val="87"/>
              </w:rPr>
              <w:t>1.8%</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Average interest rate – Term Loan Facility</w:t>
            </w: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center"/>
              <w:ind w:left="116"/>
              <w:spacing w:after="0"/>
              <w:rPr>
                <w:sz w:val="20"/>
                <w:szCs w:val="20"/>
                <w:color w:val="auto"/>
              </w:rPr>
            </w:pPr>
            <w:r>
              <w:rPr>
                <w:rFonts w:ascii="Arial" w:cs="Arial" w:eastAsia="Arial" w:hAnsi="Arial"/>
                <w:sz w:val="18"/>
                <w:szCs w:val="18"/>
                <w:color w:val="auto"/>
                <w:w w:val="92"/>
              </w:rPr>
              <w:t>3.9%</w:t>
            </w: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40" w:type="dxa"/>
            <w:vAlign w:val="bottom"/>
          </w:tcPr>
          <w:p>
            <w:pPr>
              <w:jc w:val="center"/>
              <w:ind w:right="356"/>
              <w:spacing w:after="0"/>
              <w:rPr>
                <w:sz w:val="20"/>
                <w:szCs w:val="20"/>
                <w:color w:val="auto"/>
              </w:rPr>
            </w:pPr>
            <w:r>
              <w:rPr>
                <w:rFonts w:ascii="Arial" w:cs="Arial" w:eastAsia="Arial" w:hAnsi="Arial"/>
                <w:sz w:val="18"/>
                <w:szCs w:val="18"/>
                <w:color w:val="auto"/>
                <w:w w:val="87"/>
              </w:rPr>
              <w:t>3.9%</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Average balance – ABL Line of Credit (in millions)</w:t>
            </w:r>
          </w:p>
        </w:tc>
        <w:tc>
          <w:tcPr>
            <w:tcW w:w="11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76"/>
              <w:spacing w:after="0"/>
              <w:rPr>
                <w:sz w:val="20"/>
                <w:szCs w:val="20"/>
                <w:color w:val="auto"/>
              </w:rPr>
            </w:pPr>
            <w:r>
              <w:rPr>
                <w:rFonts w:ascii="Arial" w:cs="Arial" w:eastAsia="Arial" w:hAnsi="Arial"/>
                <w:sz w:val="18"/>
                <w:szCs w:val="18"/>
                <w:color w:val="auto"/>
              </w:rPr>
              <w:t>71.0</w:t>
            </w:r>
          </w:p>
        </w:tc>
        <w:tc>
          <w:tcPr>
            <w:tcW w:w="1160" w:type="dxa"/>
            <w:vAlign w:val="bottom"/>
            <w:gridSpan w:val="3"/>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ind w:right="496"/>
              <w:spacing w:after="0"/>
              <w:rPr>
                <w:sz w:val="20"/>
                <w:szCs w:val="20"/>
                <w:color w:val="auto"/>
              </w:rPr>
            </w:pPr>
            <w:r>
              <w:rPr>
                <w:rFonts w:ascii="Arial" w:cs="Arial" w:eastAsia="Arial" w:hAnsi="Arial"/>
                <w:sz w:val="18"/>
                <w:szCs w:val="18"/>
                <w:color w:val="auto"/>
              </w:rPr>
              <w:t>173.9</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Average balance – Term Loan Facility (in millions)</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1,116.7</w:t>
            </w:r>
          </w:p>
        </w:tc>
        <w:tc>
          <w:tcPr>
            <w:tcW w:w="116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436"/>
              <w:spacing w:after="0"/>
              <w:rPr>
                <w:sz w:val="20"/>
                <w:szCs w:val="20"/>
                <w:color w:val="auto"/>
              </w:rPr>
            </w:pPr>
            <w:r>
              <w:rPr>
                <w:rFonts w:ascii="Arial" w:cs="Arial" w:eastAsia="Arial" w:hAnsi="Arial"/>
                <w:sz w:val="18"/>
                <w:szCs w:val="18"/>
                <w:color w:val="auto"/>
              </w:rPr>
              <w:t>1,117.0</w:t>
            </w:r>
          </w:p>
        </w:tc>
        <w:tc>
          <w:tcPr>
            <w:tcW w:w="80" w:type="dxa"/>
            <w:vAlign w:val="bottom"/>
          </w:tcPr>
          <w:p>
            <w:pPr>
              <w:spacing w:after="0"/>
              <w:rPr>
                <w:sz w:val="20"/>
                <w:szCs w:val="20"/>
                <w:color w:val="auto"/>
              </w:rPr>
            </w:pPr>
          </w:p>
        </w:tc>
      </w:tr>
    </w:tbl>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w:t>
      </w:r>
    </w:p>
    <w:p>
      <w:pPr>
        <w:spacing w:after="0" w:line="117" w:lineRule="exact"/>
        <w:rPr>
          <w:sz w:val="20"/>
          <w:szCs w:val="20"/>
          <w:color w:val="auto"/>
        </w:rPr>
      </w:pPr>
    </w:p>
    <w:p>
      <w:pPr>
        <w:ind w:firstLine="518"/>
        <w:spacing w:after="0" w:line="289" w:lineRule="auto"/>
        <w:rPr>
          <w:sz w:val="20"/>
          <w:szCs w:val="20"/>
          <w:color w:val="auto"/>
        </w:rPr>
      </w:pPr>
      <w:r>
        <w:rPr>
          <w:rFonts w:ascii="Arial" w:cs="Arial" w:eastAsia="Arial" w:hAnsi="Arial"/>
          <w:sz w:val="16"/>
          <w:szCs w:val="16"/>
          <w:color w:val="auto"/>
        </w:rPr>
        <w:t>Income tax expense was $44.1 million for Fiscal 2017 compared with $117.3 million for Fiscal 2016. The effective tax rate was 10.3% related to pretax income of $429.0 million for Fiscal 2017, and the effective tax rate was 35.2% related to pretax income of $333.2 million for Fiscal 2016. The decrease in the effective tax rate was primarily the result of the impact of the Tax Act and the inclusion of excess tax benefits from stock compensation within the tax provision upon our adoption of Accounting Standard Update (ASU) No. 2016-09, “Improvements to Employee Share-Based Payment Accounting” (ASU 2016 – 09) in the first quarter of 2017. The Tax Act was signed into law on December 22, 2017. The Tax Act significantly revises the U.S. corporate income tax by, among other things, lowering the statutory corporate income tax rate from 35% to 21%. The change reduced the effective tax rate by 21.1% for Fiscal 2017, primarily due to a one-time incremental benefit of approximately $93 million related to re-measurement of net deferred tax positions to reflect the reduced statutory corporate tax rate. As we complete our analysis of the Tax Act, collect and prepare necessary data, and interpret any additional guidance issued by the U.S. Treasury Department, the IRS, and other standard-setting bodies, we may make adjustments to the provisional amounts.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w:t>
      </w:r>
    </w:p>
    <w:p>
      <w:pPr>
        <w:spacing w:after="0" w:line="117" w:lineRule="exact"/>
        <w:rPr>
          <w:sz w:val="20"/>
          <w:szCs w:val="20"/>
          <w:color w:val="auto"/>
        </w:rPr>
      </w:pPr>
    </w:p>
    <w:p>
      <w:pPr>
        <w:jc w:val="both"/>
        <w:ind w:right="20" w:firstLine="518"/>
        <w:spacing w:after="0" w:line="264" w:lineRule="auto"/>
        <w:rPr>
          <w:sz w:val="20"/>
          <w:szCs w:val="20"/>
          <w:color w:val="auto"/>
        </w:rPr>
      </w:pPr>
      <w:r>
        <w:rPr>
          <w:rFonts w:ascii="Arial" w:cs="Arial" w:eastAsia="Arial" w:hAnsi="Arial"/>
          <w:sz w:val="18"/>
          <w:szCs w:val="18"/>
          <w:color w:val="auto"/>
        </w:rPr>
        <w:t>We earned net income of $384.9 million during Fiscal 2017 compared with net income of $215.9 million for Fiscal 2016. The improvement in our net income was primarily driven by our improved gross margin and decreased income tax expense as a result of the Tax Act, partially offset by an increase in our selling, general and administrative expenses, as well as depreciation and amortization expense.</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65" w:right="279" w:bottom="1440" w:gutter="0" w:footer="0" w:header="0"/>
        </w:sectPr>
      </w:pPr>
    </w:p>
    <w:bookmarkStart w:id="37" w:name="page38"/>
    <w:bookmarkEnd w:id="37"/>
    <w:p>
      <w:pPr>
        <w:ind w:right="200"/>
        <w:spacing w:after="0" w:line="277" w:lineRule="auto"/>
        <w:rPr>
          <w:sz w:val="20"/>
          <w:szCs w:val="20"/>
          <w:color w:val="auto"/>
        </w:rPr>
      </w:pPr>
      <w:r>
        <w:rPr>
          <w:rFonts w:ascii="Arial" w:cs="Arial" w:eastAsia="Arial" w:hAnsi="Arial"/>
          <w:sz w:val="18"/>
          <w:szCs w:val="18"/>
          <w:b w:val="1"/>
          <w:bCs w:val="1"/>
          <w:i w:val="1"/>
          <w:iCs w:val="1"/>
          <w:color w:val="auto"/>
        </w:rPr>
        <w:t>Performance for Fiscal Year (52 weeks) Ended January 28, 2017 (Fiscal 2016) Compared with Fiscal Year (52 weeks) Ended January 30, 2016 (Fiscal 2015)</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sales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Net sales improved $467.1 million, or 9.2%, to $5,566.0 million, primarily attributable to the following:</w:t>
      </w:r>
    </w:p>
    <w:p>
      <w:pPr>
        <w:spacing w:after="0" w:line="117" w:lineRule="exact"/>
        <w:rPr>
          <w:sz w:val="20"/>
          <w:szCs w:val="20"/>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 increase of $256.9 million from our new and non-comparable stores; and</w:t>
      </w:r>
    </w:p>
    <w:p>
      <w:pPr>
        <w:spacing w:after="0" w:line="360"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 increase in comparable store sales of $226.2 million, or 4.5%, to $5,239.6 million; partially offset by</w:t>
      </w:r>
    </w:p>
    <w:p>
      <w:pPr>
        <w:spacing w:after="0" w:line="360"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$16.0 million decrease related to the net impact of closed stores and other sales adjustments.</w:t>
      </w:r>
    </w:p>
    <w:p>
      <w:pPr>
        <w:spacing w:after="0" w:line="117" w:lineRule="exact"/>
        <w:rPr>
          <w:sz w:val="20"/>
          <w:szCs w:val="20"/>
          <w:color w:val="auto"/>
        </w:rPr>
      </w:pPr>
    </w:p>
    <w:p>
      <w:pPr>
        <w:ind w:right="120" w:firstLine="588"/>
        <w:spacing w:after="0" w:line="277" w:lineRule="auto"/>
        <w:rPr>
          <w:sz w:val="20"/>
          <w:szCs w:val="20"/>
          <w:color w:val="auto"/>
        </w:rPr>
      </w:pPr>
      <w:r>
        <w:rPr>
          <w:rFonts w:ascii="Arial" w:cs="Arial" w:eastAsia="Arial" w:hAnsi="Arial"/>
          <w:sz w:val="18"/>
          <w:szCs w:val="18"/>
          <w:color w:val="auto"/>
        </w:rPr>
        <w:t>We believe that the comparable store sales increase was primarily due to the improved execution of our off-price model. We also benefited from the transition of our fragrance sales from leased department rental income to an owned business, as discussed below.</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w:t>
      </w:r>
    </w:p>
    <w:p>
      <w:pPr>
        <w:spacing w:after="0" w:line="117" w:lineRule="exact"/>
        <w:rPr>
          <w:sz w:val="20"/>
          <w:szCs w:val="20"/>
          <w:color w:val="auto"/>
        </w:rPr>
      </w:pPr>
    </w:p>
    <w:p>
      <w:pPr>
        <w:ind w:right="60" w:firstLine="588"/>
        <w:spacing w:after="0" w:line="257" w:lineRule="auto"/>
        <w:rPr>
          <w:sz w:val="20"/>
          <w:szCs w:val="20"/>
          <w:color w:val="auto"/>
        </w:rPr>
      </w:pPr>
      <w:r>
        <w:rPr>
          <w:rFonts w:ascii="Arial" w:cs="Arial" w:eastAsia="Arial" w:hAnsi="Arial"/>
          <w:sz w:val="18"/>
          <w:szCs w:val="18"/>
          <w:color w:val="auto"/>
        </w:rPr>
        <w:t>Other revenue (consisting of layaway, shipping and handling, alteration, dormancy and other service charges, subleased rental income and rental income from leased departments) decreased $6.0 million to $24.9 million, primarily driven by a reduction in rental income from third party fragrance sales. During Fiscal 2015, we began the conversion of our fragrance business, which was previously operated under a licensing arrangement, to an owned category which is recorded in the line item “Net sales” in our Consolidated Statements of Income. As of January 28, 2017, fragrance was exclusively an owned business.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sales</w:t>
      </w:r>
    </w:p>
    <w:p>
      <w:pPr>
        <w:spacing w:after="0" w:line="117" w:lineRule="exact"/>
        <w:rPr>
          <w:sz w:val="20"/>
          <w:szCs w:val="20"/>
          <w:color w:val="auto"/>
        </w:rPr>
      </w:pPr>
    </w:p>
    <w:p>
      <w:pPr>
        <w:ind w:right="80" w:firstLine="588"/>
        <w:spacing w:after="0" w:line="259" w:lineRule="auto"/>
        <w:rPr>
          <w:sz w:val="20"/>
          <w:szCs w:val="20"/>
          <w:color w:val="auto"/>
        </w:rPr>
      </w:pPr>
      <w:r>
        <w:rPr>
          <w:rFonts w:ascii="Arial" w:cs="Arial" w:eastAsia="Arial" w:hAnsi="Arial"/>
          <w:sz w:val="18"/>
          <w:szCs w:val="18"/>
          <w:color w:val="auto"/>
        </w:rPr>
        <w:t>Cost of sales as a percentage of net sales improved approximately 80 basis points to 59.2% during Fiscal 2016, primarily driven by strong merchandise margins. This improvement was partially offset by the approximate 20 basis point increase in product sourcing costs, which are included in the line item “Selling, general and administrative expenses” in our Consolidated Statements of Income. On a dollar basis, cost of sales increased $237.7 million, or 7.8%, primarily driven by our overall increase in sales.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17" w:lineRule="exact"/>
        <w:rPr>
          <w:sz w:val="20"/>
          <w:szCs w:val="20"/>
          <w:color w:val="auto"/>
        </w:rPr>
      </w:pPr>
    </w:p>
    <w:p>
      <w:pPr>
        <w:ind w:right="120" w:firstLine="588"/>
        <w:spacing w:after="0" w:line="277" w:lineRule="auto"/>
        <w:rPr>
          <w:sz w:val="20"/>
          <w:szCs w:val="20"/>
          <w:color w:val="auto"/>
        </w:rPr>
      </w:pPr>
      <w:r>
        <w:rPr>
          <w:rFonts w:ascii="Arial" w:cs="Arial" w:eastAsia="Arial" w:hAnsi="Arial"/>
          <w:sz w:val="18"/>
          <w:szCs w:val="18"/>
          <w:color w:val="auto"/>
        </w:rPr>
        <w:t>Selling, general and administrative expenses as a percentage of net sales improved approximately 30 basis points during Fiscal 2016. The following table details selling, general and administrative expenses for Fiscal 2016 compared with Fiscal 2015:</w:t>
      </w:r>
    </w:p>
    <w:p>
      <w:pPr>
        <w:spacing w:after="0" w:line="31" w:lineRule="exact"/>
        <w:rPr>
          <w:sz w:val="20"/>
          <w:szCs w:val="20"/>
          <w:color w:val="auto"/>
        </w:rPr>
      </w:pPr>
    </w:p>
    <w:tbl>
      <w:tblPr>
        <w:tblLayout w:type="fixed"/>
        <w:tblInd w:w="300" w:type="dxa"/>
        <w:tblCellMar>
          <w:top w:w="0" w:type="dxa"/>
          <w:left w:w="0" w:type="dxa"/>
          <w:bottom w:w="0" w:type="dxa"/>
          <w:right w:w="0" w:type="dxa"/>
        </w:tblCellMar>
      </w:tblPr>
      <w:tr>
        <w:trPr>
          <w:trHeight w:val="167"/>
        </w:trPr>
        <w:tc>
          <w:tcPr>
            <w:tcW w:w="39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4"/>
          </w:tcPr>
          <w:p>
            <w:pPr>
              <w:jc w:val="right"/>
              <w:ind w:right="940"/>
              <w:spacing w:after="0"/>
              <w:rPr>
                <w:sz w:val="20"/>
                <w:szCs w:val="20"/>
                <w:color w:val="auto"/>
              </w:rPr>
            </w:pPr>
            <w:r>
              <w:rPr>
                <w:rFonts w:ascii="Arial" w:cs="Arial" w:eastAsia="Arial" w:hAnsi="Arial"/>
                <w:sz w:val="14"/>
                <w:szCs w:val="14"/>
                <w:b w:val="1"/>
                <w:bCs w:val="1"/>
                <w:i w:val="1"/>
                <w:iCs w:val="1"/>
                <w:color w:val="auto"/>
              </w:rPr>
              <w:t>(in millions)</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9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gridSpan w:val="4"/>
          </w:tcPr>
          <w:p>
            <w:pPr>
              <w:jc w:val="right"/>
              <w:ind w:right="740"/>
              <w:spacing w:after="0" w:line="155" w:lineRule="exact"/>
              <w:rPr>
                <w:sz w:val="20"/>
                <w:szCs w:val="20"/>
                <w:color w:val="auto"/>
              </w:rPr>
            </w:pPr>
            <w:r>
              <w:rPr>
                <w:rFonts w:ascii="Arial" w:cs="Arial" w:eastAsia="Arial" w:hAnsi="Arial"/>
                <w:sz w:val="14"/>
                <w:szCs w:val="14"/>
                <w:b w:val="1"/>
                <w:bCs w:val="1"/>
                <w:color w:val="auto"/>
              </w:rPr>
              <w:t>Fiscal Year Ended</w:t>
            </w: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3900" w:type="dxa"/>
            <w:vAlign w:val="bottom"/>
          </w:tcPr>
          <w:p>
            <w:pPr>
              <w:spacing w:after="0"/>
              <w:rPr>
                <w:sz w:val="11"/>
                <w:szCs w:val="11"/>
                <w:color w:val="auto"/>
              </w:rPr>
            </w:pPr>
          </w:p>
        </w:tc>
        <w:tc>
          <w:tcPr>
            <w:tcW w:w="11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January 28,</w:t>
            </w:r>
          </w:p>
        </w:tc>
        <w:tc>
          <w:tcPr>
            <w:tcW w:w="116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87"/>
              </w:rPr>
              <w:t>Percentage</w:t>
            </w:r>
          </w:p>
        </w:tc>
        <w:tc>
          <w:tcPr>
            <w:tcW w:w="80" w:type="dxa"/>
            <w:vAlign w:val="bottom"/>
          </w:tcPr>
          <w:p>
            <w:pPr>
              <w:spacing w:after="0"/>
              <w:rPr>
                <w:sz w:val="11"/>
                <w:szCs w:val="11"/>
                <w:color w:val="auto"/>
              </w:rPr>
            </w:pPr>
          </w:p>
        </w:tc>
        <w:tc>
          <w:tcPr>
            <w:tcW w:w="116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January 30,</w:t>
            </w:r>
          </w:p>
        </w:tc>
        <w:tc>
          <w:tcPr>
            <w:tcW w:w="112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90"/>
              </w:rPr>
              <w:t>Percentage</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3900" w:type="dxa"/>
            <w:vAlign w:val="bottom"/>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of</w:t>
            </w:r>
          </w:p>
        </w:tc>
        <w:tc>
          <w:tcPr>
            <w:tcW w:w="80" w:type="dxa"/>
            <w:vAlign w:val="bottom"/>
          </w:tcPr>
          <w:p>
            <w:pPr>
              <w:spacing w:after="0"/>
              <w:rPr>
                <w:sz w:val="14"/>
                <w:szCs w:val="14"/>
                <w:color w:val="auto"/>
              </w:rPr>
            </w:pPr>
          </w:p>
        </w:tc>
        <w:tc>
          <w:tcPr>
            <w:tcW w:w="1160" w:type="dxa"/>
            <w:vAlign w:val="bottom"/>
            <w:gridSpan w:val="3"/>
            <w:vMerge w:val="continue"/>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of</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90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FF0FC"/>
            </w:tcBorders>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Net Sales</w:t>
            </w:r>
          </w:p>
        </w:tc>
        <w:tc>
          <w:tcPr>
            <w:tcW w:w="2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FF0FC"/>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Net Sales</w:t>
            </w:r>
          </w:p>
        </w:tc>
        <w:tc>
          <w:tcPr>
            <w:tcW w:w="2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94"/>
              </w:rPr>
              <w:t>$ Variance</w:t>
            </w:r>
          </w:p>
        </w:tc>
        <w:tc>
          <w:tcPr>
            <w:tcW w:w="200" w:type="dxa"/>
            <w:vAlign w:val="bottom"/>
            <w:tcBorders>
              <w:bottom w:val="single" w:sz="8" w:color="CFF0FC"/>
            </w:tcBorders>
          </w:tcPr>
          <w:p>
            <w:pPr>
              <w:spacing w:after="0"/>
              <w:rPr>
                <w:sz w:val="14"/>
                <w:szCs w:val="14"/>
                <w:color w:val="auto"/>
              </w:rPr>
            </w:pPr>
          </w:p>
        </w:tc>
        <w:tc>
          <w:tcPr>
            <w:tcW w:w="88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 Change</w:t>
            </w:r>
          </w:p>
        </w:tc>
        <w:tc>
          <w:tcPr>
            <w:tcW w:w="2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Store related costs</w:t>
            </w: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1,133.8</w:t>
            </w:r>
          </w:p>
        </w:tc>
        <w:tc>
          <w:tcPr>
            <w:tcW w:w="2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20.4%</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41"/>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1,057.7</w:t>
            </w:r>
          </w:p>
        </w:tc>
        <w:tc>
          <w:tcPr>
            <w:tcW w:w="2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20.7%</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76.1</w:t>
            </w: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Product sourcing costs</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261.0</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229.4</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31.6</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13.8</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Corporate costs</w:t>
            </w: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168.5</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155.7</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w:t>
            </w: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Marketing and strategy costs</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91.8</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94.5</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(2.7)</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w w:val="95"/>
              </w:rPr>
              <w:t>Other selling, general and administrative expenses</w:t>
            </w:r>
          </w:p>
        </w:tc>
        <w:tc>
          <w:tcPr>
            <w:tcW w:w="2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68.2</w:t>
            </w:r>
          </w:p>
        </w:tc>
        <w:tc>
          <w:tcPr>
            <w:tcW w:w="22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60.4</w:t>
            </w:r>
          </w:p>
        </w:tc>
        <w:tc>
          <w:tcPr>
            <w:tcW w:w="220" w:type="dxa"/>
            <w:vAlign w:val="bottom"/>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200" w:type="dxa"/>
            <w:vAlign w:val="bottom"/>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w:t>
            </w: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00" w:type="dxa"/>
            <w:vAlign w:val="bottom"/>
          </w:tcPr>
          <w:p>
            <w:pPr>
              <w:spacing w:after="0"/>
              <w:rPr>
                <w:sz w:val="20"/>
                <w:szCs w:val="20"/>
                <w:color w:val="auto"/>
              </w:rPr>
            </w:pPr>
            <w:r>
              <w:rPr>
                <w:rFonts w:ascii="Arial" w:cs="Arial" w:eastAsia="Arial" w:hAnsi="Arial"/>
                <w:sz w:val="18"/>
                <w:szCs w:val="18"/>
                <w:b w:val="1"/>
                <w:bCs w:val="1"/>
                <w:color w:val="auto"/>
              </w:rPr>
              <w:t>Selling, general and administrative expenses</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1,723.</w:t>
            </w:r>
            <w:r>
              <w:rPr>
                <w:rFonts w:ascii="Arial" w:cs="Arial" w:eastAsia="Arial" w:hAnsi="Arial"/>
                <w:sz w:val="18"/>
                <w:szCs w:val="18"/>
                <w:u w:val="single" w:color="auto"/>
                <w:color w:val="auto"/>
              </w:rPr>
              <w:t>3</w:t>
            </w:r>
          </w:p>
        </w:tc>
        <w:tc>
          <w:tcPr>
            <w:tcW w:w="22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31.0%</w:t>
            </w:r>
          </w:p>
        </w:tc>
        <w:tc>
          <w:tcPr>
            <w:tcW w:w="80" w:type="dxa"/>
            <w:vAlign w:val="bottom"/>
          </w:tcPr>
          <w:p>
            <w:pPr>
              <w:spacing w:after="0"/>
              <w:rPr>
                <w:sz w:val="19"/>
                <w:szCs w:val="19"/>
                <w:color w:val="auto"/>
              </w:rPr>
            </w:pPr>
          </w:p>
        </w:tc>
        <w:tc>
          <w:tcPr>
            <w:tcW w:w="220" w:type="dxa"/>
            <w:vAlign w:val="bottom"/>
          </w:tcPr>
          <w:p>
            <w:pPr>
              <w:jc w:val="right"/>
              <w:ind w:right="61"/>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1,597.</w:t>
            </w:r>
            <w:r>
              <w:rPr>
                <w:rFonts w:ascii="Arial" w:cs="Arial" w:eastAsia="Arial" w:hAnsi="Arial"/>
                <w:sz w:val="18"/>
                <w:szCs w:val="18"/>
                <w:u w:val="single" w:color="auto"/>
                <w:color w:val="auto"/>
              </w:rPr>
              <w:t>7</w:t>
            </w:r>
          </w:p>
        </w:tc>
        <w:tc>
          <w:tcPr>
            <w:tcW w:w="22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31.3%</w:t>
            </w: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125.6</w:t>
            </w:r>
          </w:p>
        </w:tc>
        <w:tc>
          <w:tcPr>
            <w:tcW w:w="20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588"/>
        <w:spacing w:after="0" w:line="257" w:lineRule="auto"/>
        <w:rPr>
          <w:sz w:val="20"/>
          <w:szCs w:val="20"/>
          <w:color w:val="auto"/>
        </w:rPr>
      </w:pPr>
      <w:r>
        <w:rPr>
          <w:rFonts w:ascii="Arial" w:cs="Arial" w:eastAsia="Arial" w:hAnsi="Arial"/>
          <w:sz w:val="18"/>
          <w:szCs w:val="18"/>
          <w:color w:val="auto"/>
        </w:rPr>
        <w:t>Store related costs as a percentage of net sales improved approximately 30 basis points during Fiscal 2016, driven by 30 basis points of leverage in occupancy costs and a 10 basis point improvement in store payroll driven by the simplification of operating procedures and improved execution within our store operations. These improvements were partially offset by a 10 basis point increase in our incentive compensation costs driven by our improved operating results. On a dollar basis, the $76.1 million increase was primarily driven by our new and non-comparable stores, as well as the increase in incentive compensation.</w:t>
      </w:r>
    </w:p>
    <w:p>
      <w:pPr>
        <w:spacing w:after="0" w:line="188" w:lineRule="exact"/>
        <w:rPr>
          <w:sz w:val="20"/>
          <w:szCs w:val="20"/>
          <w:color w:val="auto"/>
        </w:rPr>
      </w:pPr>
    </w:p>
    <w:p>
      <w:pPr>
        <w:ind w:right="80" w:firstLine="588"/>
        <w:spacing w:after="0" w:line="259" w:lineRule="auto"/>
        <w:rPr>
          <w:sz w:val="20"/>
          <w:szCs w:val="20"/>
          <w:color w:val="auto"/>
        </w:rPr>
      </w:pPr>
      <w:r>
        <w:rPr>
          <w:rFonts w:ascii="Arial" w:cs="Arial" w:eastAsia="Arial" w:hAnsi="Arial"/>
          <w:sz w:val="18"/>
          <w:szCs w:val="18"/>
          <w:color w:val="auto"/>
        </w:rPr>
        <w:t>Product sourcing costs as a percentage of net sales increased approximately 20 basis points during Fiscal 2016, which partially offset the 80 basis point improvement in cost of sales. The increase in product sourcing costs as a percentage of net sales was driven by an increase in our supply chain costs as we continue to improve the execution of our off-price model as well as an increase in incentive compensation costs related to our buying and merchandising departments.</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665" w:right="299" w:bottom="1440" w:gutter="0" w:footer="0" w:header="0"/>
        </w:sectPr>
      </w:pPr>
    </w:p>
    <w:bookmarkStart w:id="38" w:name="page39"/>
    <w:bookmarkEnd w:id="38"/>
    <w:p>
      <w:pPr>
        <w:ind w:left="600"/>
        <w:spacing w:after="0"/>
        <w:rPr>
          <w:sz w:val="20"/>
          <w:szCs w:val="20"/>
          <w:color w:val="auto"/>
        </w:rPr>
      </w:pPr>
      <w:r>
        <w:rPr>
          <w:rFonts w:ascii="Arial" w:cs="Arial" w:eastAsia="Arial" w:hAnsi="Arial"/>
          <w:sz w:val="16"/>
          <w:szCs w:val="16"/>
          <w:color w:val="auto"/>
        </w:rPr>
        <w:t>Corporate costs increased $12.8 million during Fiscal 2016, primarily driven by increases in incentive compensation and stock-based compensation.</w:t>
      </w:r>
    </w:p>
    <w:p>
      <w:pPr>
        <w:spacing w:after="0" w:line="248" w:lineRule="exact"/>
        <w:rPr>
          <w:sz w:val="20"/>
          <w:szCs w:val="20"/>
          <w:color w:val="auto"/>
        </w:rPr>
      </w:pPr>
    </w:p>
    <w:p>
      <w:pPr>
        <w:ind w:right="320" w:firstLine="588"/>
        <w:spacing w:after="0" w:line="277" w:lineRule="auto"/>
        <w:rPr>
          <w:sz w:val="20"/>
          <w:szCs w:val="20"/>
          <w:color w:val="auto"/>
        </w:rPr>
      </w:pPr>
      <w:r>
        <w:rPr>
          <w:rFonts w:ascii="Arial" w:cs="Arial" w:eastAsia="Arial" w:hAnsi="Arial"/>
          <w:sz w:val="18"/>
          <w:szCs w:val="18"/>
          <w:color w:val="auto"/>
        </w:rPr>
        <w:t>Marketing and strategy costs improved 30 basis points during Fiscal 2016, primarily driven by our increased leverage from our national television advertising.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related to debt amendments and secondary offering</w:t>
      </w:r>
    </w:p>
    <w:p>
      <w:pPr>
        <w:spacing w:after="0" w:line="117" w:lineRule="exact"/>
        <w:rPr>
          <w:sz w:val="20"/>
          <w:szCs w:val="20"/>
          <w:color w:val="auto"/>
        </w:rPr>
      </w:pPr>
    </w:p>
    <w:p>
      <w:pPr>
        <w:ind w:right="140" w:firstLine="588"/>
        <w:spacing w:after="0" w:line="259" w:lineRule="auto"/>
        <w:rPr>
          <w:sz w:val="20"/>
          <w:szCs w:val="20"/>
          <w:color w:val="auto"/>
        </w:rPr>
      </w:pPr>
      <w:r>
        <w:rPr>
          <w:rFonts w:ascii="Arial" w:cs="Arial" w:eastAsia="Arial" w:hAnsi="Arial"/>
          <w:sz w:val="18"/>
          <w:szCs w:val="18"/>
          <w:color w:val="auto"/>
        </w:rPr>
        <w:t>During Fiscal 2016, we recorded costs related to debt amendments of $1.3 million representing legal and placement fees incurred in connection with the repricing of our Term Loan Facility. Refer to Note 7, “Long Term Debt,” to our Consolidated Financial Statements for further details regarding this transaction. During Fiscal 2015, we recorded $0.2 million of secondary offering costs. Refer to Note 1 to our Consolidated Financial Statements, “Summary of Significant Accounting Policies,” for further details on our secondary offering.</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120" w:firstLine="588"/>
        <w:spacing w:after="0" w:line="259" w:lineRule="auto"/>
        <w:rPr>
          <w:sz w:val="20"/>
          <w:szCs w:val="20"/>
          <w:color w:val="auto"/>
        </w:rPr>
      </w:pPr>
      <w:r>
        <w:rPr>
          <w:rFonts w:ascii="Arial" w:cs="Arial" w:eastAsia="Arial" w:hAnsi="Arial"/>
          <w:sz w:val="18"/>
          <w:szCs w:val="18"/>
          <w:color w:val="auto"/>
        </w:rPr>
        <w:t>Depreciation and amortization expense related to the depreciation and amortization of fixed assets and the amortization of favorable and unfavorable leases amounted to $183.6 million during Fiscal 2016 compared with $172.1 million during Fiscal 2015. The increase was primarily driven by our new and non-comparable stores, as well as increased depreciation expense related to our ongoing supply chain initiatives and the renovation of our new corporate campus.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charges—long-lived assets</w:t>
      </w:r>
    </w:p>
    <w:p>
      <w:pPr>
        <w:spacing w:after="0" w:line="117" w:lineRule="exact"/>
        <w:rPr>
          <w:sz w:val="20"/>
          <w:szCs w:val="20"/>
          <w:color w:val="auto"/>
        </w:rPr>
      </w:pPr>
    </w:p>
    <w:p>
      <w:pPr>
        <w:ind w:right="160" w:firstLine="588"/>
        <w:spacing w:after="0" w:line="259" w:lineRule="auto"/>
        <w:rPr>
          <w:sz w:val="20"/>
          <w:szCs w:val="20"/>
          <w:color w:val="auto"/>
        </w:rPr>
      </w:pPr>
      <w:r>
        <w:rPr>
          <w:rFonts w:ascii="Arial" w:cs="Arial" w:eastAsia="Arial" w:hAnsi="Arial"/>
          <w:sz w:val="18"/>
          <w:szCs w:val="18"/>
          <w:color w:val="auto"/>
        </w:rPr>
        <w:t>Impairment charges related to long-lived assets were $2.5 million and $6.1 million during Fiscal 2016 and Fiscal 2015, respectively. We recorded impairment charges related to store-level assets for five stores during each of Fiscal 2016 and Fiscal 2015. During Fiscal 2016 and Fiscal 2015, we also recorded impairment charges for capital expenditures for previously impaired stores. Refer to Note 6 to our Consolidated Financial Statements, “Impairment Charges,” for further discussion.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net</w:t>
      </w:r>
    </w:p>
    <w:p>
      <w:pPr>
        <w:spacing w:after="0" w:line="117" w:lineRule="exact"/>
        <w:rPr>
          <w:sz w:val="20"/>
          <w:szCs w:val="20"/>
          <w:color w:val="auto"/>
        </w:rPr>
      </w:pPr>
    </w:p>
    <w:p>
      <w:pPr>
        <w:ind w:right="140" w:firstLine="588"/>
        <w:spacing w:after="0" w:line="277" w:lineRule="auto"/>
        <w:rPr>
          <w:sz w:val="20"/>
          <w:szCs w:val="20"/>
          <w:color w:val="auto"/>
        </w:rPr>
      </w:pPr>
      <w:r>
        <w:rPr>
          <w:rFonts w:ascii="Arial" w:cs="Arial" w:eastAsia="Arial" w:hAnsi="Arial"/>
          <w:sz w:val="18"/>
          <w:szCs w:val="18"/>
          <w:color w:val="auto"/>
        </w:rPr>
        <w:t>Other income, net, improved $5.0 million to $10.8 million during Fiscal 2016. The improvement in other income was primarily driven by the sale of certain state tax credits as well as a gain on the sale of one of our owned stores.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on extinguishment of debt</w:t>
      </w:r>
    </w:p>
    <w:p>
      <w:pPr>
        <w:spacing w:after="0" w:line="117" w:lineRule="exact"/>
        <w:rPr>
          <w:sz w:val="20"/>
          <w:szCs w:val="20"/>
          <w:color w:val="auto"/>
        </w:rPr>
      </w:pPr>
    </w:p>
    <w:p>
      <w:pPr>
        <w:ind w:right="80" w:firstLine="588"/>
        <w:spacing w:after="0" w:line="286" w:lineRule="auto"/>
        <w:rPr>
          <w:sz w:val="20"/>
          <w:szCs w:val="20"/>
          <w:color w:val="auto"/>
        </w:rPr>
      </w:pPr>
      <w:r>
        <w:rPr>
          <w:rFonts w:ascii="Arial" w:cs="Arial" w:eastAsia="Arial" w:hAnsi="Arial"/>
          <w:sz w:val="17"/>
          <w:szCs w:val="17"/>
          <w:color w:val="auto"/>
        </w:rPr>
        <w:t>During Fiscal 2016, we recorded a loss on extinguishment of debt of $3.8 million as a result of the repricing of our Term Loan Facility. During Fiscal 2015, we recorded a loss on extinguishment of debt of $0.6 million, primarily driven by the $50.0 million prepayment on our Term Loan Facility on May 1, 2015. Refer to Note 7, “Long Term Debt,” to our Consolidated Financial Statements for further details regarding our debt transactions.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right="60" w:firstLine="588"/>
        <w:spacing w:after="0" w:line="264" w:lineRule="auto"/>
        <w:rPr>
          <w:sz w:val="20"/>
          <w:szCs w:val="20"/>
          <w:color w:val="auto"/>
        </w:rPr>
      </w:pPr>
      <w:r>
        <w:rPr>
          <w:rFonts w:ascii="Arial" w:cs="Arial" w:eastAsia="Arial" w:hAnsi="Arial"/>
          <w:sz w:val="18"/>
          <w:szCs w:val="18"/>
          <w:color w:val="auto"/>
        </w:rPr>
        <w:t>Interest expense improved $2.8 million to $56.2 million, primarily driven by the repricing of our Term Loan Facility during the second quarter of Fiscal 2016, which reduced our interest rate margins, partially offset by an increase in the amortization of the financings costs associated with our interest rate cap contracts from accumulated other comprehensive income into interest expense.</w:t>
      </w:r>
    </w:p>
    <w:p>
      <w:pPr>
        <w:spacing w:after="0" w:line="181" w:lineRule="exact"/>
        <w:rPr>
          <w:sz w:val="20"/>
          <w:szCs w:val="20"/>
          <w:color w:val="auto"/>
        </w:rPr>
      </w:pPr>
    </w:p>
    <w:p>
      <w:pPr>
        <w:ind w:right="120" w:firstLine="588"/>
        <w:spacing w:after="0" w:line="277" w:lineRule="auto"/>
        <w:rPr>
          <w:sz w:val="20"/>
          <w:szCs w:val="20"/>
          <w:color w:val="auto"/>
        </w:rPr>
      </w:pPr>
      <w:r>
        <w:rPr>
          <w:rFonts w:ascii="Arial" w:cs="Arial" w:eastAsia="Arial" w:hAnsi="Arial"/>
          <w:sz w:val="18"/>
          <w:szCs w:val="18"/>
          <w:color w:val="auto"/>
        </w:rPr>
        <w:t>Our average interest rates and average balances related to our ABL Line of Credit and our Term Loan for Fiscal 2016 compared with Fiscal 2015 are summarized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117475</wp:posOffset>
            </wp:positionV>
            <wp:extent cx="226377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263775" cy="8890"/>
                    </a:xfrm>
                    <a:prstGeom prst="rect">
                      <a:avLst/>
                    </a:prstGeom>
                    <a:noFill/>
                  </pic:spPr>
                </pic:pic>
              </a:graphicData>
            </a:graphic>
          </wp:anchor>
        </w:drawing>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ind w:left="620"/>
              <w:spacing w:after="0"/>
              <w:rPr>
                <w:sz w:val="20"/>
                <w:szCs w:val="20"/>
                <w:color w:val="auto"/>
              </w:rPr>
            </w:pPr>
            <w:r>
              <w:rPr>
                <w:rFonts w:ascii="Arial" w:cs="Arial" w:eastAsia="Arial" w:hAnsi="Arial"/>
                <w:sz w:val="14"/>
                <w:szCs w:val="14"/>
                <w:b w:val="1"/>
                <w:bCs w:val="1"/>
                <w:color w:val="auto"/>
                <w:w w:val="92"/>
              </w:rPr>
              <w:t>Fiscal Year Ended</w:t>
            </w:r>
          </w:p>
        </w:tc>
        <w:tc>
          <w:tcPr>
            <w:tcW w:w="1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46"/>
        </w:trPr>
        <w:tc>
          <w:tcPr>
            <w:tcW w:w="116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340" w:type="dxa"/>
            <w:vAlign w:val="bottom"/>
            <w:gridSpan w:val="4"/>
          </w:tcPr>
          <w:p>
            <w:pPr>
              <w:ind w:left="440"/>
              <w:spacing w:after="0" w:line="147" w:lineRule="exact"/>
              <w:rPr>
                <w:sz w:val="20"/>
                <w:szCs w:val="20"/>
                <w:color w:val="auto"/>
              </w:rPr>
            </w:pPr>
            <w:r>
              <w:rPr>
                <w:rFonts w:ascii="Arial" w:cs="Arial" w:eastAsia="Arial" w:hAnsi="Arial"/>
                <w:sz w:val="14"/>
                <w:szCs w:val="14"/>
                <w:b w:val="1"/>
                <w:bCs w:val="1"/>
                <w:color w:val="auto"/>
              </w:rPr>
              <w:t>January 28,</w:t>
            </w:r>
          </w:p>
        </w:tc>
        <w:tc>
          <w:tcPr>
            <w:tcW w:w="1220" w:type="dxa"/>
            <w:vAlign w:val="bottom"/>
            <w:gridSpan w:val="2"/>
          </w:tcPr>
          <w:p>
            <w:pPr>
              <w:ind w:left="20"/>
              <w:spacing w:after="0" w:line="147" w:lineRule="exact"/>
              <w:rPr>
                <w:sz w:val="20"/>
                <w:szCs w:val="20"/>
                <w:color w:val="auto"/>
              </w:rPr>
            </w:pPr>
            <w:r>
              <w:rPr>
                <w:rFonts w:ascii="Arial" w:cs="Arial" w:eastAsia="Arial" w:hAnsi="Arial"/>
                <w:sz w:val="14"/>
                <w:szCs w:val="14"/>
                <w:b w:val="1"/>
                <w:bCs w:val="1"/>
                <w:color w:val="auto"/>
              </w:rPr>
              <w:t>January 30,</w:t>
            </w: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171"/>
        </w:trPr>
        <w:tc>
          <w:tcPr>
            <w:tcW w:w="1160" w:type="dxa"/>
            <w:vAlign w:val="bottom"/>
          </w:tcPr>
          <w:p>
            <w:pPr>
              <w:spacing w:after="0"/>
              <w:rPr>
                <w:sz w:val="14"/>
                <w:szCs w:val="14"/>
                <w:color w:val="auto"/>
              </w:rPr>
            </w:pPr>
          </w:p>
        </w:tc>
        <w:tc>
          <w:tcPr>
            <w:tcW w:w="4100" w:type="dxa"/>
            <w:vAlign w:val="bottom"/>
            <w:tcBorders>
              <w:bottom w:val="single" w:sz="8" w:color="CFF0FC"/>
            </w:tcBorders>
          </w:tcPr>
          <w:p>
            <w:pPr>
              <w:spacing w:after="0"/>
              <w:rPr>
                <w:sz w:val="14"/>
                <w:szCs w:val="14"/>
                <w:color w:val="auto"/>
              </w:rPr>
            </w:pPr>
          </w:p>
        </w:tc>
        <w:tc>
          <w:tcPr>
            <w:tcW w:w="1380" w:type="dxa"/>
            <w:vAlign w:val="bottom"/>
            <w:tcBorders>
              <w:bottom w:val="single" w:sz="8" w:color="CFF0FC"/>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FF0FC"/>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FF0FC"/>
            </w:tcBorders>
          </w:tcPr>
          <w:p>
            <w:pPr>
              <w:spacing w:after="0"/>
              <w:rPr>
                <w:sz w:val="14"/>
                <w:szCs w:val="14"/>
                <w:color w:val="auto"/>
              </w:rPr>
            </w:pPr>
          </w:p>
        </w:tc>
        <w:tc>
          <w:tcPr>
            <w:tcW w:w="1160" w:type="dxa"/>
            <w:vAlign w:val="bottom"/>
          </w:tcPr>
          <w:p>
            <w:pPr>
              <w:spacing w:after="0"/>
              <w:rPr>
                <w:sz w:val="14"/>
                <w:szCs w:val="14"/>
                <w:color w:val="auto"/>
              </w:rPr>
            </w:pPr>
          </w:p>
        </w:tc>
      </w:tr>
      <w:tr>
        <w:trPr>
          <w:trHeight w:val="223"/>
        </w:trPr>
        <w:tc>
          <w:tcPr>
            <w:tcW w:w="1160" w:type="dxa"/>
            <w:vAlign w:val="bottom"/>
          </w:tcPr>
          <w:p>
            <w:pPr>
              <w:spacing w:after="0"/>
              <w:rPr>
                <w:sz w:val="19"/>
                <w:szCs w:val="19"/>
                <w:color w:val="auto"/>
              </w:rPr>
            </w:pPr>
          </w:p>
        </w:tc>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Average interest rate – ABL Line of Credit</w:t>
            </w:r>
          </w:p>
        </w:tc>
        <w:tc>
          <w:tcPr>
            <w:tcW w:w="13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60" w:type="dxa"/>
            <w:vAlign w:val="bottom"/>
            <w:shd w:val="clear" w:color="auto" w:fill="CFF0FC"/>
          </w:tcPr>
          <w:p>
            <w:pPr>
              <w:ind w:left="80"/>
              <w:spacing w:after="0"/>
              <w:rPr>
                <w:sz w:val="20"/>
                <w:szCs w:val="20"/>
                <w:color w:val="auto"/>
              </w:rPr>
            </w:pPr>
            <w:r>
              <w:rPr>
                <w:rFonts w:ascii="Arial" w:cs="Arial" w:eastAsia="Arial" w:hAnsi="Arial"/>
                <w:sz w:val="18"/>
                <w:szCs w:val="18"/>
                <w:color w:val="auto"/>
              </w:rPr>
              <w:t>1.8%</w:t>
            </w:r>
          </w:p>
        </w:tc>
        <w:tc>
          <w:tcPr>
            <w:tcW w:w="2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ind w:left="80"/>
              <w:spacing w:after="0"/>
              <w:rPr>
                <w:sz w:val="20"/>
                <w:szCs w:val="20"/>
                <w:color w:val="auto"/>
              </w:rPr>
            </w:pPr>
            <w:r>
              <w:rPr>
                <w:rFonts w:ascii="Arial" w:cs="Arial" w:eastAsia="Arial" w:hAnsi="Arial"/>
                <w:sz w:val="18"/>
                <w:szCs w:val="18"/>
                <w:color w:val="auto"/>
              </w:rPr>
              <w:t>1.6%</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Average interest rate – Term Loan Facility</w:t>
            </w:r>
          </w:p>
        </w:tc>
        <w:tc>
          <w:tcPr>
            <w:tcW w:w="13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tcPr>
          <w:p>
            <w:pPr>
              <w:ind w:left="80"/>
              <w:spacing w:after="0"/>
              <w:rPr>
                <w:sz w:val="20"/>
                <w:szCs w:val="20"/>
                <w:color w:val="auto"/>
              </w:rPr>
            </w:pPr>
            <w:r>
              <w:rPr>
                <w:rFonts w:ascii="Arial" w:cs="Arial" w:eastAsia="Arial" w:hAnsi="Arial"/>
                <w:sz w:val="18"/>
                <w:szCs w:val="18"/>
                <w:color w:val="auto"/>
              </w:rPr>
              <w:t>3.9%</w:t>
            </w: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ind w:left="80"/>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43"/>
        </w:trPr>
        <w:tc>
          <w:tcPr>
            <w:tcW w:w="1160" w:type="dxa"/>
            <w:vAlign w:val="bottom"/>
          </w:tcPr>
          <w:p>
            <w:pPr>
              <w:spacing w:after="0"/>
              <w:rPr>
                <w:sz w:val="21"/>
                <w:szCs w:val="21"/>
                <w:color w:val="auto"/>
              </w:rPr>
            </w:pPr>
          </w:p>
        </w:tc>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Average balance – ABL Line of Credit (in millions)</w:t>
            </w:r>
          </w:p>
        </w:tc>
        <w:tc>
          <w:tcPr>
            <w:tcW w:w="1960" w:type="dxa"/>
            <w:vAlign w:val="bottom"/>
            <w:gridSpan w:val="2"/>
            <w:shd w:val="clear" w:color="auto" w:fill="CFF0FC"/>
          </w:tcPr>
          <w:p>
            <w:pPr>
              <w:jc w:val="right"/>
              <w:ind w:right="8"/>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336"/>
              <w:spacing w:after="0"/>
              <w:rPr>
                <w:sz w:val="20"/>
                <w:szCs w:val="20"/>
                <w:color w:val="auto"/>
              </w:rPr>
            </w:pPr>
            <w:r>
              <w:rPr>
                <w:rFonts w:ascii="Arial" w:cs="Arial" w:eastAsia="Arial" w:hAnsi="Arial"/>
                <w:sz w:val="18"/>
                <w:szCs w:val="18"/>
                <w:color w:val="auto"/>
              </w:rPr>
              <w:t>173.9</w:t>
            </w:r>
          </w:p>
        </w:tc>
        <w:tc>
          <w:tcPr>
            <w:tcW w:w="2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374"/>
              <w:spacing w:after="0"/>
              <w:rPr>
                <w:sz w:val="20"/>
                <w:szCs w:val="20"/>
                <w:color w:val="auto"/>
              </w:rPr>
            </w:pPr>
            <w:r>
              <w:rPr>
                <w:rFonts w:ascii="Arial" w:cs="Arial" w:eastAsia="Arial" w:hAnsi="Arial"/>
                <w:sz w:val="18"/>
                <w:szCs w:val="18"/>
                <w:color w:val="auto"/>
              </w:rPr>
              <w:t>199.3</w:t>
            </w:r>
          </w:p>
        </w:tc>
        <w:tc>
          <w:tcPr>
            <w:tcW w:w="80" w:type="dxa"/>
            <w:vAlign w:val="bottom"/>
            <w:shd w:val="clear" w:color="auto" w:fill="CFF0FC"/>
          </w:tcPr>
          <w:p>
            <w:pPr>
              <w:spacing w:after="0"/>
              <w:rPr>
                <w:sz w:val="21"/>
                <w:szCs w:val="21"/>
                <w:color w:val="auto"/>
              </w:rPr>
            </w:pPr>
          </w:p>
        </w:tc>
        <w:tc>
          <w:tcPr>
            <w:tcW w:w="1160" w:type="dxa"/>
            <w:vAlign w:val="bottom"/>
          </w:tcPr>
          <w:p>
            <w:pPr>
              <w:spacing w:after="0"/>
              <w:rPr>
                <w:sz w:val="21"/>
                <w:szCs w:val="21"/>
                <w:color w:val="auto"/>
              </w:rPr>
            </w:pPr>
          </w:p>
        </w:tc>
      </w:tr>
      <w:tr>
        <w:trPr>
          <w:trHeight w:val="243"/>
        </w:trPr>
        <w:tc>
          <w:tcPr>
            <w:tcW w:w="5260" w:type="dxa"/>
            <w:vAlign w:val="bottom"/>
            <w:gridSpan w:val="2"/>
          </w:tcPr>
          <w:p>
            <w:pPr>
              <w:ind w:left="1140"/>
              <w:spacing w:after="0"/>
              <w:rPr>
                <w:sz w:val="20"/>
                <w:szCs w:val="20"/>
                <w:color w:val="auto"/>
              </w:rPr>
            </w:pPr>
            <w:r>
              <w:rPr>
                <w:rFonts w:ascii="Arial" w:cs="Arial" w:eastAsia="Arial" w:hAnsi="Arial"/>
                <w:sz w:val="18"/>
                <w:szCs w:val="18"/>
                <w:color w:val="auto"/>
              </w:rPr>
              <w:t>Average balance – Term Loan Facility (in millions)</w:t>
            </w:r>
          </w:p>
        </w:tc>
        <w:tc>
          <w:tcPr>
            <w:tcW w:w="196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36"/>
              <w:spacing w:after="0"/>
              <w:rPr>
                <w:sz w:val="20"/>
                <w:szCs w:val="20"/>
                <w:color w:val="auto"/>
              </w:rPr>
            </w:pPr>
            <w:r>
              <w:rPr>
                <w:rFonts w:ascii="Arial" w:cs="Arial" w:eastAsia="Arial" w:hAnsi="Arial"/>
                <w:sz w:val="18"/>
                <w:szCs w:val="18"/>
                <w:color w:val="auto"/>
              </w:rPr>
              <w:t>1,117.0</w:t>
            </w:r>
          </w:p>
        </w:tc>
        <w:tc>
          <w:tcPr>
            <w:tcW w:w="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74"/>
              <w:spacing w:after="0"/>
              <w:rPr>
                <w:sz w:val="20"/>
                <w:szCs w:val="20"/>
                <w:color w:val="auto"/>
              </w:rPr>
            </w:pPr>
            <w:r>
              <w:rPr>
                <w:rFonts w:ascii="Arial" w:cs="Arial" w:eastAsia="Arial" w:hAnsi="Arial"/>
                <w:sz w:val="18"/>
                <w:szCs w:val="18"/>
                <w:color w:val="auto"/>
                <w:w w:val="96"/>
              </w:rPr>
              <w:t>1,129.4</w:t>
            </w: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648"/>
        </w:trPr>
        <w:tc>
          <w:tcPr>
            <w:tcW w:w="116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380" w:type="dxa"/>
            <w:vAlign w:val="bottom"/>
          </w:tcPr>
          <w:p>
            <w:pPr>
              <w:jc w:val="right"/>
              <w:ind w:right="750"/>
              <w:spacing w:after="0"/>
              <w:rPr>
                <w:sz w:val="20"/>
                <w:szCs w:val="20"/>
                <w:color w:val="auto"/>
              </w:rPr>
            </w:pPr>
            <w:r>
              <w:rPr>
                <w:rFonts w:ascii="Arial" w:cs="Arial" w:eastAsia="Arial" w:hAnsi="Arial"/>
                <w:sz w:val="18"/>
                <w:szCs w:val="18"/>
                <w:color w:val="auto"/>
              </w:rPr>
              <w:t>37</w:t>
            </w:r>
          </w:p>
        </w:tc>
        <w:tc>
          <w:tcPr>
            <w:tcW w:w="5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410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39" w:name="page40"/>
    <w:bookmarkEnd w:id="39"/>
    <w:p>
      <w:pPr>
        <w:spacing w:after="0"/>
        <w:rPr>
          <w:sz w:val="20"/>
          <w:szCs w:val="20"/>
          <w:color w:val="auto"/>
        </w:rPr>
      </w:pPr>
      <w:r>
        <w:rPr>
          <w:rFonts w:ascii="Arial" w:cs="Arial" w:eastAsia="Arial" w:hAnsi="Arial"/>
          <w:sz w:val="18"/>
          <w:szCs w:val="18"/>
          <w:i w:val="1"/>
          <w:iCs w:val="1"/>
          <w:color w:val="auto"/>
        </w:rPr>
        <w:t>Income tax expense</w:t>
      </w:r>
    </w:p>
    <w:p>
      <w:pPr>
        <w:spacing w:after="0" w:line="117" w:lineRule="exact"/>
        <w:rPr>
          <w:sz w:val="20"/>
          <w:szCs w:val="20"/>
          <w:color w:val="auto"/>
        </w:rPr>
      </w:pPr>
    </w:p>
    <w:p>
      <w:pPr>
        <w:ind w:right="160" w:firstLine="588"/>
        <w:spacing w:after="0" w:line="259" w:lineRule="auto"/>
        <w:rPr>
          <w:sz w:val="20"/>
          <w:szCs w:val="20"/>
          <w:color w:val="auto"/>
        </w:rPr>
      </w:pPr>
      <w:r>
        <w:rPr>
          <w:rFonts w:ascii="Arial" w:cs="Arial" w:eastAsia="Arial" w:hAnsi="Arial"/>
          <w:sz w:val="18"/>
          <w:szCs w:val="18"/>
          <w:color w:val="auto"/>
        </w:rPr>
        <w:t>Income tax expense was $117.3 million for Fiscal 2016 compared with $88.4 million for Fiscal 2015. The effective tax rate was 35.2% related to pretax income of $333.2 million for Fiscal 2016, and the effective tax rate was 37.0% related to pretax income of $238.9 million for Fiscal 2015. The decrease in the effective tax rate was primarily the result of realizing a tax benefit due to the release of our Puerto Rico valuation allowance resulting from a change in Puerto Rico regulations.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w:t>
      </w:r>
    </w:p>
    <w:p>
      <w:pPr>
        <w:spacing w:after="0" w:line="117" w:lineRule="exact"/>
        <w:rPr>
          <w:sz w:val="20"/>
          <w:szCs w:val="20"/>
          <w:color w:val="auto"/>
        </w:rPr>
      </w:pPr>
    </w:p>
    <w:p>
      <w:pPr>
        <w:ind w:firstLine="588"/>
        <w:spacing w:after="0" w:line="264" w:lineRule="auto"/>
        <w:rPr>
          <w:sz w:val="20"/>
          <w:szCs w:val="20"/>
          <w:color w:val="auto"/>
        </w:rPr>
      </w:pPr>
      <w:r>
        <w:rPr>
          <w:rFonts w:ascii="Arial" w:cs="Arial" w:eastAsia="Arial" w:hAnsi="Arial"/>
          <w:sz w:val="18"/>
          <w:szCs w:val="18"/>
          <w:color w:val="auto"/>
        </w:rPr>
        <w:t>We earned net income of $215.9 million during Fiscal 2016 compared with net income of $150.5 million for Fiscal 2015. The improvement in our net income was primarily driven by our improved gross margin, partially offset by an increase in our selling, general and administrative expenses, income tax expense and depreciation expense.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Our ability to satisfy interest payment obligations on our outstanding debt will depend largely on our future performance which, in turn, is subject to prevailing economic conditions and to financial, business and other factors beyond our control. If we do not have sufficient cash flow to service interest payment obligations on our outstanding indebtedness, and if we cannot borrow or obtain equity financing to satisfy those obligations, our business and results of operations will be materially adversely affected. We cannot be assured that any replacement borrowing or equity financing could be successfully completed on terms similar to our current financing agreements, or at all.</w:t>
      </w:r>
    </w:p>
    <w:p>
      <w:pPr>
        <w:spacing w:after="0" w:line="188" w:lineRule="exact"/>
        <w:rPr>
          <w:sz w:val="20"/>
          <w:szCs w:val="20"/>
          <w:color w:val="auto"/>
        </w:rPr>
      </w:pPr>
    </w:p>
    <w:p>
      <w:pPr>
        <w:jc w:val="both"/>
        <w:ind w:right="80" w:firstLine="518"/>
        <w:spacing w:after="0" w:line="286" w:lineRule="auto"/>
        <w:rPr>
          <w:sz w:val="20"/>
          <w:szCs w:val="20"/>
          <w:color w:val="auto"/>
        </w:rPr>
      </w:pPr>
      <w:r>
        <w:rPr>
          <w:rFonts w:ascii="Arial" w:cs="Arial" w:eastAsia="Arial" w:hAnsi="Arial"/>
          <w:sz w:val="17"/>
          <w:szCs w:val="17"/>
          <w:color w:val="auto"/>
        </w:rPr>
        <w:t>We believe that cash generated from operations, along with our existing cash and our ABL Line of Credit, will be sufficient to fund our expected cash flow requirements and planned capital expenditures for at least the next twelve months as well as the foreseeable future. However, there can be no assurance that we would be able to offset declines in our comparable store sales with savings initiatives in the event that the economy declines.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for Fiscal 2017 Compared with Fiscal 2016</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generated $51.7 million of cash flows during Fiscal 2017 compared with $60.7 million during Fiscal 2016.</w:t>
      </w:r>
    </w:p>
    <w:p>
      <w:pPr>
        <w:spacing w:after="0" w:line="117" w:lineRule="exact"/>
        <w:rPr>
          <w:sz w:val="20"/>
          <w:szCs w:val="20"/>
          <w:color w:val="auto"/>
        </w:rPr>
      </w:pPr>
    </w:p>
    <w:p>
      <w:pPr>
        <w:ind w:right="20" w:firstLine="518"/>
        <w:spacing w:after="0" w:line="279" w:lineRule="auto"/>
        <w:rPr>
          <w:sz w:val="20"/>
          <w:szCs w:val="20"/>
          <w:color w:val="auto"/>
        </w:rPr>
      </w:pPr>
      <w:r>
        <w:rPr>
          <w:rFonts w:ascii="Arial" w:cs="Arial" w:eastAsia="Arial" w:hAnsi="Arial"/>
          <w:sz w:val="17"/>
          <w:szCs w:val="17"/>
          <w:color w:val="auto"/>
        </w:rPr>
        <w:t>Net cash provided by operating activities amounted to $607.3 million and $615.9 million during Fiscal 2017 and Fiscal 2016, respectively. The decrease in our operating cash flows was primarily driven by an increase in income tax payments, as well as changes in working capital, including (i) changes in our merchandise inventories, (ii) changes in other current liabilities, (iii) changes in prepaid rent due to the timing of our fiscal calendar and (iv) changes in accounts receivable. These decreases were partially offset by our improved operating results as well as changes in accounts payable.</w:t>
      </w:r>
    </w:p>
    <w:p>
      <w:pPr>
        <w:spacing w:after="0" w:line="171" w:lineRule="exact"/>
        <w:rPr>
          <w:sz w:val="20"/>
          <w:szCs w:val="20"/>
          <w:color w:val="auto"/>
        </w:rPr>
      </w:pPr>
    </w:p>
    <w:p>
      <w:pPr>
        <w:ind w:right="180" w:firstLine="518"/>
        <w:spacing w:after="0" w:line="264" w:lineRule="auto"/>
        <w:rPr>
          <w:sz w:val="20"/>
          <w:szCs w:val="20"/>
          <w:color w:val="auto"/>
        </w:rPr>
      </w:pPr>
      <w:r>
        <w:rPr>
          <w:rFonts w:ascii="Arial" w:cs="Arial" w:eastAsia="Arial" w:hAnsi="Arial"/>
          <w:sz w:val="18"/>
          <w:szCs w:val="18"/>
          <w:color w:val="auto"/>
        </w:rPr>
        <w:t>Net cash used in investing activities was $262.2 million and $180.4 million during Fiscal 2017 and Fiscal 2016, respectively. This change was primarily the result of an increase in capital expenditures related to our store expenditures (new stores, store remodels and other store expenditures) and our overall supply chain initiatives.</w:t>
      </w:r>
    </w:p>
    <w:p>
      <w:pPr>
        <w:spacing w:after="0" w:line="181" w:lineRule="exact"/>
        <w:rPr>
          <w:sz w:val="20"/>
          <w:szCs w:val="20"/>
          <w:color w:val="auto"/>
        </w:rPr>
      </w:pPr>
    </w:p>
    <w:p>
      <w:pPr>
        <w:ind w:right="280" w:firstLine="518"/>
        <w:spacing w:after="0" w:line="264" w:lineRule="auto"/>
        <w:rPr>
          <w:sz w:val="20"/>
          <w:szCs w:val="20"/>
          <w:color w:val="auto"/>
        </w:rPr>
      </w:pPr>
      <w:r>
        <w:rPr>
          <w:rFonts w:ascii="Arial" w:cs="Arial" w:eastAsia="Arial" w:hAnsi="Arial"/>
          <w:sz w:val="18"/>
          <w:szCs w:val="18"/>
          <w:color w:val="auto"/>
        </w:rPr>
        <w:t>Net cash used in financing activities was $293.4 million during Fiscal 2017 compared to $374.9 million during Fiscal 2016. This decrease was primarily related to the net change in our ABL Line of Credit (no net borrowings during Fiscal 2017 compared to $167.4 million of net repayments during Fiscal 2016), partially offset by an increase in purchases of treasury stock.</w:t>
      </w:r>
    </w:p>
    <w:p>
      <w:pPr>
        <w:spacing w:after="0" w:line="181" w:lineRule="exact"/>
        <w:rPr>
          <w:sz w:val="20"/>
          <w:szCs w:val="20"/>
          <w:color w:val="auto"/>
        </w:rPr>
      </w:pPr>
    </w:p>
    <w:p>
      <w:pPr>
        <w:ind w:right="180" w:firstLine="518"/>
        <w:spacing w:after="0" w:line="264" w:lineRule="auto"/>
        <w:rPr>
          <w:sz w:val="20"/>
          <w:szCs w:val="20"/>
          <w:color w:val="auto"/>
        </w:rPr>
      </w:pPr>
      <w:r>
        <w:rPr>
          <w:rFonts w:ascii="Arial" w:cs="Arial" w:eastAsia="Arial" w:hAnsi="Arial"/>
          <w:sz w:val="18"/>
          <w:szCs w:val="18"/>
          <w:color w:val="auto"/>
        </w:rPr>
        <w:t>Cash flow and working capital levels assist management in measuring our ability to meet our cash requirements. Changes in working capital also impact our cash flows. We had a working capital deficit at February 3, 2018 of $47.0 million compared with $96.3 million at January 28, 2017. Refer to the section above entitled “Key Performance Measures” for explanation of the changes in our working capital.</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for Fiscal 2016 Compared with Fiscal 2015</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generated $60.7 million of cash flows during Fiscal 2016 compared with a use of $4.4 million during Fiscal 2015.</w:t>
      </w:r>
    </w:p>
    <w:p>
      <w:pPr>
        <w:spacing w:after="0" w:line="117" w:lineRule="exact"/>
        <w:rPr>
          <w:sz w:val="20"/>
          <w:szCs w:val="20"/>
          <w:color w:val="auto"/>
        </w:rPr>
      </w:pPr>
    </w:p>
    <w:p>
      <w:pPr>
        <w:ind w:right="20" w:firstLine="588"/>
        <w:spacing w:after="0" w:line="259" w:lineRule="auto"/>
        <w:rPr>
          <w:sz w:val="20"/>
          <w:szCs w:val="20"/>
          <w:color w:val="auto"/>
        </w:rPr>
      </w:pPr>
      <w:r>
        <w:rPr>
          <w:rFonts w:ascii="Arial" w:cs="Arial" w:eastAsia="Arial" w:hAnsi="Arial"/>
          <w:sz w:val="18"/>
          <w:szCs w:val="18"/>
          <w:color w:val="auto"/>
        </w:rPr>
        <w:t>Net cash provided by operating activities amounted to $615.9 million and $339.4 million during Fiscal 2016 and Fiscal 2015, respectively. The improvement was primarily driven by our improved operating results, as well as a decrease in income tax and incentive compensation payments during Fiscal 2016 compared to Fiscal 2015. The improvement was also driven by changes in our inventories and accounts payable. These improvements were partially offset by changes in our deferred rent incentives and deferred income taxes.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90" w:right="259" w:bottom="1440" w:gutter="0" w:footer="0" w:header="0"/>
        </w:sectPr>
      </w:pPr>
    </w:p>
    <w:bookmarkStart w:id="40" w:name="page41"/>
    <w:bookmarkEnd w:id="40"/>
    <w:p>
      <w:pPr>
        <w:ind w:right="280" w:firstLine="588"/>
        <w:spacing w:after="0" w:line="264" w:lineRule="auto"/>
        <w:rPr>
          <w:sz w:val="20"/>
          <w:szCs w:val="20"/>
          <w:color w:val="auto"/>
        </w:rPr>
      </w:pPr>
      <w:r>
        <w:rPr>
          <w:rFonts w:ascii="Arial" w:cs="Arial" w:eastAsia="Arial" w:hAnsi="Arial"/>
          <w:sz w:val="18"/>
          <w:szCs w:val="18"/>
          <w:color w:val="auto"/>
        </w:rPr>
        <w:t>Net cash used in investing activities was $180.4 million and $194.7 million during Fiscal 2016 and Fiscal 2015, respectively. This change was primarily the result of a reduction in capital expenditures related to our overall supply chain initiatives, partially offset by an increase in store expenditures (new stores, store remodels and other store expenditures).</w:t>
      </w:r>
    </w:p>
    <w:p>
      <w:pPr>
        <w:spacing w:after="0" w:line="181" w:lineRule="exact"/>
        <w:rPr>
          <w:sz w:val="20"/>
          <w:szCs w:val="20"/>
          <w:color w:val="auto"/>
        </w:rPr>
      </w:pPr>
    </w:p>
    <w:p>
      <w:pPr>
        <w:ind w:right="660" w:firstLine="588"/>
        <w:spacing w:after="0" w:line="312" w:lineRule="auto"/>
        <w:rPr>
          <w:sz w:val="20"/>
          <w:szCs w:val="20"/>
          <w:color w:val="auto"/>
        </w:rPr>
      </w:pPr>
      <w:r>
        <w:rPr>
          <w:rFonts w:ascii="Arial" w:cs="Arial" w:eastAsia="Arial" w:hAnsi="Arial"/>
          <w:sz w:val="16"/>
          <w:szCs w:val="16"/>
          <w:color w:val="auto"/>
        </w:rPr>
        <w:t>Net cash used in financing activities was $374.9 million during Fiscal 2016 compared to $149.1 million during Fiscal 2015. This change was primarily related to the net change in our ABL Line of Credit ($167.4 million net repayments during Fiscal 2016 compared to $104.1 million of net borrowings during Fiscal 2015) and the $50.0 million repayment on our Term Loan Facility during Fiscal 2015 that did not repeat in Fiscal 2016.</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117" w:lineRule="exact"/>
        <w:rPr>
          <w:sz w:val="20"/>
          <w:szCs w:val="20"/>
          <w:color w:val="auto"/>
        </w:rPr>
      </w:pPr>
    </w:p>
    <w:p>
      <w:pPr>
        <w:ind w:right="120" w:firstLine="518"/>
        <w:spacing w:after="0" w:line="297" w:lineRule="auto"/>
        <w:rPr>
          <w:sz w:val="20"/>
          <w:szCs w:val="20"/>
          <w:color w:val="auto"/>
        </w:rPr>
      </w:pPr>
      <w:r>
        <w:rPr>
          <w:rFonts w:ascii="Arial" w:cs="Arial" w:eastAsia="Arial" w:hAnsi="Arial"/>
          <w:sz w:val="16"/>
          <w:szCs w:val="16"/>
          <w:color w:val="auto"/>
        </w:rPr>
        <w:t>For Fiscal 2017, cash spend for capital expenditures, net of $48.8 million of landlord allowances and $6.0 million of insurance recoveries related to property and equipment, amounted to $213.4 million. These capital expenditures include approximately $100 million, net of the previously mentioned landlord allowances and insurance recoveries, for store expenditures (new stores, store remodels and other store expenditures). In addition, we made capital expenditures of approximately $50 million to support our supply chain initiatives, with the rest to support information technology and other business initiatives. We incurred cash spend on capital expenditures of $155.3 million, net of approximately $32.2 million of landlord allowances, during Fiscal 2016.</w:t>
      </w:r>
    </w:p>
    <w:p>
      <w:pPr>
        <w:spacing w:after="0" w:line="158" w:lineRule="exact"/>
        <w:rPr>
          <w:sz w:val="20"/>
          <w:szCs w:val="20"/>
          <w:color w:val="auto"/>
        </w:rPr>
      </w:pPr>
    </w:p>
    <w:p>
      <w:pPr>
        <w:ind w:right="80" w:firstLine="518"/>
        <w:spacing w:after="0" w:line="257" w:lineRule="auto"/>
        <w:rPr>
          <w:sz w:val="20"/>
          <w:szCs w:val="20"/>
          <w:color w:val="auto"/>
        </w:rPr>
      </w:pPr>
      <w:r>
        <w:rPr>
          <w:rFonts w:ascii="Arial" w:cs="Arial" w:eastAsia="Arial" w:hAnsi="Arial"/>
          <w:sz w:val="18"/>
          <w:szCs w:val="18"/>
          <w:color w:val="auto"/>
        </w:rPr>
        <w:t>We estimate that we will spend approximately $250 million, net of approximately $60 million of landlord allowances and insurance recoveries related to property and equipment, in capital expenditures during Fiscal 2018, including approximately $120 million, net of the previously mentioned landlord allowances and insurance recoveries, for store expenditures (new stores, store remodels and other store expenditures). In addition, we estimate that we will spend approximately $35 million to support our supply chain initiatives, with the remaining capital used to support our information technology and other business initiatives.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Programs</w:t>
      </w:r>
    </w:p>
    <w:p>
      <w:pPr>
        <w:spacing w:after="0" w:line="225" w:lineRule="exact"/>
        <w:rPr>
          <w:sz w:val="20"/>
          <w:szCs w:val="20"/>
          <w:color w:val="auto"/>
        </w:rPr>
      </w:pPr>
    </w:p>
    <w:p>
      <w:pPr>
        <w:ind w:right="60" w:firstLine="518"/>
        <w:spacing w:after="0" w:line="279" w:lineRule="auto"/>
        <w:rPr>
          <w:sz w:val="20"/>
          <w:szCs w:val="20"/>
          <w:color w:val="auto"/>
        </w:rPr>
      </w:pPr>
      <w:r>
        <w:rPr>
          <w:rFonts w:ascii="Arial" w:cs="Arial" w:eastAsia="Arial" w:hAnsi="Arial"/>
          <w:sz w:val="17"/>
          <w:szCs w:val="17"/>
          <w:color w:val="auto"/>
        </w:rPr>
        <w:t>On November 15, 2016, our Board of Directors authorized the repurchase of up to $200 million of our common stock, which we completed during the third quarter of Fiscal 2017. On August 16, 2017, our Board of Directors approved the repurchase of up to an additional $300 million of our common stock. This new repurchase program is authorized to be executed through August 2019, and is funded using our available cash and borrowings on our ABL Line of Credit. As of February 3, 2018, we had $217.2 million available for purchase under this share repurchase program.</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During Fiscal 2017, we repurchased 3,006,720 shares of common stock for $282.5 million under our share repurchase programs.</w:t>
      </w:r>
    </w:p>
    <w:p>
      <w:pPr>
        <w:spacing w:after="0" w:line="225"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We are authorized to repurchase shares of our outstanding common stock from time to time on the open market or in privately negotiated transactions under our repurchase program. The timing and amount of stock repurchases will depend on a variety of factors, including the market conditions as well as corporate and regulatory considerations. Our share repurchase program may be suspended, modified or discontinued at any time, and we have no obligation to repurchase any amount of our common stock under the program.</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We currently do, and intend to continue to, retain all available funds and any future earnings to fund all of the Company's capital expenditures, business initiatives, and to support any potential opportunistic capital structure initiatives. Therefore, at this time, we do not anticipate paying cash dividends in the near term. Our ability to pay dividends on our common stock will be limited by restrictions on the ability of our subsidiaries to pay dividends or make distributions under the terms of current and any future agreements governing our indebtedness. Any determination to pay dividends in the future will be at the discretion of our Board of Directors and will depend upon results of operations, financial condition, contractual restrictions, including those under our ABL Line of Credit and Term Loan Credit Agreement, any potential indebtedness we may incur, restrictions imposed by applicable law and other factors our Board of Directors deems relevant.</w:t>
      </w:r>
    </w:p>
    <w:p>
      <w:pPr>
        <w:spacing w:after="0" w:line="189" w:lineRule="exact"/>
        <w:rPr>
          <w:sz w:val="20"/>
          <w:szCs w:val="20"/>
          <w:color w:val="auto"/>
        </w:rPr>
      </w:pPr>
    </w:p>
    <w:p>
      <w:pPr>
        <w:ind w:right="440" w:firstLine="518"/>
        <w:spacing w:after="0" w:line="264" w:lineRule="auto"/>
        <w:rPr>
          <w:sz w:val="20"/>
          <w:szCs w:val="20"/>
          <w:color w:val="auto"/>
        </w:rPr>
      </w:pPr>
      <w:r>
        <w:rPr>
          <w:rFonts w:ascii="Arial" w:cs="Arial" w:eastAsia="Arial" w:hAnsi="Arial"/>
          <w:sz w:val="18"/>
          <w:szCs w:val="18"/>
          <w:color w:val="auto"/>
        </w:rPr>
        <w:t>In addition, since we are a holding company, substantially all of the assets shown on our consolidated balance sheets are held by our subsidiaries. Accordingly, our earnings, cash flow and ability to pay dividends are largely dependent upon the earnings and cash flows of our subsidiaries and the distribution or other payment of such earnings to us in the form of dividends.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i w:val="1"/>
          <w:iCs w:val="1"/>
          <w:color w:val="auto"/>
        </w:rPr>
        <w:t>Debt</w:t>
      </w:r>
    </w:p>
    <w:p>
      <w:pPr>
        <w:spacing w:after="0" w:line="117" w:lineRule="exact"/>
        <w:rPr>
          <w:sz w:val="20"/>
          <w:szCs w:val="20"/>
          <w:color w:val="auto"/>
        </w:rPr>
      </w:pPr>
    </w:p>
    <w:p>
      <w:pPr>
        <w:ind w:right="480" w:firstLine="518"/>
        <w:spacing w:after="0" w:line="259" w:lineRule="auto"/>
        <w:rPr>
          <w:sz w:val="20"/>
          <w:szCs w:val="20"/>
          <w:color w:val="auto"/>
        </w:rPr>
      </w:pPr>
      <w:r>
        <w:rPr>
          <w:rFonts w:ascii="Arial" w:cs="Arial" w:eastAsia="Arial" w:hAnsi="Arial"/>
          <w:sz w:val="18"/>
          <w:szCs w:val="18"/>
          <w:color w:val="auto"/>
        </w:rPr>
        <w:t>As of February 3, 2018, our obligations include $1,108.9 million, inclusive of original issue discount, under our Term Loan Facility. We had no outstanding balance on our ABL Line of Credit as of February 3, 2018. Our debt obligations also include $21.9 million of capital lease obligations as of February 3, 2018. Refer to Note 7 to our Consolidated Financial Statements, “Long Term Debt,” for an overview of the terms and conditions of these instruments.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 Facility</w:t>
      </w:r>
    </w:p>
    <w:p>
      <w:pPr>
        <w:spacing w:after="0" w:line="225" w:lineRule="exact"/>
        <w:rPr>
          <w:sz w:val="20"/>
          <w:szCs w:val="20"/>
          <w:color w:val="auto"/>
        </w:rPr>
      </w:pPr>
    </w:p>
    <w:p>
      <w:pPr>
        <w:ind w:right="240" w:firstLine="518"/>
        <w:spacing w:after="0" w:line="276" w:lineRule="auto"/>
        <w:rPr>
          <w:sz w:val="20"/>
          <w:szCs w:val="20"/>
          <w:color w:val="auto"/>
        </w:rPr>
      </w:pPr>
      <w:r>
        <w:rPr>
          <w:rFonts w:ascii="Arial" w:cs="Arial" w:eastAsia="Arial" w:hAnsi="Arial"/>
          <w:sz w:val="17"/>
          <w:szCs w:val="17"/>
          <w:color w:val="auto"/>
        </w:rPr>
        <w:t>On November 17, 2017, we entered into Amendment No. 6 (the Sixth Amendment) to the Term Loan Credit Agreement governing our Term Loan Facility. The Sixth Amendment, among other things, reduced the interest rate margins applicable under the Term Loan Facility from 1.75% to 1.50% in the case of prime rate loans, and from 2.75% to 2.50% in the case of LIBOR loans, with the LIBOR floor continuing to be 0.75%. The Sixth Amendment also extended the maturity date from August 13, 2021 to November 17, 2024. The Sixth Amendment was accomplished by replacing the outstanding $1,117.0 million principal amount of Term B-4 Loans with a like aggregate principal amount of Term B-5 Loans.</w:t>
      </w:r>
    </w:p>
    <w:p>
      <w:pPr>
        <w:spacing w:after="0" w:line="173" w:lineRule="exact"/>
        <w:rPr>
          <w:sz w:val="20"/>
          <w:szCs w:val="20"/>
          <w:color w:val="auto"/>
        </w:rPr>
      </w:pPr>
    </w:p>
    <w:p>
      <w:pPr>
        <w:ind w:right="220" w:firstLine="518"/>
        <w:spacing w:after="0" w:line="257" w:lineRule="auto"/>
        <w:rPr>
          <w:sz w:val="20"/>
          <w:szCs w:val="20"/>
          <w:color w:val="auto"/>
        </w:rPr>
      </w:pPr>
      <w:r>
        <w:rPr>
          <w:rFonts w:ascii="Arial" w:cs="Arial" w:eastAsia="Arial" w:hAnsi="Arial"/>
          <w:sz w:val="18"/>
          <w:szCs w:val="18"/>
          <w:color w:val="auto"/>
        </w:rPr>
        <w:t>As a result of the Sixth Amendment, we recognized a non-cash loss on the extinguishment of debt of $2.9 million, representing the write-off of $1.5 million and $1.4 million in deferred financing costs and unamortized original issue discount, respectively, which was recorded in the line item “Loss on extinguishment of debt” in our Consolidated Statements of Income. Also in connection with the Sixth Amendment, we incurred fees of $2.3 million, primarily related to legal and placement fees, which were recorded in the line item “Costs related to debt amendments and secondary offering” in our Consolidated Statements of Income.</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At February 3, 2018, our borrowing rate related to the Term Loan Facility was 4.06%.</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ABL Line of Credit</w:t>
      </w:r>
    </w:p>
    <w:p>
      <w:pPr>
        <w:spacing w:after="0" w:line="225"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At February 3, 2018, we had $455.8 million available under the ABL Line of Credit with no outstanding borrowings. The maximum borrowings under the facility during Fiscal 2017 amounted to $235.5 million. Average borrowings during Fiscal 2017 amounted to $71.0 million at an average interest rate of 2.7%.</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Information Concerning Contractual Obligations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sets forth certain information regarding our obligations to make future payments under current contracts as of February 3, 2018:</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6"/>
          </w:tcPr>
          <w:p>
            <w:pPr>
              <w:jc w:val="center"/>
              <w:ind w:left="655"/>
              <w:spacing w:after="0"/>
              <w:rPr>
                <w:sz w:val="20"/>
                <w:szCs w:val="20"/>
                <w:color w:val="auto"/>
              </w:rPr>
            </w:pPr>
            <w:r>
              <w:rPr>
                <w:rFonts w:ascii="Arial" w:cs="Arial" w:eastAsia="Arial" w:hAnsi="Arial"/>
                <w:sz w:val="14"/>
                <w:szCs w:val="14"/>
                <w:b w:val="1"/>
                <w:bCs w:val="1"/>
                <w:color w:val="auto"/>
                <w:w w:val="91"/>
              </w:rPr>
              <w:t>Payments Due By Period</w:t>
            </w: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9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1"/>
                <w:szCs w:val="11"/>
                <w:color w:val="auto"/>
              </w:rPr>
            </w:pPr>
          </w:p>
        </w:tc>
        <w:tc>
          <w:tcPr>
            <w:tcW w:w="900" w:type="dxa"/>
            <w:vAlign w:val="bottom"/>
          </w:tcPr>
          <w:p>
            <w:pPr>
              <w:jc w:val="right"/>
              <w:ind w:right="135"/>
              <w:spacing w:after="0" w:line="133" w:lineRule="exact"/>
              <w:rPr>
                <w:sz w:val="20"/>
                <w:szCs w:val="20"/>
                <w:color w:val="auto"/>
              </w:rPr>
            </w:pPr>
            <w:r>
              <w:rPr>
                <w:rFonts w:ascii="Arial" w:cs="Arial" w:eastAsia="Arial" w:hAnsi="Arial"/>
                <w:sz w:val="14"/>
                <w:szCs w:val="14"/>
                <w:b w:val="1"/>
                <w:bCs w:val="1"/>
                <w:color w:val="auto"/>
                <w:w w:val="95"/>
              </w:rPr>
              <w:t>Less Than</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89"/>
              </w:rPr>
              <w:t>2-3 Years</w:t>
            </w:r>
          </w:p>
        </w:tc>
        <w:tc>
          <w:tcPr>
            <w:tcW w:w="160" w:type="dxa"/>
            <w:vAlign w:val="bottom"/>
          </w:tcPr>
          <w:p>
            <w:pPr>
              <w:spacing w:after="0"/>
              <w:rPr>
                <w:sz w:val="11"/>
                <w:szCs w:val="11"/>
                <w:color w:val="auto"/>
              </w:rPr>
            </w:pPr>
          </w:p>
        </w:tc>
        <w:tc>
          <w:tcPr>
            <w:tcW w:w="88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w w:val="99"/>
              </w:rPr>
              <w:t>4-5 Years</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Thereafter</w:t>
            </w:r>
          </w:p>
        </w:tc>
        <w:tc>
          <w:tcPr>
            <w:tcW w:w="0" w:type="dxa"/>
            <w:vAlign w:val="bottom"/>
          </w:tcPr>
          <w:p>
            <w:pPr>
              <w:spacing w:after="0"/>
              <w:rPr>
                <w:sz w:val="1"/>
                <w:szCs w:val="1"/>
                <w:color w:val="auto"/>
              </w:rPr>
            </w:pPr>
          </w:p>
        </w:tc>
      </w:tr>
      <w:tr>
        <w:trPr>
          <w:trHeight w:val="171"/>
        </w:trPr>
        <w:tc>
          <w:tcPr>
            <w:tcW w:w="19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ind w:right="255"/>
              <w:spacing w:after="0"/>
              <w:rPr>
                <w:sz w:val="20"/>
                <w:szCs w:val="20"/>
                <w:color w:val="auto"/>
              </w:rPr>
            </w:pPr>
            <w:r>
              <w:rPr>
                <w:rFonts w:ascii="Arial" w:cs="Arial" w:eastAsia="Arial" w:hAnsi="Arial"/>
                <w:sz w:val="14"/>
                <w:szCs w:val="14"/>
                <w:b w:val="1"/>
                <w:bCs w:val="1"/>
                <w:color w:val="auto"/>
              </w:rPr>
              <w:t>1 Year</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9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gridSpan w:val="3"/>
          </w:tcPr>
          <w:p>
            <w:pPr>
              <w:jc w:val="center"/>
              <w:ind w:right="20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1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Debt obligations(1)</w:t>
            </w:r>
          </w:p>
        </w:tc>
        <w:tc>
          <w:tcPr>
            <w:tcW w:w="176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1,114,208</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11,170</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22,340</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22,340</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1,058,358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gridSpan w:val="2"/>
          </w:tcPr>
          <w:p>
            <w:pPr>
              <w:spacing w:after="0"/>
              <w:rPr>
                <w:sz w:val="20"/>
                <w:szCs w:val="20"/>
                <w:color w:val="auto"/>
              </w:rPr>
            </w:pPr>
            <w:r>
              <w:rPr>
                <w:rFonts w:ascii="Arial" w:cs="Arial" w:eastAsia="Arial" w:hAnsi="Arial"/>
                <w:sz w:val="18"/>
                <w:szCs w:val="18"/>
                <w:color w:val="auto"/>
              </w:rPr>
              <w:t>Interest on debt obligations(2)</w:t>
            </w:r>
          </w:p>
        </w:tc>
        <w:tc>
          <w:tcPr>
            <w:tcW w:w="1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280,268</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43,868</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83,662</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80,930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71,808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Capital lease obligations(3)</w:t>
            </w:r>
          </w:p>
        </w:tc>
        <w:tc>
          <w:tcPr>
            <w:tcW w:w="15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31,517</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4,036</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7,681</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8,167</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11,633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gridSpan w:val="2"/>
          </w:tcPr>
          <w:p>
            <w:pPr>
              <w:spacing w:after="0"/>
              <w:rPr>
                <w:sz w:val="20"/>
                <w:szCs w:val="20"/>
                <w:color w:val="auto"/>
              </w:rPr>
            </w:pPr>
            <w:r>
              <w:rPr>
                <w:rFonts w:ascii="Arial" w:cs="Arial" w:eastAsia="Arial" w:hAnsi="Arial"/>
                <w:sz w:val="18"/>
                <w:szCs w:val="18"/>
                <w:color w:val="auto"/>
              </w:rPr>
              <w:t>Operating lease obligations(4)</w:t>
            </w:r>
          </w:p>
        </w:tc>
        <w:tc>
          <w:tcPr>
            <w:tcW w:w="1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2,991,949</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349,994</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704,282</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617,499</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1,320,174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Purchase obligations(5)</w:t>
            </w:r>
          </w:p>
        </w:tc>
        <w:tc>
          <w:tcPr>
            <w:tcW w:w="15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854,430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854,430</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740" w:type="dxa"/>
            <w:vAlign w:val="bottom"/>
            <w:gridSpan w:val="2"/>
          </w:tcPr>
          <w:p>
            <w:pPr>
              <w:spacing w:after="0"/>
              <w:rPr>
                <w:sz w:val="20"/>
                <w:szCs w:val="20"/>
                <w:color w:val="auto"/>
              </w:rPr>
            </w:pPr>
            <w:r>
              <w:rPr>
                <w:rFonts w:ascii="Arial" w:cs="Arial" w:eastAsia="Arial" w:hAnsi="Arial"/>
                <w:sz w:val="18"/>
                <w:szCs w:val="18"/>
                <w:color w:val="auto"/>
              </w:rPr>
              <w:t>Other(6)</w:t>
            </w:r>
          </w:p>
        </w:tc>
        <w:tc>
          <w:tcPr>
            <w:tcW w:w="1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957</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957</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740" w:type="dxa"/>
            <w:vAlign w:val="bottom"/>
            <w:tcBorders>
              <w:top w:val="single" w:sz="8" w:color="CFF0FC"/>
              <w:bottom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56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5,273,329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1,264,455</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817,965</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728,936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2,461,973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920" w:type="dxa"/>
            <w:vAlign w:val="bottom"/>
            <w:tcBorders>
              <w:bottom w:val="single" w:sz="8" w:color="auto"/>
            </w:tcBorders>
          </w:tcPr>
          <w:p>
            <w:pPr>
              <w:spacing w:after="0"/>
              <w:rPr>
                <w:sz w:val="7"/>
                <w:szCs w:val="7"/>
                <w:color w:val="auto"/>
              </w:rPr>
            </w:pPr>
          </w:p>
        </w:tc>
        <w:tc>
          <w:tcPr>
            <w:tcW w:w="1820" w:type="dxa"/>
            <w:vAlign w:val="bottom"/>
          </w:tcPr>
          <w:p>
            <w:pPr>
              <w:spacing w:after="0"/>
              <w:rPr>
                <w:sz w:val="7"/>
                <w:szCs w:val="7"/>
                <w:color w:val="auto"/>
              </w:rPr>
            </w:pPr>
          </w:p>
        </w:tc>
        <w:tc>
          <w:tcPr>
            <w:tcW w:w="1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9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520" w:hanging="512"/>
        <w:spacing w:after="0"/>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Represents future principal payments on outstanding borrowings as of February 3, 2018.</w:t>
      </w:r>
    </w:p>
    <w:p>
      <w:pPr>
        <w:spacing w:after="0" w:line="49" w:lineRule="exact"/>
        <w:rPr>
          <w:rFonts w:ascii="Arial" w:cs="Arial" w:eastAsia="Arial" w:hAnsi="Arial"/>
          <w:sz w:val="18"/>
          <w:szCs w:val="18"/>
          <w:color w:val="auto"/>
        </w:rPr>
      </w:pPr>
    </w:p>
    <w:p>
      <w:pPr>
        <w:ind w:left="520" w:right="260" w:hanging="512"/>
        <w:spacing w:after="0" w:line="256" w:lineRule="auto"/>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Represents interest payments on (i) the outstanding balance of our Senior Secured Term Loan Facility, with an average interest rate of 3.9% during Fiscal 2017 and (ii) the average borrowings outstanding on our ABL Line of Credit during Fiscal 2017, with an average interest rate of 2.7% during Fiscal 2017.</w:t>
      </w:r>
    </w:p>
    <w:p>
      <w:pPr>
        <w:ind w:left="520" w:hanging="512"/>
        <w:spacing w:after="0"/>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Capital lease obligations include future interest payments.</w:t>
      </w:r>
    </w:p>
    <w:p>
      <w:pPr>
        <w:spacing w:after="0" w:line="22" w:lineRule="exact"/>
        <w:rPr>
          <w:rFonts w:ascii="Arial" w:cs="Arial" w:eastAsia="Arial" w:hAnsi="Arial"/>
          <w:sz w:val="18"/>
          <w:szCs w:val="18"/>
          <w:color w:val="auto"/>
        </w:rPr>
      </w:pPr>
    </w:p>
    <w:p>
      <w:pPr>
        <w:ind w:left="520" w:hanging="512"/>
        <w:spacing w:after="0"/>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Represents minimum rent payments for operating leases under the current terms.</w:t>
      </w:r>
    </w:p>
    <w:p>
      <w:pPr>
        <w:spacing w:after="0" w:line="9" w:lineRule="exact"/>
        <w:rPr>
          <w:rFonts w:ascii="Arial" w:cs="Arial" w:eastAsia="Arial" w:hAnsi="Arial"/>
          <w:sz w:val="18"/>
          <w:szCs w:val="18"/>
          <w:color w:val="auto"/>
        </w:rPr>
      </w:pPr>
    </w:p>
    <w:p>
      <w:pPr>
        <w:ind w:left="520" w:right="480" w:hanging="512"/>
        <w:spacing w:after="0" w:line="250" w:lineRule="auto"/>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Represents commitments to purchase goods that have not been received as of February 3, 2018. The table above excludes statements of work for services used in our business of up to $103.2 million over the next five years.</w:t>
      </w:r>
    </w:p>
    <w:p>
      <w:pPr>
        <w:ind w:left="520" w:right="280" w:hanging="512"/>
        <w:spacing w:after="0" w:line="261" w:lineRule="auto"/>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Represents severance payments in the normal course of business that are included in the line item “Selling, general and administrative expenses” in our Consolidated Statements of Income.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2" w:name="page43"/>
    <w:bookmarkEnd w:id="42"/>
    <w:p>
      <w:pPr>
        <w:ind w:right="120" w:firstLine="518"/>
        <w:spacing w:after="0" w:line="277" w:lineRule="auto"/>
        <w:rPr>
          <w:sz w:val="20"/>
          <w:szCs w:val="20"/>
          <w:color w:val="auto"/>
        </w:rPr>
      </w:pPr>
      <w:r>
        <w:rPr>
          <w:rFonts w:ascii="Arial" w:cs="Arial" w:eastAsia="Arial" w:hAnsi="Arial"/>
          <w:sz w:val="18"/>
          <w:szCs w:val="18"/>
          <w:color w:val="auto"/>
        </w:rPr>
        <w:t>The table above excludes payments made for the financing of our interest rate cap contracts through May 31, 2019, as the amounts of these payments are not certain due to changes in LIBOR.</w:t>
      </w:r>
    </w:p>
    <w:p>
      <w:pPr>
        <w:spacing w:after="0" w:line="170" w:lineRule="exact"/>
        <w:rPr>
          <w:sz w:val="20"/>
          <w:szCs w:val="20"/>
          <w:color w:val="auto"/>
        </w:rPr>
      </w:pPr>
    </w:p>
    <w:p>
      <w:pPr>
        <w:ind w:right="200" w:firstLine="518"/>
        <w:spacing w:after="0" w:line="308" w:lineRule="auto"/>
        <w:rPr>
          <w:sz w:val="20"/>
          <w:szCs w:val="20"/>
          <w:color w:val="auto"/>
        </w:rPr>
      </w:pPr>
      <w:r>
        <w:rPr>
          <w:rFonts w:ascii="Arial" w:cs="Arial" w:eastAsia="Arial" w:hAnsi="Arial"/>
          <w:sz w:val="17"/>
          <w:szCs w:val="17"/>
          <w:color w:val="auto"/>
        </w:rPr>
        <w:t>Our agreements with three former employees (including our former President and Chief Executive Officer) to pay their respective beneficiaries $1.0 million upon their deaths for a total of $3.0 million is not reflected in the table above because the timing of the payments is unpredictable.</w:t>
      </w:r>
    </w:p>
    <w:p>
      <w:pPr>
        <w:spacing w:after="0" w:line="147" w:lineRule="exact"/>
        <w:rPr>
          <w:sz w:val="20"/>
          <w:szCs w:val="20"/>
          <w:color w:val="auto"/>
        </w:rPr>
      </w:pPr>
    </w:p>
    <w:p>
      <w:pPr>
        <w:ind w:right="80" w:firstLine="518"/>
        <w:spacing w:after="0" w:line="286" w:lineRule="auto"/>
        <w:rPr>
          <w:sz w:val="20"/>
          <w:szCs w:val="20"/>
          <w:color w:val="auto"/>
        </w:rPr>
      </w:pPr>
      <w:r>
        <w:rPr>
          <w:rFonts w:ascii="Arial" w:cs="Arial" w:eastAsia="Arial" w:hAnsi="Arial"/>
          <w:sz w:val="17"/>
          <w:szCs w:val="17"/>
          <w:color w:val="auto"/>
        </w:rPr>
        <w:t>The table above excludes ASC Topic No. 740 “Income Taxes” (Topic No. 740) liabilities which represent uncertain tax positions related to temporary differences. The total Topic No. 740 liability was $21.2 million, inclusive of $12.1 million of interest and penalties included in our total Topic No. 740 liability neither of which is presented in the table above as we are not certain if and when these payments would be required.</w:t>
      </w:r>
    </w:p>
    <w:p>
      <w:pPr>
        <w:spacing w:after="0" w:line="166" w:lineRule="exact"/>
        <w:rPr>
          <w:sz w:val="20"/>
          <w:szCs w:val="20"/>
          <w:color w:val="auto"/>
        </w:rPr>
      </w:pPr>
    </w:p>
    <w:p>
      <w:pPr>
        <w:ind w:right="540" w:firstLine="518"/>
        <w:spacing w:after="0" w:line="277" w:lineRule="auto"/>
        <w:rPr>
          <w:sz w:val="20"/>
          <w:szCs w:val="20"/>
          <w:color w:val="auto"/>
        </w:rPr>
      </w:pPr>
      <w:r>
        <w:rPr>
          <w:rFonts w:ascii="Arial" w:cs="Arial" w:eastAsia="Arial" w:hAnsi="Arial"/>
          <w:sz w:val="18"/>
          <w:szCs w:val="18"/>
          <w:color w:val="auto"/>
        </w:rPr>
        <w:t>The table above excludes our irrevocable letters of credit guaranteeing payment and performance under certain leases, insurance contracts, debt agreements, merchandising agreements and utility agreements in the amount of $60.0 million as of February 3, 2018.</w:t>
      </w:r>
    </w:p>
    <w:p>
      <w:pPr>
        <w:spacing w:after="0" w:line="170"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As of February 3, 2018, insurance reserves amounted to $64.9 million. These amounts are excluded from the table above as we are not certain if and when these payments would be required.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Our Consolidated Financial Statements have been prepared in accordance with GAAP. We believe there are several accounting policies that are critical to understanding our historical and future performance as these policies affect the reported amounts of revenues and other significant areas that involve management’s judgments and estimates. The preparation of our Consolidated Financial Statements requires management to make estimates and assumptions that affect (i) the reported amounts of assets and liabilities; (ii) the disclosure of contingent assets and liabilities at the date of the Consolidated Financial Statements; and (iii) the reported amounts of revenues and expenses during the reporting period. On an ongoing basis, management evaluates its estimates and judgments, including those related to revenue recognition, inventories and insurance reserves. Historical experience and various other factors that are believed to be reasonable under the circumstances form the basis for making estimates and judgments about the carrying values of assets and liabilities that are not readily apparent from other sources. Actual results may differ from these estimates under different assumptions or conditions. A critical accounting estimate meets two criteria: (1) it requires assumptions about highly uncertain matters and (2) there would be a material effect on the Consolidated Financial Statements from either using a different, although reasonable, amount within the range of the estimate in the current period or from reasonably likely period-to-period changes in the estimate.</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While there are a number of accounting policies, methods and estimates affecting our Consolidated Financial Statements as addressed in Note 1 to our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Consolidated Financial Statements, “Summary of Significant Accounting Policies,” areas that are particularly critical and significant include:</w:t>
      </w:r>
    </w:p>
    <w:p>
      <w:pPr>
        <w:spacing w:after="0" w:line="211"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i w:val="1"/>
          <w:iCs w:val="1"/>
          <w:color w:val="auto"/>
        </w:rPr>
        <w:t>Revenue Recognition</w:t>
      </w:r>
      <w:r>
        <w:rPr>
          <w:rFonts w:ascii="Arial" w:cs="Arial" w:eastAsia="Arial" w:hAnsi="Arial"/>
          <w:sz w:val="16"/>
          <w:szCs w:val="16"/>
          <w:color w:val="auto"/>
        </w:rPr>
        <w:t>. While revenue recognition for the Company does not involve significant judgment, it represents an important accounting policy.</w:t>
      </w:r>
      <w:r>
        <w:rPr>
          <w:rFonts w:ascii="Arial" w:cs="Arial" w:eastAsia="Arial" w:hAnsi="Arial"/>
          <w:sz w:val="16"/>
          <w:szCs w:val="16"/>
          <w:i w:val="1"/>
          <w:iCs w:val="1"/>
          <w:color w:val="auto"/>
        </w:rPr>
        <w:t xml:space="preserve"> </w:t>
      </w:r>
      <w:r>
        <w:rPr>
          <w:rFonts w:ascii="Arial" w:cs="Arial" w:eastAsia="Arial" w:hAnsi="Arial"/>
          <w:sz w:val="16"/>
          <w:szCs w:val="16"/>
          <w:color w:val="auto"/>
        </w:rPr>
        <w:t>We record revenue at the time of sale and delivery of merchandise, net of allowances for estimated future returns. We present sales, net of sales taxes, in our Consolidated Statements of Income. We account for layaway sales and leased department revenue in accordance with ASC Topic No. 605 “Revenue Recognition.” Layaway sales are recognized upon delivery of merchandise to the customer. The amount of cash received upon initiation of the layaway is recorded as a deposit liability within the line item “Other current liabilities” in our Consolidated Balance Sheets. Store value cards (gift cards and store credits issued for merchandise returns) are recorded as a liability at the time of issuance, and the related sale is recorded upon redemption.</w:t>
      </w:r>
    </w:p>
    <w:p>
      <w:pPr>
        <w:spacing w:after="0" w:line="165" w:lineRule="exact"/>
        <w:rPr>
          <w:sz w:val="20"/>
          <w:szCs w:val="20"/>
          <w:color w:val="auto"/>
        </w:rPr>
      </w:pPr>
    </w:p>
    <w:p>
      <w:pPr>
        <w:jc w:val="both"/>
        <w:ind w:right="200" w:firstLine="518"/>
        <w:spacing w:after="0" w:line="259" w:lineRule="auto"/>
        <w:rPr>
          <w:sz w:val="20"/>
          <w:szCs w:val="20"/>
          <w:color w:val="auto"/>
        </w:rPr>
      </w:pPr>
      <w:r>
        <w:rPr>
          <w:rFonts w:ascii="Arial" w:cs="Arial" w:eastAsia="Arial" w:hAnsi="Arial"/>
          <w:sz w:val="18"/>
          <w:szCs w:val="18"/>
          <w:color w:val="auto"/>
        </w:rPr>
        <w:t>We estimate and recognize store value card breakage income in proportion to actual store value card redemptions and record such income in the line item “Other income, net” in our Consolidated Statements of Income. We determine an estimated store value card breakage rate by continuously evaluating historical redemption data. Breakage income is recognized on a monthly basis in proportion to the historical redemption patterns for those store value cards for which the likelihood of redemption is remote.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43" w:name="page44"/>
    <w:bookmarkEnd w:id="43"/>
    <w:p>
      <w:pPr>
        <w:ind w:firstLine="518"/>
        <w:spacing w:after="0" w:line="270" w:lineRule="auto"/>
        <w:rPr>
          <w:sz w:val="20"/>
          <w:szCs w:val="20"/>
          <w:color w:val="auto"/>
        </w:rPr>
      </w:pPr>
      <w:r>
        <w:rPr>
          <w:rFonts w:ascii="Arial" w:cs="Arial" w:eastAsia="Arial" w:hAnsi="Arial"/>
          <w:sz w:val="17"/>
          <w:szCs w:val="17"/>
          <w:i w:val="1"/>
          <w:iCs w:val="1"/>
          <w:color w:val="auto"/>
        </w:rPr>
        <w:t>Inventory</w:t>
      </w:r>
      <w:r>
        <w:rPr>
          <w:rFonts w:ascii="Arial" w:cs="Arial" w:eastAsia="Arial" w:hAnsi="Arial"/>
          <w:sz w:val="17"/>
          <w:szCs w:val="17"/>
          <w:color w:val="auto"/>
        </w:rPr>
        <w:t>. Our inventory is valued at the lower of cost or market using the retail inventory method. Under the retail inventory method, the valuation of</w:t>
      </w:r>
      <w:r>
        <w:rPr>
          <w:rFonts w:ascii="Arial" w:cs="Arial" w:eastAsia="Arial" w:hAnsi="Arial"/>
          <w:sz w:val="17"/>
          <w:szCs w:val="17"/>
          <w:i w:val="1"/>
          <w:iCs w:val="1"/>
          <w:color w:val="auto"/>
        </w:rPr>
        <w:t xml:space="preserve"> </w:t>
      </w:r>
      <w:r>
        <w:rPr>
          <w:rFonts w:ascii="Arial" w:cs="Arial" w:eastAsia="Arial" w:hAnsi="Arial"/>
          <w:sz w:val="17"/>
          <w:szCs w:val="17"/>
          <w:color w:val="auto"/>
        </w:rPr>
        <w:t>inventory and the resulting gross margin are determined by applying a calculated cost to retail ratio to the retail value of inventory. The retail inventory method is an averaging method that results in valuing inventory at the lower of cost or market provided markdowns are taken timely to reduce the retail value of inventory. Inherent in the retail inventory method calculation are certain significant management judgments and estimates including merchandise markon, markups, markdowns and shortage, which significantly impact the ending inventory valuation as well as the resulting gross margin. Management believes that our retail inventory method provides an inventory valuation which approximates cost using a first-in, first-out assumption and results in carrying value at the lower of cost or market. We reserve for aged inventory based on historical trends and specific identification. Our aged inventory reserve contains uncertainties as the calculations require management to make assumptions and to apply judgment regarding a number of factors, including market conditions, the selling environment, historical results and current inventory trends. A 1% change in the dollar amount of markdowns would have resulted in an increase in markdown expense of approximately $2.8 million for Fiscal 2017.</w:t>
      </w:r>
    </w:p>
    <w:p>
      <w:pPr>
        <w:spacing w:after="0" w:line="178" w:lineRule="exact"/>
        <w:rPr>
          <w:sz w:val="20"/>
          <w:szCs w:val="20"/>
          <w:color w:val="auto"/>
        </w:rPr>
      </w:pPr>
    </w:p>
    <w:p>
      <w:pPr>
        <w:ind w:right="40" w:firstLine="518"/>
        <w:spacing w:after="0" w:line="273" w:lineRule="auto"/>
        <w:rPr>
          <w:sz w:val="20"/>
          <w:szCs w:val="20"/>
          <w:color w:val="auto"/>
        </w:rPr>
      </w:pPr>
      <w:r>
        <w:rPr>
          <w:rFonts w:ascii="Arial" w:cs="Arial" w:eastAsia="Arial" w:hAnsi="Arial"/>
          <w:sz w:val="17"/>
          <w:szCs w:val="17"/>
          <w:color w:val="auto"/>
        </w:rPr>
        <w:t>Typically, estimates are used to record inventory shortage at retail stores for the first three quarters of a fiscal year. Actual physical inventories are typically conducted annually during the second or fourth quarters to calculate actual shortage. While we make estimates on the basis of the best information available to us at the time the estimates are made, over accruals or under accruals of shortage may be identified as a result of the physical inventory counts, requiring adjustments. During the fourth quarter of Fiscal 2017 and Fiscal 2016, we recorded shortage adjustment gains of $1.8 million and $5.1 million, respectively, as a result of actual shortage being less than what we had estimated. During the fourth quarter of Fiscal 2015, we recorded a shortage adjustment loss of $3.5 million, as a result of actual shortage being more than what we had estimated.</w:t>
      </w:r>
    </w:p>
    <w:p>
      <w:pPr>
        <w:spacing w:after="0" w:line="178"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i w:val="1"/>
          <w:iCs w:val="1"/>
          <w:color w:val="auto"/>
        </w:rPr>
        <w:t>Insurance Reserves</w:t>
      </w:r>
      <w:r>
        <w:rPr>
          <w:rFonts w:ascii="Arial" w:cs="Arial" w:eastAsia="Arial" w:hAnsi="Arial"/>
          <w:sz w:val="18"/>
          <w:szCs w:val="18"/>
          <w:color w:val="auto"/>
        </w:rPr>
        <w:t>. We have risk participation agreements with insurance carriers with respect to workers’ compensation, general liability insurance</w:t>
      </w:r>
      <w:r>
        <w:rPr>
          <w:rFonts w:ascii="Arial" w:cs="Arial" w:eastAsia="Arial" w:hAnsi="Arial"/>
          <w:sz w:val="18"/>
          <w:szCs w:val="18"/>
          <w:i w:val="1"/>
          <w:iCs w:val="1"/>
          <w:color w:val="auto"/>
        </w:rPr>
        <w:t xml:space="preserve"> </w:t>
      </w:r>
      <w:r>
        <w:rPr>
          <w:rFonts w:ascii="Arial" w:cs="Arial" w:eastAsia="Arial" w:hAnsi="Arial"/>
          <w:sz w:val="18"/>
          <w:szCs w:val="18"/>
          <w:color w:val="auto"/>
        </w:rPr>
        <w:t>and health insurance. Pursuant to these arrangements, we are responsible for paying individual claims up to designated dollar limits. The amounts included in our costs related to these claims are estimated and can vary based on changes in assumptions or claims experience included in the associated insurance programs. For example, changes in legal trends and interpretations, as well as changes in the nature and method of how claims are settled, can impact ultimate costs. An increase in workers’ compensation claims by employees, health insurance claims by employees or general liability claims may result in a corresponding increase in our costs related to these claims. Insurance reserves amounted to $64.9 million and $70.0 million at February 3, 2018 and January 28, 2017, respectively.</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1160" w:firstLine="518"/>
        <w:spacing w:after="0" w:line="277" w:lineRule="auto"/>
        <w:rPr>
          <w:sz w:val="20"/>
          <w:szCs w:val="20"/>
          <w:color w:val="auto"/>
        </w:rPr>
      </w:pPr>
      <w:r>
        <w:rPr>
          <w:rFonts w:ascii="Arial" w:cs="Arial" w:eastAsia="Arial" w:hAnsi="Arial"/>
          <w:sz w:val="18"/>
          <w:szCs w:val="18"/>
          <w:color w:val="auto"/>
        </w:rPr>
        <w:t>Refer to Note 2 to our Consolidated Financial Statements, “Recent Accounting Pronouncements,” for a discussion of recent accounting pronouncements and their impact in our Consolidated Financial Statements.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Fluctuations in Operating Results</w:t>
      </w:r>
    </w:p>
    <w:p>
      <w:pPr>
        <w:spacing w:after="0" w:line="121" w:lineRule="exact"/>
        <w:rPr>
          <w:sz w:val="20"/>
          <w:szCs w:val="20"/>
          <w:color w:val="auto"/>
        </w:rPr>
      </w:pPr>
    </w:p>
    <w:p>
      <w:pPr>
        <w:ind w:right="360" w:firstLine="518"/>
        <w:spacing w:after="0" w:line="277" w:lineRule="auto"/>
        <w:rPr>
          <w:sz w:val="20"/>
          <w:szCs w:val="20"/>
          <w:color w:val="auto"/>
        </w:rPr>
      </w:pPr>
      <w:r>
        <w:rPr>
          <w:rFonts w:ascii="Arial" w:cs="Arial" w:eastAsia="Arial" w:hAnsi="Arial"/>
          <w:sz w:val="18"/>
          <w:szCs w:val="18"/>
          <w:color w:val="auto"/>
        </w:rPr>
        <w:t>We expect that our revenues and operating results may fluctuate from fiscal quarter to fiscal quarter or over the longer term. Certain of the general factors that may cause such fluctuations are discussed in Item 1A, Risk Factors and elsewhere in this Annual Report.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117"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Our business, like that of most retailers, is subject to seasonal influences. In the second half of the year, which includes the back-to-school and holiday seasons, we generally realize a higher level of sales and net income. Weather is also a contributing factor to the sale of our clothing. Generally, our sales are higher if the weather is cold during the Fall and warm during the early Spring. Sales of cold weather clothing are increased by early cold weather during the Fall, while sales of warm weather clothing are improved by early warm weather conditions in the Spring. Although we have diversified our product offerings, we believe traffic to our stores is still driven, in part, by weather patterns.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w:t>
      </w:r>
    </w:p>
    <w:p>
      <w:pPr>
        <w:spacing w:after="0" w:line="117" w:lineRule="exact"/>
        <w:rPr>
          <w:sz w:val="20"/>
          <w:szCs w:val="20"/>
          <w:color w:val="auto"/>
        </w:rPr>
      </w:pPr>
    </w:p>
    <w:p>
      <w:pPr>
        <w:ind w:right="140" w:firstLine="518"/>
        <w:spacing w:after="0" w:line="342" w:lineRule="auto"/>
        <w:rPr>
          <w:sz w:val="20"/>
          <w:szCs w:val="20"/>
          <w:color w:val="auto"/>
        </w:rPr>
      </w:pPr>
      <w:r>
        <w:rPr>
          <w:rFonts w:ascii="Arial" w:cs="Arial" w:eastAsia="Arial" w:hAnsi="Arial"/>
          <w:sz w:val="16"/>
          <w:szCs w:val="16"/>
          <w:color w:val="auto"/>
        </w:rPr>
        <w:t>We do not believe that our operating results have been materially affected by inflation during Fiscal 2017, Fiscal 2016 or Fiscal 2015. Historically, as the costs of merchandising and related operating expenses have increased, we have been able to mitigate the effect of such impact on our operations.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4" w:name="page45"/>
    <w:bookmarkEnd w:id="44"/>
    <w:p>
      <w:pPr>
        <w:ind w:right="100" w:firstLine="518"/>
        <w:spacing w:after="0" w:line="302" w:lineRule="auto"/>
        <w:rPr>
          <w:sz w:val="20"/>
          <w:szCs w:val="20"/>
          <w:color w:val="auto"/>
        </w:rPr>
      </w:pPr>
      <w:r>
        <w:rPr>
          <w:rFonts w:ascii="Arial" w:cs="Arial" w:eastAsia="Arial" w:hAnsi="Arial"/>
          <w:sz w:val="16"/>
          <w:szCs w:val="16"/>
          <w:color w:val="auto"/>
        </w:rPr>
        <w:t>The U.S. retail industry continues to face increased pressure on margins as commodity prices increase and the overall challenging retail conditions have led consumers to be more value conscious. Our “open to buy” paradigm, in which we purchase both pre-season and in-season merchandise, allows us the flexibility to purchase less pre-season with the balance purchased in-season and opportunistically. It also provides us the flexibility to shift purchases between suppliers and categories. This enables us to obtain better terms with our suppliers, which we expect to help offset the expected rising costs of goods.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Risk</w:t>
      </w:r>
    </w:p>
    <w:p>
      <w:pPr>
        <w:spacing w:after="0" w:line="117"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We are exposed to market risks relating to fluctuations in interest rates. Our borrowings contain floating rate obligations and are subject to interest rate fluctuations. The objective of our financial risk management is to minimize the negative impact of interest rate fluctuations on our earnings and cash flows. We manage interest rate risk through the use of our interest rate cap contracts.</w:t>
      </w:r>
    </w:p>
    <w:p>
      <w:pPr>
        <w:spacing w:after="0" w:line="181"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As more fully described in Note 8 to our Consolidated Financial Statements, “Derivative Instruments and Hedging Activities,” we enter into interest rate cap contracts to manage interest rate risks associated with our long term debt obligations. The effective portion of changes in the fair value of derivatives designated and that qualify as cash flow hedges is recorded in the line item “Accumulated other comprehensive loss” on the Company’s Consolidated Balance Sheets and is subsequently reclassified into earnings in the period that the hedged forecasted transaction affects earnings. We continue to have exposure to interest rate risks to the extent they are not hedged.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17" w:lineRule="exact"/>
        <w:rPr>
          <w:sz w:val="20"/>
          <w:szCs w:val="20"/>
          <w:color w:val="auto"/>
        </w:rPr>
      </w:pPr>
    </w:p>
    <w:p>
      <w:pPr>
        <w:ind w:right="240" w:firstLine="518"/>
        <w:spacing w:after="0" w:line="259" w:lineRule="auto"/>
        <w:rPr>
          <w:sz w:val="20"/>
          <w:szCs w:val="20"/>
          <w:color w:val="auto"/>
        </w:rPr>
      </w:pPr>
      <w:r>
        <w:rPr>
          <w:rFonts w:ascii="Arial" w:cs="Arial" w:eastAsia="Arial" w:hAnsi="Arial"/>
          <w:sz w:val="18"/>
          <w:szCs w:val="18"/>
          <w:color w:val="auto"/>
        </w:rPr>
        <w:t>Other than operating leases consummated in the normal course of business and letters of credit, as more fully described above under the caption “Certain Information Concerning Contractual Obligations,” we are not involved in any off-balance sheet arrangements that have or are reasonably likely to have a material current or future impact on our financial condition, changes in financial condition, revenues or expenses, results of operations, liquidity, capital expenditures or capital resources.</w:t>
      </w:r>
    </w:p>
    <w:p>
      <w:pPr>
        <w:spacing w:after="0" w:line="372"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We are exposed to certain market risks as part of our ongoing business operations. Primary exposures include changes in interest rates, as borrowings under our ABL Line of Credit and Term Loan Facility bear interest at floating rates based on LIBOR or the base rate, in each case plus an applicable borrowing margin. The interest rate of our Term Loan Facility is also dependent on the prime rate, and the federal funds rate as further discussed in Note 7 to our Consolidated Financial Statements, “Long Term Debt.”</w:t>
      </w:r>
    </w:p>
    <w:p>
      <w:pPr>
        <w:spacing w:after="0" w:line="187" w:lineRule="exact"/>
        <w:rPr>
          <w:sz w:val="20"/>
          <w:szCs w:val="20"/>
          <w:color w:val="auto"/>
        </w:rPr>
      </w:pPr>
    </w:p>
    <w:p>
      <w:pPr>
        <w:ind w:right="320" w:firstLine="518"/>
        <w:spacing w:after="0" w:line="277" w:lineRule="auto"/>
        <w:rPr>
          <w:sz w:val="20"/>
          <w:szCs w:val="20"/>
          <w:color w:val="auto"/>
        </w:rPr>
      </w:pPr>
      <w:r>
        <w:rPr>
          <w:rFonts w:ascii="Arial" w:cs="Arial" w:eastAsia="Arial" w:hAnsi="Arial"/>
          <w:sz w:val="18"/>
          <w:szCs w:val="18"/>
          <w:color w:val="auto"/>
        </w:rPr>
        <w:t>We manage our interest rate risk through the use of interest rate cap contracts. For our floating-rate debt, interest rate changes generally impact our earnings and cash flows, assuming other factors are held constant.</w:t>
      </w:r>
    </w:p>
    <w:p>
      <w:pPr>
        <w:spacing w:after="0" w:line="170"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On April 24, 2015, we entered into two interest rate cap contracts which were designated as cash flow hedges. These interest rate cap contracts have an aggregate notional principal amount of $800.0 million, cap rates of 1.0%, and mature on May 31, 2019.</w:t>
      </w:r>
    </w:p>
    <w:p>
      <w:pPr>
        <w:spacing w:after="0" w:line="170" w:lineRule="exact"/>
        <w:rPr>
          <w:sz w:val="20"/>
          <w:szCs w:val="20"/>
          <w:color w:val="auto"/>
        </w:rPr>
      </w:pPr>
    </w:p>
    <w:p>
      <w:pPr>
        <w:ind w:right="200" w:firstLine="518"/>
        <w:spacing w:after="0" w:line="264" w:lineRule="auto"/>
        <w:rPr>
          <w:sz w:val="20"/>
          <w:szCs w:val="20"/>
          <w:color w:val="auto"/>
        </w:rPr>
      </w:pPr>
      <w:r>
        <w:rPr>
          <w:rFonts w:ascii="Arial" w:cs="Arial" w:eastAsia="Arial" w:hAnsi="Arial"/>
          <w:sz w:val="18"/>
          <w:szCs w:val="18"/>
          <w:color w:val="auto"/>
        </w:rPr>
        <w:t>On November 17, 2017, we completed the repricing and extension of our Term Loan Facility, which, among other things, reduced the interest rate margins from 1.75% to 1.50% in the case of prime rate loans, and from 2.75% to 2.50% in the case of LIBOR loans, with the LIBOR floor continuing to be 0.75%.</w:t>
      </w:r>
    </w:p>
    <w:p>
      <w:pPr>
        <w:spacing w:after="0" w:line="181" w:lineRule="exact"/>
        <w:rPr>
          <w:sz w:val="20"/>
          <w:szCs w:val="20"/>
          <w:color w:val="auto"/>
        </w:rPr>
      </w:pPr>
    </w:p>
    <w:p>
      <w:pPr>
        <w:ind w:right="280" w:firstLine="518"/>
        <w:spacing w:after="0" w:line="342" w:lineRule="auto"/>
        <w:rPr>
          <w:sz w:val="20"/>
          <w:szCs w:val="20"/>
          <w:color w:val="auto"/>
        </w:rPr>
      </w:pPr>
      <w:r>
        <w:rPr>
          <w:rFonts w:ascii="Arial" w:cs="Arial" w:eastAsia="Arial" w:hAnsi="Arial"/>
          <w:sz w:val="16"/>
          <w:szCs w:val="16"/>
          <w:color w:val="auto"/>
        </w:rPr>
        <w:t>We had exposure to changes in interest rates on our Term Loan Facility above the 1.00% rate under our interest rate cap contracts. In addition, we have unlimited interest rate risk related to borrowings on our variable rate debt in excess of the notional principal amount of our interest rate cap contracts.</w:t>
      </w:r>
    </w:p>
    <w:p>
      <w:pPr>
        <w:spacing w:after="0" w:line="124" w:lineRule="exact"/>
        <w:rPr>
          <w:sz w:val="20"/>
          <w:szCs w:val="20"/>
          <w:color w:val="auto"/>
        </w:rPr>
      </w:pPr>
    </w:p>
    <w:p>
      <w:pPr>
        <w:ind w:right="160" w:firstLine="518"/>
        <w:spacing w:after="0" w:line="257" w:lineRule="auto"/>
        <w:rPr>
          <w:sz w:val="20"/>
          <w:szCs w:val="20"/>
          <w:color w:val="auto"/>
        </w:rPr>
      </w:pPr>
      <w:r>
        <w:rPr>
          <w:rFonts w:ascii="Arial" w:cs="Arial" w:eastAsia="Arial" w:hAnsi="Arial"/>
          <w:sz w:val="18"/>
          <w:szCs w:val="18"/>
          <w:color w:val="auto"/>
        </w:rPr>
        <w:t xml:space="preserve">At February 3, 2018, we had $1,114.2 million of floating-rate debt, exclusive of original issue discount. Based on $1,114.2 million outstanding as floating-rate debt, a one percentage point increase as of February 3, 2018 </w:t>
      </w:r>
      <w:r>
        <w:rPr>
          <w:rFonts w:ascii="Arial" w:cs="Arial" w:eastAsia="Arial" w:hAnsi="Arial"/>
          <w:sz w:val="17"/>
          <w:szCs w:val="17"/>
          <w:color w:val="auto"/>
        </w:rPr>
        <w:t>(</w:t>
      </w:r>
      <w:r>
        <w:rPr>
          <w:rFonts w:ascii="Arial" w:cs="Arial" w:eastAsia="Arial" w:hAnsi="Arial"/>
          <w:sz w:val="18"/>
          <w:szCs w:val="18"/>
          <w:color w:val="auto"/>
        </w:rPr>
        <w:t>after considering our 1.0% interest rate cap contracts), would cause an increase to cash interest expense of $3.2 million per year, resulting in $3.2 million less in our pre-tax earnings. This sensitivity analysis assumes our mix of financial instruments and all other variables will remain constant in future periods. These assumptions are made in order to facilitate the analysis and are not necessarily indicative of our future intentions.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5" w:name="page46"/>
    <w:bookmarkEnd w:id="45"/>
    <w:p>
      <w:pPr>
        <w:ind w:right="460" w:firstLine="518"/>
        <w:spacing w:after="0" w:line="277" w:lineRule="auto"/>
        <w:rPr>
          <w:sz w:val="20"/>
          <w:szCs w:val="20"/>
          <w:color w:val="auto"/>
        </w:rPr>
      </w:pPr>
      <w:r>
        <w:rPr>
          <w:rFonts w:ascii="Arial" w:cs="Arial" w:eastAsia="Arial" w:hAnsi="Arial"/>
          <w:sz w:val="18"/>
          <w:szCs w:val="18"/>
          <w:color w:val="auto"/>
        </w:rPr>
        <w:t>If a one percentage point increase in interest rates were to occur as of February 3, 2018, such an increase would result in the following additional interest expenses (assuming current borrowing level remains constant):</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4"/>
              </w:rPr>
              <w:t>(in millions)</w:t>
            </w: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center"/>
              <w:ind w:right="39"/>
              <w:spacing w:after="0" w:line="133" w:lineRule="exact"/>
              <w:rPr>
                <w:sz w:val="20"/>
                <w:szCs w:val="20"/>
                <w:color w:val="auto"/>
              </w:rPr>
            </w:pPr>
            <w:r>
              <w:rPr>
                <w:rFonts w:ascii="Arial" w:cs="Arial" w:eastAsia="Arial" w:hAnsi="Arial"/>
                <w:sz w:val="14"/>
                <w:szCs w:val="14"/>
                <w:b w:val="1"/>
                <w:bCs w:val="1"/>
                <w:color w:val="auto"/>
                <w:w w:val="97"/>
              </w:rPr>
              <w:t>Principal</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380"/>
              <w:spacing w:after="0" w:line="133" w:lineRule="exact"/>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11"/>
                <w:szCs w:val="11"/>
                <w:color w:val="auto"/>
              </w:rPr>
            </w:pPr>
          </w:p>
        </w:tc>
        <w:tc>
          <w:tcPr>
            <w:tcW w:w="1120" w:type="dxa"/>
            <w:vAlign w:val="bottom"/>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w w:val="93"/>
              </w:rPr>
              <w:t>Additional</w:t>
            </w:r>
          </w:p>
        </w:tc>
        <w:tc>
          <w:tcPr>
            <w:tcW w:w="140" w:type="dxa"/>
            <w:vAlign w:val="bottom"/>
          </w:tcPr>
          <w:p>
            <w:pPr>
              <w:spacing w:after="0"/>
              <w:rPr>
                <w:sz w:val="11"/>
                <w:szCs w:val="11"/>
                <w:color w:val="auto"/>
              </w:rPr>
            </w:pPr>
          </w:p>
        </w:tc>
        <w:tc>
          <w:tcPr>
            <w:tcW w:w="1120" w:type="dxa"/>
            <w:vAlign w:val="bottom"/>
            <w:gridSpan w:val="2"/>
          </w:tcPr>
          <w:p>
            <w:pPr>
              <w:jc w:val="center"/>
              <w:ind w:right="380"/>
              <w:spacing w:after="0" w:line="133" w:lineRule="exact"/>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1"/>
                <w:szCs w:val="11"/>
                <w:color w:val="auto"/>
              </w:rPr>
            </w:pPr>
          </w:p>
        </w:tc>
        <w:tc>
          <w:tcPr>
            <w:tcW w:w="900" w:type="dxa"/>
            <w:vAlign w:val="bottom"/>
          </w:tcPr>
          <w:p>
            <w:pPr>
              <w:jc w:val="center"/>
              <w:ind w:right="80"/>
              <w:spacing w:after="0" w:line="133" w:lineRule="exact"/>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4"/>
              </w:rPr>
              <w:t>Outstanding</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Interest</w:t>
            </w:r>
          </w:p>
        </w:tc>
        <w:tc>
          <w:tcPr>
            <w:tcW w:w="12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Interest</w:t>
            </w:r>
          </w:p>
        </w:tc>
        <w:tc>
          <w:tcPr>
            <w:tcW w:w="14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Interest</w:t>
            </w:r>
          </w:p>
        </w:tc>
        <w:tc>
          <w:tcPr>
            <w:tcW w:w="14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Interest</w:t>
            </w:r>
          </w:p>
        </w:tc>
        <w:tc>
          <w:tcPr>
            <w:tcW w:w="0" w:type="dxa"/>
            <w:vAlign w:val="bottom"/>
          </w:tcPr>
          <w:p>
            <w:pPr>
              <w:spacing w:after="0"/>
              <w:rPr>
                <w:sz w:val="1"/>
                <w:szCs w:val="1"/>
                <w:color w:val="auto"/>
              </w:rPr>
            </w:pPr>
          </w:p>
        </w:tc>
      </w:tr>
      <w:tr>
        <w:trPr>
          <w:trHeight w:val="149"/>
        </w:trPr>
        <w:tc>
          <w:tcPr>
            <w:tcW w:w="5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Floating Rate Debt</w:t>
            </w:r>
          </w:p>
        </w:tc>
        <w:tc>
          <w:tcPr>
            <w:tcW w:w="10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7"/>
              </w:rPr>
              <w:t>at February 3,</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Expense</w:t>
            </w:r>
          </w:p>
        </w:tc>
        <w:tc>
          <w:tcPr>
            <w:tcW w:w="12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Expense</w:t>
            </w:r>
          </w:p>
        </w:tc>
        <w:tc>
          <w:tcPr>
            <w:tcW w:w="14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Expense</w:t>
            </w: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Expense</w:t>
            </w:r>
          </w:p>
        </w:tc>
        <w:tc>
          <w:tcPr>
            <w:tcW w:w="0" w:type="dxa"/>
            <w:vAlign w:val="bottom"/>
          </w:tcPr>
          <w:p>
            <w:pPr>
              <w:spacing w:after="0"/>
              <w:rPr>
                <w:sz w:val="1"/>
                <w:szCs w:val="1"/>
                <w:color w:val="auto"/>
              </w:rPr>
            </w:pPr>
          </w:p>
        </w:tc>
      </w:tr>
      <w:tr>
        <w:trPr>
          <w:trHeight w:val="171"/>
        </w:trPr>
        <w:tc>
          <w:tcPr>
            <w:tcW w:w="52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center"/>
              <w:ind w:right="39"/>
              <w:spacing w:after="0"/>
              <w:rPr>
                <w:sz w:val="20"/>
                <w:szCs w:val="20"/>
                <w:color w:val="auto"/>
              </w:rPr>
            </w:pPr>
            <w:r>
              <w:rPr>
                <w:rFonts w:ascii="Arial" w:cs="Arial" w:eastAsia="Arial" w:hAnsi="Arial"/>
                <w:sz w:val="14"/>
                <w:szCs w:val="14"/>
                <w:b w:val="1"/>
                <w:bCs w:val="1"/>
                <w:color w:val="auto"/>
                <w:w w:val="96"/>
              </w:rPr>
              <w:t>2018</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Q1 2018</w:t>
            </w: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Q2 2018</w:t>
            </w:r>
          </w:p>
        </w:tc>
        <w:tc>
          <w:tcPr>
            <w:tcW w:w="140" w:type="dxa"/>
            <w:vAlign w:val="bottom"/>
          </w:tcPr>
          <w:p>
            <w:pPr>
              <w:spacing w:after="0"/>
              <w:rPr>
                <w:sz w:val="14"/>
                <w:szCs w:val="14"/>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Q3 2018</w:t>
            </w:r>
          </w:p>
        </w:tc>
        <w:tc>
          <w:tcPr>
            <w:tcW w:w="1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Q4 2018</w:t>
            </w:r>
          </w:p>
        </w:tc>
        <w:tc>
          <w:tcPr>
            <w:tcW w:w="0" w:type="dxa"/>
            <w:vAlign w:val="bottom"/>
          </w:tcPr>
          <w:p>
            <w:pPr>
              <w:spacing w:after="0"/>
              <w:rPr>
                <w:sz w:val="1"/>
                <w:szCs w:val="1"/>
                <w:color w:val="auto"/>
              </w:rPr>
            </w:pPr>
          </w:p>
        </w:tc>
      </w:tr>
      <w:tr>
        <w:trPr>
          <w:trHeight w:val="223"/>
        </w:trPr>
        <w:tc>
          <w:tcPr>
            <w:tcW w:w="5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Term Loan Facility (a)</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1,114.2</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gridSpan w:val="2"/>
          </w:tcPr>
          <w:p>
            <w:pPr>
              <w:spacing w:after="0"/>
              <w:rPr>
                <w:sz w:val="20"/>
                <w:szCs w:val="20"/>
                <w:color w:val="auto"/>
              </w:rPr>
            </w:pPr>
            <w:r>
              <w:rPr>
                <w:rFonts w:ascii="Arial" w:cs="Arial" w:eastAsia="Arial" w:hAnsi="Arial"/>
                <w:sz w:val="18"/>
                <w:szCs w:val="18"/>
                <w:color w:val="auto"/>
              </w:rPr>
              <w:t>ABL Line of Credit</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1,114.2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hanging="512"/>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Principal balance represents carrying value of our Term Loan Facility exclusive of original issue discount.</w:t>
      </w:r>
    </w:p>
    <w:p>
      <w:pPr>
        <w:spacing w:after="0" w:line="225"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Our ability to satisfy our interest payment obligations on our outstanding debt will depend largely on our future performance, which, in turn, is in part subject to prevailing economic conditions and to financial, business and other factors beyond our control. If we do not have sufficient cash flow to service our interest payment obligations on our outstanding indebtedness and if we cannot borrow or obtain equity financing to satisfy those obligations, our business and results of operations will be materially adversely affected. We cannot be assured that any replacement borrowing or equity financing could be successfully completed.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6" w:name="page47"/>
    <w:bookmarkEnd w:id="46"/>
    <w:p>
      <w:pPr>
        <w:spacing w:after="0"/>
        <w:tabs>
          <w:tab w:leader="none" w:pos="114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Financial Statements</w:t>
      </w:r>
    </w:p>
    <w:p>
      <w:pPr>
        <w:spacing w:after="0" w:line="27" w:lineRule="exact"/>
        <w:rPr>
          <w:sz w:val="20"/>
          <w:szCs w:val="20"/>
          <w:color w:val="auto"/>
        </w:rPr>
      </w:pPr>
    </w:p>
    <w:p>
      <w:pPr>
        <w:ind w:left="440"/>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Report of Independent Registered Public Accounting Firm</w:t>
        </w:r>
      </w:hyperlink>
    </w:p>
    <w:p>
      <w:pPr>
        <w:spacing w:after="0" w:line="9" w:lineRule="exact"/>
        <w:rPr>
          <w:sz w:val="20"/>
          <w:szCs w:val="20"/>
          <w:color w:val="auto"/>
        </w:rPr>
      </w:pPr>
    </w:p>
    <w:p>
      <w:pPr>
        <w:ind w:left="660" w:right="760" w:hanging="220"/>
        <w:spacing w:after="0" w:line="258" w:lineRule="auto"/>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Consolidated Statements of Income for the fiscal years ended February 3, 2018, January 28, 2017 and January</w:t>
        </w:r>
      </w:hyperlink>
      <w:r>
        <w:rPr>
          <w:rFonts w:ascii="Arial" w:cs="Arial" w:eastAsia="Arial" w:hAnsi="Arial"/>
          <w:sz w:val="18"/>
          <w:szCs w:val="18"/>
          <w:u w:val="single" w:color="auto"/>
          <w:color w:val="0000EE"/>
        </w:rPr>
        <w:t xml:space="preserve"> </w:t>
      </w:r>
      <w:hyperlink w:anchor="page49">
        <w:r>
          <w:rPr>
            <w:rFonts w:ascii="Arial" w:cs="Arial" w:eastAsia="Arial" w:hAnsi="Arial"/>
            <w:sz w:val="18"/>
            <w:szCs w:val="18"/>
            <w:u w:val="single" w:color="auto"/>
            <w:color w:val="0000EE"/>
          </w:rPr>
          <w:t>30, 2016</w:t>
        </w:r>
      </w:hyperlink>
    </w:p>
    <w:p>
      <w:pPr>
        <w:spacing w:after="0" w:line="1" w:lineRule="exact"/>
        <w:rPr>
          <w:sz w:val="20"/>
          <w:szCs w:val="20"/>
          <w:color w:val="auto"/>
        </w:rPr>
      </w:pPr>
    </w:p>
    <w:p>
      <w:pPr>
        <w:ind w:left="660" w:right="900" w:hanging="220"/>
        <w:spacing w:after="0" w:line="250" w:lineRule="auto"/>
        <w:rPr>
          <w:rFonts w:ascii="Arial" w:cs="Arial" w:eastAsia="Arial" w:hAnsi="Arial"/>
          <w:sz w:val="18"/>
          <w:szCs w:val="18"/>
          <w:color w:val="0000EE"/>
        </w:rPr>
      </w:pPr>
      <w:hyperlink w:anchor="page50">
        <w:r>
          <w:rPr>
            <w:rFonts w:ascii="Arial" w:cs="Arial" w:eastAsia="Arial" w:hAnsi="Arial"/>
            <w:sz w:val="18"/>
            <w:szCs w:val="18"/>
            <w:u w:val="single" w:color="auto"/>
            <w:color w:val="0000EE"/>
          </w:rPr>
          <w:t>Consolidated Statements of Comprehensive Income for the fiscal years ended February 3, 2018, January 28,</w:t>
        </w:r>
      </w:hyperlink>
      <w:r>
        <w:rPr>
          <w:rFonts w:ascii="Arial" w:cs="Arial" w:eastAsia="Arial" w:hAnsi="Arial"/>
          <w:sz w:val="18"/>
          <w:szCs w:val="18"/>
          <w:u w:val="single" w:color="auto"/>
          <w:color w:val="0000EE"/>
        </w:rPr>
        <w:t xml:space="preserve"> </w:t>
      </w:r>
      <w:hyperlink w:anchor="page50">
        <w:r>
          <w:rPr>
            <w:rFonts w:ascii="Arial" w:cs="Arial" w:eastAsia="Arial" w:hAnsi="Arial"/>
            <w:sz w:val="18"/>
            <w:szCs w:val="18"/>
            <w:u w:val="single" w:color="auto"/>
            <w:color w:val="0000EE"/>
          </w:rPr>
          <w:t>2017 and January 30, 201</w:t>
        </w:r>
        <w:r>
          <w:rPr>
            <w:rFonts w:ascii="Arial" w:cs="Arial" w:eastAsia="Arial" w:hAnsi="Arial"/>
            <w:sz w:val="18"/>
            <w:szCs w:val="18"/>
            <w:color w:val="000000"/>
          </w:rPr>
          <w:t>6</w:t>
        </w:r>
      </w:hyperlink>
    </w:p>
    <w:p>
      <w:pPr>
        <w:spacing w:after="0" w:line="1" w:lineRule="exact"/>
        <w:rPr>
          <w:sz w:val="20"/>
          <w:szCs w:val="20"/>
          <w:color w:val="auto"/>
        </w:rPr>
      </w:pPr>
    </w:p>
    <w:p>
      <w:pPr>
        <w:ind w:left="440"/>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Consolidated Balance Sheets as of February 3, 2018 and January 28, 2017</w:t>
        </w:r>
      </w:hyperlink>
    </w:p>
    <w:p>
      <w:pPr>
        <w:spacing w:after="0" w:line="9" w:lineRule="exact"/>
        <w:rPr>
          <w:sz w:val="20"/>
          <w:szCs w:val="20"/>
          <w:color w:val="auto"/>
        </w:rPr>
      </w:pPr>
    </w:p>
    <w:p>
      <w:pPr>
        <w:ind w:left="660" w:right="1060" w:hanging="220"/>
        <w:spacing w:after="0" w:line="258" w:lineRule="auto"/>
        <w:rPr>
          <w:rFonts w:ascii="Arial" w:cs="Arial" w:eastAsia="Arial" w:hAnsi="Arial"/>
          <w:sz w:val="18"/>
          <w:szCs w:val="18"/>
          <w:color w:val="0000EE"/>
        </w:rPr>
      </w:pPr>
      <w:hyperlink w:anchor="page52">
        <w:r>
          <w:rPr>
            <w:rFonts w:ascii="Arial" w:cs="Arial" w:eastAsia="Arial" w:hAnsi="Arial"/>
            <w:sz w:val="18"/>
            <w:szCs w:val="18"/>
            <w:u w:val="single" w:color="auto"/>
            <w:color w:val="0000EE"/>
          </w:rPr>
          <w:t>Consolidated Statements of Cash Flows for the fiscal years ended February 3, 2018, January 28, 2017 and</w:t>
        </w:r>
      </w:hyperlink>
      <w:r>
        <w:rPr>
          <w:rFonts w:ascii="Arial" w:cs="Arial" w:eastAsia="Arial" w:hAnsi="Arial"/>
          <w:sz w:val="18"/>
          <w:szCs w:val="18"/>
          <w:u w:val="single" w:color="auto"/>
          <w:color w:val="0000EE"/>
        </w:rPr>
        <w:t xml:space="preserve"> </w:t>
      </w:r>
      <w:hyperlink w:anchor="page52">
        <w:r>
          <w:rPr>
            <w:rFonts w:ascii="Arial" w:cs="Arial" w:eastAsia="Arial" w:hAnsi="Arial"/>
            <w:sz w:val="18"/>
            <w:szCs w:val="18"/>
            <w:u w:val="single" w:color="auto"/>
            <w:color w:val="0000EE"/>
          </w:rPr>
          <w:t>January 30, 201</w:t>
        </w:r>
        <w:r>
          <w:rPr>
            <w:rFonts w:ascii="Arial" w:cs="Arial" w:eastAsia="Arial" w:hAnsi="Arial"/>
            <w:sz w:val="18"/>
            <w:szCs w:val="18"/>
            <w:color w:val="000000"/>
          </w:rPr>
          <w:t>6</w:t>
        </w:r>
      </w:hyperlink>
    </w:p>
    <w:p>
      <w:pPr>
        <w:spacing w:after="0" w:line="1" w:lineRule="exact"/>
        <w:rPr>
          <w:sz w:val="20"/>
          <w:szCs w:val="20"/>
          <w:color w:val="auto"/>
        </w:rPr>
      </w:pPr>
    </w:p>
    <w:p>
      <w:pPr>
        <w:ind w:left="660" w:right="1740" w:hanging="220"/>
        <w:spacing w:after="0" w:line="250" w:lineRule="auto"/>
        <w:rPr>
          <w:rFonts w:ascii="Arial" w:cs="Arial" w:eastAsia="Arial" w:hAnsi="Arial"/>
          <w:sz w:val="18"/>
          <w:szCs w:val="18"/>
          <w:color w:val="0000EE"/>
        </w:rPr>
      </w:pPr>
      <w:hyperlink w:anchor="page53">
        <w:r>
          <w:rPr>
            <w:rFonts w:ascii="Arial" w:cs="Arial" w:eastAsia="Arial" w:hAnsi="Arial"/>
            <w:sz w:val="18"/>
            <w:szCs w:val="18"/>
            <w:u w:val="single" w:color="auto"/>
            <w:color w:val="0000EE"/>
          </w:rPr>
          <w:t>Consolidated Statements of Stockholders’ Equity (Deficit) for the fiscal years ended February 3,</w:t>
        </w:r>
      </w:hyperlink>
      <w:r>
        <w:rPr>
          <w:rFonts w:ascii="Arial" w:cs="Arial" w:eastAsia="Arial" w:hAnsi="Arial"/>
          <w:sz w:val="18"/>
          <w:szCs w:val="18"/>
          <w:u w:val="single" w:color="auto"/>
          <w:color w:val="0000EE"/>
        </w:rPr>
        <w:t xml:space="preserve"> </w:t>
      </w:r>
      <w:hyperlink w:anchor="page53">
        <w:r>
          <w:rPr>
            <w:rFonts w:ascii="Arial" w:cs="Arial" w:eastAsia="Arial" w:hAnsi="Arial"/>
            <w:sz w:val="18"/>
            <w:szCs w:val="18"/>
            <w:u w:val="single" w:color="auto"/>
            <w:color w:val="0000EE"/>
          </w:rPr>
          <w:t>2018, January 28, 2017 and January 30, 201</w:t>
        </w:r>
        <w:r>
          <w:rPr>
            <w:rFonts w:ascii="Arial" w:cs="Arial" w:eastAsia="Arial" w:hAnsi="Arial"/>
            <w:sz w:val="18"/>
            <w:szCs w:val="18"/>
            <w:color w:val="000000"/>
          </w:rPr>
          <w:t>6</w:t>
        </w:r>
      </w:hyperlink>
    </w:p>
    <w:p>
      <w:pPr>
        <w:spacing w:after="0" w:line="1" w:lineRule="exact"/>
        <w:rPr>
          <w:sz w:val="20"/>
          <w:szCs w:val="20"/>
          <w:color w:val="auto"/>
        </w:rPr>
      </w:pPr>
    </w:p>
    <w:p>
      <w:pPr>
        <w:ind w:left="660" w:right="780" w:hanging="220"/>
        <w:spacing w:after="0" w:line="261" w:lineRule="auto"/>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Notes to Consolidated Financial Statements for the fiscal years ended February 3, 2018, January 28, 2017 and</w:t>
        </w:r>
      </w:hyperlink>
      <w:r>
        <w:rPr>
          <w:rFonts w:ascii="Arial" w:cs="Arial" w:eastAsia="Arial" w:hAnsi="Arial"/>
          <w:sz w:val="18"/>
          <w:szCs w:val="18"/>
          <w:u w:val="single" w:color="auto"/>
          <w:color w:val="0000EE"/>
        </w:rPr>
        <w:t xml:space="preserve"> </w:t>
      </w:r>
      <w:hyperlink w:anchor="page54">
        <w:r>
          <w:rPr>
            <w:rFonts w:ascii="Arial" w:cs="Arial" w:eastAsia="Arial" w:hAnsi="Arial"/>
            <w:sz w:val="18"/>
            <w:szCs w:val="18"/>
            <w:u w:val="single" w:color="auto"/>
            <w:color w:val="0000EE"/>
          </w:rPr>
          <w:t>January 30, 2016</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Page</w:t>
      </w: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46</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47</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48</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49</w:t>
      </w:r>
    </w:p>
    <w:p>
      <w:pPr>
        <w:spacing w:after="0" w:line="22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50</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51</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52</w:t>
      </w:r>
    </w:p>
    <w:p>
      <w:pPr>
        <w:sectPr>
          <w:pgSz w:w="11900" w:h="16838" w:orient="portrait"/>
          <w:cols w:equalWidth="0" w:num="2">
            <w:col w:w="9140" w:space="720"/>
            <w:col w:w="1560"/>
          </w:cols>
          <w:pgMar w:left="240" w:top="337" w:right="239" w:bottom="1440" w:gutter="0" w:footer="0" w:header="0"/>
        </w:sectPr>
      </w:pPr>
    </w:p>
    <w:bookmarkStart w:id="47" w:name="page48"/>
    <w:bookmarkEnd w:id="47"/>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Burlington Stores,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Opinion on the Financial Statements</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have audited the accompanying consolidated balance sheets of Burlington Stores, Inc. and subsidiaries (the "Company") as of February 3, 2018 and January 28, 2017, the related consolidated statements of income, comprehensive income, stockholders' deficit, and cash flows, for each of the three fiscal years in the period ended February 3, 2018, and the related notes and the statement schedules listed in the Index at Item 15 (a)(2). In our opinion, the financial statements present fairly, in all material respects, the financial position of the Company as of February 3, 2018 and January 28, 2017, and the results of its operations and its cash flows for each of the three fiscal years in the period ended February 3, 2018 with accounting principles generally accepted in the United States of America.</w:t>
      </w:r>
    </w:p>
    <w:p>
      <w:pPr>
        <w:spacing w:after="0" w:line="19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Company's internal control over financial reporting as of February 3, 2018, based on criteria established in Internal Control — Integrated Framework (2013) issued by the Committee of Sponsoring Organizations of the Treadway Commission and our report dated March 20, 2018, expressed an unqualified opinion on the Company's internal control over financial reporting.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Basis for Opinion</w:t>
      </w:r>
    </w:p>
    <w:p>
      <w:pPr>
        <w:spacing w:after="0" w:line="225"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Parsippany, New Jersey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20, 2018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1983.</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BURLINGTON STORES, INC.</w:t>
      </w:r>
    </w:p>
    <w:p>
      <w:pPr>
        <w:spacing w:after="0" w:line="27"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(All amounts in thousands, except per share data)</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center"/>
              <w:ind w:right="280"/>
              <w:spacing w:after="0"/>
              <w:rPr>
                <w:sz w:val="20"/>
                <w:szCs w:val="20"/>
                <w:color w:val="auto"/>
              </w:rPr>
            </w:pPr>
            <w:r>
              <w:rPr>
                <w:rFonts w:ascii="Arial" w:cs="Arial" w:eastAsia="Arial" w:hAnsi="Arial"/>
                <w:sz w:val="14"/>
                <w:szCs w:val="14"/>
                <w:b w:val="1"/>
                <w:bCs w:val="1"/>
                <w:color w:val="auto"/>
                <w:w w:val="92"/>
              </w:rPr>
              <w:t>Fiscal Year Ended</w:t>
            </w: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5"/>
        </w:trPr>
        <w:tc>
          <w:tcPr>
            <w:tcW w:w="568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7"/>
              </w:rPr>
              <w:t>February 3,</w:t>
            </w:r>
          </w:p>
        </w:tc>
        <w:tc>
          <w:tcPr>
            <w:tcW w:w="160" w:type="dxa"/>
            <w:vAlign w:val="bottom"/>
          </w:tcPr>
          <w:p>
            <w:pPr>
              <w:spacing w:after="0"/>
              <w:rPr>
                <w:sz w:val="23"/>
                <w:szCs w:val="23"/>
                <w:color w:val="auto"/>
              </w:rPr>
            </w:pPr>
          </w:p>
        </w:tc>
        <w:tc>
          <w:tcPr>
            <w:tcW w:w="12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January 28,</w:t>
            </w:r>
          </w:p>
        </w:tc>
        <w:tc>
          <w:tcPr>
            <w:tcW w:w="180" w:type="dxa"/>
            <w:vAlign w:val="bottom"/>
          </w:tcPr>
          <w:p>
            <w:pPr>
              <w:spacing w:after="0"/>
              <w:rPr>
                <w:sz w:val="23"/>
                <w:szCs w:val="23"/>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8"/>
              </w:rPr>
              <w:t>January 30,</w:t>
            </w:r>
          </w:p>
        </w:tc>
        <w:tc>
          <w:tcPr>
            <w:tcW w:w="0" w:type="dxa"/>
            <w:vAlign w:val="bottom"/>
          </w:tcPr>
          <w:p>
            <w:pPr>
              <w:spacing w:after="0"/>
              <w:rPr>
                <w:sz w:val="1"/>
                <w:szCs w:val="1"/>
                <w:color w:val="auto"/>
              </w:rPr>
            </w:pPr>
          </w:p>
        </w:tc>
      </w:tr>
      <w:tr>
        <w:trPr>
          <w:trHeight w:val="257"/>
        </w:trPr>
        <w:tc>
          <w:tcPr>
            <w:tcW w:w="568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jc w:val="center"/>
              <w:ind w:right="92"/>
              <w:spacing w:after="0"/>
              <w:rPr>
                <w:sz w:val="20"/>
                <w:szCs w:val="20"/>
                <w:color w:val="auto"/>
              </w:rPr>
            </w:pPr>
            <w:r>
              <w:rPr>
                <w:rFonts w:ascii="Arial" w:cs="Arial" w:eastAsia="Arial" w:hAnsi="Arial"/>
                <w:sz w:val="14"/>
                <w:szCs w:val="14"/>
                <w:b w:val="1"/>
                <w:bCs w:val="1"/>
                <w:color w:val="auto"/>
                <w:w w:val="96"/>
              </w:rPr>
              <w:t>2018</w:t>
            </w:r>
          </w:p>
        </w:tc>
        <w:tc>
          <w:tcPr>
            <w:tcW w:w="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jc w:val="center"/>
              <w:ind w:right="112"/>
              <w:spacing w:after="0"/>
              <w:rPr>
                <w:sz w:val="20"/>
                <w:szCs w:val="20"/>
                <w:color w:val="auto"/>
              </w:rPr>
            </w:pPr>
            <w:r>
              <w:rPr>
                <w:rFonts w:ascii="Arial" w:cs="Arial" w:eastAsia="Arial" w:hAnsi="Arial"/>
                <w:sz w:val="14"/>
                <w:szCs w:val="14"/>
                <w:b w:val="1"/>
                <w:bCs w:val="1"/>
                <w:color w:val="auto"/>
                <w:w w:val="89"/>
              </w:rPr>
              <w:t>2017</w:t>
            </w: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jc w:val="right"/>
              <w:ind w:right="39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5680" w:type="dxa"/>
            <w:vAlign w:val="bottom"/>
            <w:vMerge w:val="restart"/>
          </w:tcPr>
          <w:p>
            <w:pPr>
              <w:spacing w:after="0"/>
              <w:rPr>
                <w:sz w:val="20"/>
                <w:szCs w:val="20"/>
                <w:color w:val="auto"/>
              </w:rPr>
            </w:pPr>
            <w:r>
              <w:rPr>
                <w:rFonts w:ascii="Arial" w:cs="Arial" w:eastAsia="Arial" w:hAnsi="Arial"/>
                <w:sz w:val="18"/>
                <w:szCs w:val="18"/>
                <w:b w:val="1"/>
                <w:bCs w:val="1"/>
                <w:color w:val="auto"/>
              </w:rPr>
              <w:t>REVENUES:</w:t>
            </w:r>
          </w:p>
        </w:tc>
        <w:tc>
          <w:tcPr>
            <w:tcW w:w="1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2"/>
              </w:rPr>
              <w:t>(53 Weeks)</w:t>
            </w: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680" w:type="dxa"/>
            <w:vAlign w:val="bottom"/>
            <w:vMerge w:val="continue"/>
          </w:tcPr>
          <w:p>
            <w:pPr>
              <w:spacing w:after="0"/>
              <w:rPr>
                <w:sz w:val="19"/>
                <w:szCs w:val="19"/>
                <w:color w:val="auto"/>
              </w:rPr>
            </w:pPr>
          </w:p>
        </w:tc>
        <w:tc>
          <w:tcPr>
            <w:tcW w:w="15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sales</w:t>
            </w:r>
          </w:p>
        </w:tc>
        <w:tc>
          <w:tcPr>
            <w:tcW w:w="168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6,084,766</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jc w:val="right"/>
              <w:ind w:right="6"/>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5,566,038</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5,098,932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8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Other revenue</w:t>
            </w:r>
          </w:p>
        </w:tc>
        <w:tc>
          <w:tcPr>
            <w:tcW w:w="152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25,277</w:t>
            </w:r>
          </w:p>
        </w:tc>
        <w:tc>
          <w:tcPr>
            <w:tcW w:w="26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24,912</w:t>
            </w:r>
          </w:p>
        </w:tc>
        <w:tc>
          <w:tcPr>
            <w:tcW w:w="24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30,911</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680" w:type="dxa"/>
            <w:vAlign w:val="bottom"/>
            <w:shd w:val="clear" w:color="auto" w:fill="CFF0FC"/>
          </w:tcPr>
          <w:p>
            <w:pPr>
              <w:ind w:left="260"/>
              <w:spacing w:after="0"/>
              <w:rPr>
                <w:sz w:val="20"/>
                <w:szCs w:val="20"/>
                <w:color w:val="auto"/>
              </w:rPr>
            </w:pPr>
            <w:r>
              <w:rPr>
                <w:rFonts w:ascii="Arial" w:cs="Arial" w:eastAsia="Arial" w:hAnsi="Arial"/>
                <w:sz w:val="18"/>
                <w:szCs w:val="18"/>
                <w:b w:val="1"/>
                <w:bCs w:val="1"/>
                <w:color w:val="auto"/>
              </w:rPr>
              <w:t>Total revenue</w:t>
            </w:r>
          </w:p>
        </w:tc>
        <w:tc>
          <w:tcPr>
            <w:tcW w:w="15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6,110,043</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5,590,950</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5,129,843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680" w:type="dxa"/>
            <w:vAlign w:val="bottom"/>
          </w:tcPr>
          <w:p>
            <w:pPr>
              <w:ind w:left="20"/>
              <w:spacing w:after="0"/>
              <w:rPr>
                <w:sz w:val="20"/>
                <w:szCs w:val="20"/>
                <w:color w:val="auto"/>
              </w:rPr>
            </w:pPr>
            <w:r>
              <w:rPr>
                <w:rFonts w:ascii="Arial" w:cs="Arial" w:eastAsia="Arial" w:hAnsi="Arial"/>
                <w:sz w:val="18"/>
                <w:szCs w:val="18"/>
                <w:b w:val="1"/>
                <w:bCs w:val="1"/>
                <w:color w:val="auto"/>
              </w:rPr>
              <w:t>COSTS AND EXPENSES:</w:t>
            </w:r>
          </w:p>
        </w:tc>
        <w:tc>
          <w:tcPr>
            <w:tcW w:w="1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 of sales</w:t>
            </w:r>
          </w:p>
        </w:tc>
        <w:tc>
          <w:tcPr>
            <w:tcW w:w="15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3,559,158</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3,297,373</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3,059,641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8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1,863,501</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1,723,251</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1,597,718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Costs related to debt amendments and secondary offering</w:t>
            </w:r>
          </w:p>
        </w:tc>
        <w:tc>
          <w:tcPr>
            <w:tcW w:w="15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2,262</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1,346</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80" w:type="dxa"/>
            <w:vAlign w:val="bottom"/>
          </w:tcPr>
          <w:p>
            <w:pPr>
              <w:ind w:left="20"/>
              <w:spacing w:after="0"/>
              <w:rPr>
                <w:sz w:val="20"/>
                <w:szCs w:val="20"/>
                <w:color w:val="auto"/>
              </w:rPr>
            </w:pPr>
            <w:r>
              <w:rPr>
                <w:rFonts w:ascii="Arial" w:cs="Arial" w:eastAsia="Arial" w:hAnsi="Arial"/>
                <w:sz w:val="18"/>
                <w:szCs w:val="18"/>
                <w:color w:val="auto"/>
              </w:rPr>
              <w:t>Stock option modification expense</w:t>
            </w:r>
          </w:p>
        </w:tc>
        <w:tc>
          <w:tcPr>
            <w:tcW w:w="1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142</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601</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1,368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Depreciation and amortization</w:t>
            </w:r>
          </w:p>
        </w:tc>
        <w:tc>
          <w:tcPr>
            <w:tcW w:w="15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201,103</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183,586</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172,099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80" w:type="dxa"/>
            <w:vAlign w:val="bottom"/>
          </w:tcPr>
          <w:p>
            <w:pPr>
              <w:ind w:left="20"/>
              <w:spacing w:after="0"/>
              <w:rPr>
                <w:sz w:val="20"/>
                <w:szCs w:val="20"/>
                <w:color w:val="auto"/>
              </w:rPr>
            </w:pPr>
            <w:r>
              <w:rPr>
                <w:rFonts w:ascii="Arial" w:cs="Arial" w:eastAsia="Arial" w:hAnsi="Arial"/>
                <w:sz w:val="18"/>
                <w:szCs w:val="18"/>
                <w:color w:val="auto"/>
              </w:rPr>
              <w:t>Impairment charges - long-lived assets</w:t>
            </w:r>
          </w:p>
        </w:tc>
        <w:tc>
          <w:tcPr>
            <w:tcW w:w="1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2,127</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2,450</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6,111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income - net</w:t>
            </w:r>
          </w:p>
        </w:tc>
        <w:tc>
          <w:tcPr>
            <w:tcW w:w="15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(8,888)</w:t>
            </w:r>
          </w:p>
        </w:tc>
        <w:tc>
          <w:tcPr>
            <w:tcW w:w="16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(10,835)</w:t>
            </w:r>
          </w:p>
        </w:tc>
        <w:tc>
          <w:tcPr>
            <w:tcW w:w="18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(5,865)</w:t>
            </w:r>
          </w:p>
        </w:tc>
        <w:tc>
          <w:tcPr>
            <w:tcW w:w="0" w:type="dxa"/>
            <w:vAlign w:val="bottom"/>
          </w:tcPr>
          <w:p>
            <w:pPr>
              <w:spacing w:after="0"/>
              <w:rPr>
                <w:sz w:val="1"/>
                <w:szCs w:val="1"/>
                <w:color w:val="auto"/>
              </w:rPr>
            </w:pPr>
          </w:p>
        </w:tc>
      </w:tr>
      <w:tr>
        <w:trPr>
          <w:trHeight w:val="243"/>
        </w:trPr>
        <w:tc>
          <w:tcPr>
            <w:tcW w:w="5680" w:type="dxa"/>
            <w:vAlign w:val="bottom"/>
          </w:tcPr>
          <w:p>
            <w:pPr>
              <w:ind w:left="20"/>
              <w:spacing w:after="0"/>
              <w:rPr>
                <w:sz w:val="20"/>
                <w:szCs w:val="20"/>
                <w:color w:val="auto"/>
              </w:rPr>
            </w:pPr>
            <w:r>
              <w:rPr>
                <w:rFonts w:ascii="Arial" w:cs="Arial" w:eastAsia="Arial" w:hAnsi="Arial"/>
                <w:sz w:val="18"/>
                <w:szCs w:val="18"/>
                <w:color w:val="auto"/>
              </w:rPr>
              <w:t>Loss on extinguishment of debt</w:t>
            </w:r>
          </w:p>
        </w:tc>
        <w:tc>
          <w:tcPr>
            <w:tcW w:w="1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2,881</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3,805</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649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expense</w:t>
            </w:r>
          </w:p>
        </w:tc>
        <w:tc>
          <w:tcPr>
            <w:tcW w:w="1520" w:type="dxa"/>
            <w:vAlign w:val="bottom"/>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58,777</w:t>
            </w:r>
          </w:p>
        </w:tc>
        <w:tc>
          <w:tcPr>
            <w:tcW w:w="260" w:type="dxa"/>
            <w:vAlign w:val="bottom"/>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56,161</w:t>
            </w:r>
          </w:p>
        </w:tc>
        <w:tc>
          <w:tcPr>
            <w:tcW w:w="240" w:type="dxa"/>
            <w:vAlign w:val="bottom"/>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58,999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680" w:type="dxa"/>
            <w:vAlign w:val="bottom"/>
            <w:tcBorders>
              <w:bottom w:val="single" w:sz="8" w:color="CFF0FC"/>
            </w:tcBorders>
          </w:tcPr>
          <w:p>
            <w:pPr>
              <w:ind w:left="260"/>
              <w:spacing w:after="0"/>
              <w:rPr>
                <w:sz w:val="20"/>
                <w:szCs w:val="20"/>
                <w:color w:val="auto"/>
              </w:rPr>
            </w:pPr>
            <w:r>
              <w:rPr>
                <w:rFonts w:ascii="Arial" w:cs="Arial" w:eastAsia="Arial" w:hAnsi="Arial"/>
                <w:sz w:val="18"/>
                <w:szCs w:val="18"/>
                <w:b w:val="1"/>
                <w:bCs w:val="1"/>
                <w:color w:val="auto"/>
              </w:rPr>
              <w:t>Total costs and expenses</w:t>
            </w:r>
          </w:p>
        </w:tc>
        <w:tc>
          <w:tcPr>
            <w:tcW w:w="15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5,681,063</w:t>
            </w:r>
          </w:p>
        </w:tc>
        <w:tc>
          <w:tcPr>
            <w:tcW w:w="2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5,257,738</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4,890,967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Income before income tax expense</w:t>
            </w:r>
          </w:p>
        </w:tc>
        <w:tc>
          <w:tcPr>
            <w:tcW w:w="15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428,980</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333,212</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238,876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68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Income tax expense</w:t>
            </w:r>
          </w:p>
        </w:tc>
        <w:tc>
          <w:tcPr>
            <w:tcW w:w="152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44,128</w:t>
            </w:r>
          </w:p>
        </w:tc>
        <w:tc>
          <w:tcPr>
            <w:tcW w:w="26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117,339</w:t>
            </w:r>
          </w:p>
        </w:tc>
        <w:tc>
          <w:tcPr>
            <w:tcW w:w="24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88,394</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6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b w:val="1"/>
                <w:bCs w:val="1"/>
                <w:color w:val="auto"/>
              </w:rPr>
              <w:t>Net income</w:t>
            </w:r>
          </w:p>
        </w:tc>
        <w:tc>
          <w:tcPr>
            <w:tcW w:w="15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384,852</w:t>
            </w:r>
          </w:p>
        </w:tc>
        <w:tc>
          <w:tcPr>
            <w:tcW w:w="2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6"/>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215,873</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150,482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80" w:type="dxa"/>
            <w:vAlign w:val="bottom"/>
            <w:vMerge w:val="restart"/>
          </w:tcPr>
          <w:p>
            <w:pPr>
              <w:ind w:left="20"/>
              <w:spacing w:after="0"/>
              <w:rPr>
                <w:sz w:val="20"/>
                <w:szCs w:val="20"/>
                <w:color w:val="auto"/>
              </w:rPr>
            </w:pPr>
            <w:r>
              <w:rPr>
                <w:rFonts w:ascii="Arial" w:cs="Arial" w:eastAsia="Arial" w:hAnsi="Arial"/>
                <w:sz w:val="18"/>
                <w:szCs w:val="18"/>
                <w:color w:val="auto"/>
              </w:rPr>
              <w:t>Net income per common share:</w:t>
            </w:r>
          </w:p>
        </w:tc>
        <w:tc>
          <w:tcPr>
            <w:tcW w:w="1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680" w:type="dxa"/>
            <w:vAlign w:val="bottom"/>
            <w:vMerge w:val="continue"/>
          </w:tcPr>
          <w:p>
            <w:pPr>
              <w:spacing w:after="0"/>
              <w:rPr>
                <w:sz w:val="24"/>
                <w:szCs w:val="24"/>
                <w:color w:val="auto"/>
              </w:rPr>
            </w:pPr>
          </w:p>
        </w:tc>
        <w:tc>
          <w:tcPr>
            <w:tcW w:w="1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Common stock - basic</w:t>
            </w:r>
          </w:p>
        </w:tc>
        <w:tc>
          <w:tcPr>
            <w:tcW w:w="168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5.64</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jc w:val="right"/>
              <w:ind w:right="6"/>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80" w:type="dxa"/>
            <w:vAlign w:val="bottom"/>
            <w:tcBorders>
              <w:top w:val="single" w:sz="8" w:color="CFF0FC"/>
            </w:tcBorders>
          </w:tcPr>
          <w:p>
            <w:pPr>
              <w:spacing w:after="0" w:line="20" w:lineRule="exact"/>
              <w:rPr>
                <w:sz w:val="1"/>
                <w:szCs w:val="1"/>
                <w:color w:val="auto"/>
              </w:rPr>
            </w:pPr>
          </w:p>
        </w:tc>
        <w:tc>
          <w:tcPr>
            <w:tcW w:w="15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6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Common stock - diluted</w:t>
            </w:r>
          </w:p>
        </w:tc>
        <w:tc>
          <w:tcPr>
            <w:tcW w:w="152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w:t>
            </w:r>
          </w:p>
        </w:tc>
        <w:tc>
          <w:tcPr>
            <w:tcW w:w="26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w:t>
            </w:r>
          </w:p>
        </w:tc>
        <w:tc>
          <w:tcPr>
            <w:tcW w:w="24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Weighted average number of common shares:</w:t>
            </w:r>
          </w:p>
        </w:tc>
        <w:tc>
          <w:tcPr>
            <w:tcW w:w="15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56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Common stock - basic</w:t>
            </w:r>
          </w:p>
        </w:tc>
        <w:tc>
          <w:tcPr>
            <w:tcW w:w="1520" w:type="dxa"/>
            <w:vAlign w:val="bottom"/>
            <w:tcBorders>
              <w:bottom w:val="single" w:sz="8" w:color="CFF0FC"/>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68,286</w:t>
            </w:r>
          </w:p>
        </w:tc>
        <w:tc>
          <w:tcPr>
            <w:tcW w:w="260" w:type="dxa"/>
            <w:vAlign w:val="bottom"/>
            <w:tcBorders>
              <w:bottom w:val="single" w:sz="8" w:color="CFF0FC"/>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70,480</w:t>
            </w:r>
          </w:p>
        </w:tc>
        <w:tc>
          <w:tcPr>
            <w:tcW w:w="240" w:type="dxa"/>
            <w:vAlign w:val="bottom"/>
            <w:tcBorders>
              <w:bottom w:val="single" w:sz="8" w:color="CFF0FC"/>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74,111</w:t>
            </w:r>
          </w:p>
        </w:tc>
        <w:tc>
          <w:tcPr>
            <w:tcW w:w="10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6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Common stock - diluted</w:t>
            </w:r>
          </w:p>
        </w:tc>
        <w:tc>
          <w:tcPr>
            <w:tcW w:w="15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70,288</w:t>
            </w:r>
          </w:p>
        </w:tc>
        <w:tc>
          <w:tcPr>
            <w:tcW w:w="2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71,721</w:t>
            </w:r>
          </w:p>
        </w:tc>
        <w:tc>
          <w:tcPr>
            <w:tcW w:w="2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75,443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-1165860</wp:posOffset>
            </wp:positionV>
            <wp:extent cx="4467860" cy="11576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467860" cy="11576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-3952875</wp:posOffset>
            </wp:positionV>
            <wp:extent cx="7178040" cy="24784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8040" cy="2478405"/>
                    </a:xfrm>
                    <a:prstGeom prst="rect">
                      <a:avLst/>
                    </a:prstGeom>
                    <a:noFill/>
                  </pic:spPr>
                </pic:pic>
              </a:graphicData>
            </a:graphic>
          </wp:anchor>
        </w:drawing>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BURLINGTON STORES,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amounts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Fiscal Year Ended</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58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77"/>
              <w:spacing w:after="0" w:line="147" w:lineRule="exact"/>
              <w:rPr>
                <w:sz w:val="20"/>
                <w:szCs w:val="20"/>
                <w:color w:val="auto"/>
              </w:rPr>
            </w:pPr>
            <w:r>
              <w:rPr>
                <w:rFonts w:ascii="Arial" w:cs="Arial" w:eastAsia="Arial" w:hAnsi="Arial"/>
                <w:sz w:val="14"/>
                <w:szCs w:val="14"/>
                <w:b w:val="1"/>
                <w:bCs w:val="1"/>
                <w:color w:val="auto"/>
                <w:w w:val="97"/>
              </w:rPr>
              <w:t>February 3,</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ind w:left="60"/>
              <w:spacing w:after="0" w:line="147" w:lineRule="exact"/>
              <w:rPr>
                <w:sz w:val="20"/>
                <w:szCs w:val="20"/>
                <w:color w:val="auto"/>
              </w:rPr>
            </w:pPr>
            <w:r>
              <w:rPr>
                <w:rFonts w:ascii="Arial" w:cs="Arial" w:eastAsia="Arial" w:hAnsi="Arial"/>
                <w:sz w:val="14"/>
                <w:szCs w:val="14"/>
                <w:b w:val="1"/>
                <w:bCs w:val="1"/>
                <w:color w:val="auto"/>
              </w:rPr>
              <w:t>January 28,</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right"/>
              <w:ind w:right="135"/>
              <w:spacing w:after="0" w:line="147" w:lineRule="exact"/>
              <w:rPr>
                <w:sz w:val="20"/>
                <w:szCs w:val="20"/>
                <w:color w:val="auto"/>
              </w:rPr>
            </w:pPr>
            <w:r>
              <w:rPr>
                <w:rFonts w:ascii="Arial" w:cs="Arial" w:eastAsia="Arial" w:hAnsi="Arial"/>
                <w:sz w:val="14"/>
                <w:szCs w:val="14"/>
                <w:b w:val="1"/>
                <w:bCs w:val="1"/>
                <w:color w:val="auto"/>
                <w:w w:val="98"/>
              </w:rPr>
              <w:t>January 30,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8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center"/>
              <w:ind w:right="77"/>
              <w:spacing w:after="0"/>
              <w:rPr>
                <w:sz w:val="20"/>
                <w:szCs w:val="20"/>
                <w:color w:val="auto"/>
              </w:rPr>
            </w:pPr>
            <w:r>
              <w:rPr>
                <w:rFonts w:ascii="Arial" w:cs="Arial" w:eastAsia="Arial" w:hAnsi="Arial"/>
                <w:sz w:val="14"/>
                <w:szCs w:val="14"/>
                <w:b w:val="1"/>
                <w:bCs w:val="1"/>
                <w:color w:val="auto"/>
                <w:w w:val="96"/>
              </w:rPr>
              <w:t>2018</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ind w:right="355"/>
              <w:spacing w:after="0"/>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355"/>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60" w:type="dxa"/>
            <w:vAlign w:val="bottom"/>
            <w:vMerge w:val="restart"/>
          </w:tcPr>
          <w:p>
            <w:pPr>
              <w:spacing w:after="0"/>
              <w:rPr>
                <w:sz w:val="20"/>
                <w:szCs w:val="20"/>
                <w:color w:val="auto"/>
              </w:rPr>
            </w:pPr>
            <w:r>
              <w:rPr>
                <w:rFonts w:ascii="Arial" w:cs="Arial" w:eastAsia="Arial" w:hAnsi="Arial"/>
                <w:sz w:val="18"/>
                <w:szCs w:val="18"/>
                <w:color w:val="auto"/>
              </w:rPr>
              <w:t>Net income</w:t>
            </w:r>
          </w:p>
        </w:tc>
        <w:tc>
          <w:tcPr>
            <w:tcW w:w="14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0"/>
              </w:rPr>
              <w:t>(53 Weeks)</w:t>
            </w:r>
          </w:p>
        </w:tc>
        <w:tc>
          <w:tcPr>
            <w:tcW w:w="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60" w:type="dxa"/>
            <w:vAlign w:val="bottom"/>
            <w:vMerge w:val="continue"/>
          </w:tcPr>
          <w:p>
            <w:pPr>
              <w:spacing w:after="0"/>
              <w:rPr>
                <w:sz w:val="19"/>
                <w:szCs w:val="19"/>
                <w:color w:val="auto"/>
              </w:rPr>
            </w:pPr>
          </w:p>
        </w:tc>
        <w:tc>
          <w:tcPr>
            <w:tcW w:w="14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384,852</w:t>
            </w:r>
          </w:p>
        </w:tc>
        <w:tc>
          <w:tcPr>
            <w:tcW w:w="28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215,873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150,482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Other comprehensive income (loss), net of tax:</w:t>
            </w:r>
          </w:p>
        </w:tc>
        <w:tc>
          <w:tcPr>
            <w:tcW w:w="14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tcPr>
          <w:p>
            <w:pPr>
              <w:ind w:left="260"/>
              <w:spacing w:after="0"/>
              <w:rPr>
                <w:sz w:val="20"/>
                <w:szCs w:val="20"/>
                <w:color w:val="auto"/>
              </w:rPr>
            </w:pPr>
            <w:r>
              <w:rPr>
                <w:rFonts w:ascii="Arial" w:cs="Arial" w:eastAsia="Arial" w:hAnsi="Arial"/>
                <w:sz w:val="18"/>
                <w:szCs w:val="18"/>
                <w:color w:val="auto"/>
              </w:rPr>
              <w:t>Interest rate cap contracts:</w:t>
            </w:r>
          </w:p>
        </w:tc>
        <w:tc>
          <w:tcPr>
            <w:tcW w:w="1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unrealized gains (losses) arising during the period</w:t>
            </w:r>
          </w:p>
        </w:tc>
        <w:tc>
          <w:tcPr>
            <w:tcW w:w="14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1,742</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(7,420)</w:t>
            </w:r>
          </w:p>
        </w:tc>
        <w:tc>
          <w:tcPr>
            <w:tcW w:w="0" w:type="dxa"/>
            <w:vAlign w:val="bottom"/>
          </w:tcPr>
          <w:p>
            <w:pPr>
              <w:spacing w:after="0"/>
              <w:rPr>
                <w:sz w:val="1"/>
                <w:szCs w:val="1"/>
                <w:color w:val="auto"/>
              </w:rPr>
            </w:pPr>
          </w:p>
        </w:tc>
      </w:tr>
      <w:tr>
        <w:trPr>
          <w:trHeight w:val="230"/>
        </w:trPr>
        <w:tc>
          <w:tcPr>
            <w:tcW w:w="58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Reclassification into earnings during the period</w:t>
            </w:r>
          </w:p>
        </w:tc>
        <w:tc>
          <w:tcPr>
            <w:tcW w:w="14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3,562</w:t>
            </w:r>
          </w:p>
        </w:tc>
        <w:tc>
          <w:tcPr>
            <w:tcW w:w="2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1,581</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Other comprehensive income (loss), net of tax:</w:t>
            </w:r>
          </w:p>
        </w:tc>
        <w:tc>
          <w:tcPr>
            <w:tcW w:w="14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5,304</w:t>
            </w:r>
          </w:p>
        </w:tc>
        <w:tc>
          <w:tcPr>
            <w:tcW w:w="2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(7,248)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60" w:type="dxa"/>
            <w:vAlign w:val="bottom"/>
          </w:tcPr>
          <w:p>
            <w:pPr>
              <w:spacing w:after="0"/>
              <w:rPr>
                <w:sz w:val="20"/>
                <w:szCs w:val="20"/>
                <w:color w:val="auto"/>
              </w:rPr>
            </w:pPr>
            <w:r>
              <w:rPr>
                <w:rFonts w:ascii="Arial" w:cs="Arial" w:eastAsia="Arial" w:hAnsi="Arial"/>
                <w:sz w:val="18"/>
                <w:szCs w:val="18"/>
                <w:b w:val="1"/>
                <w:bCs w:val="1"/>
                <w:color w:val="auto"/>
              </w:rPr>
              <w:t>Total comprehensive income</w:t>
            </w:r>
          </w:p>
        </w:tc>
        <w:tc>
          <w:tcPr>
            <w:tcW w:w="14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390,156</w:t>
            </w: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217,674</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143,234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BURLINGTON STORES,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amounts in thousands, except share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February 3,</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January 28,</w:t>
            </w:r>
          </w:p>
        </w:tc>
        <w:tc>
          <w:tcPr>
            <w:tcW w:w="0" w:type="dxa"/>
            <w:vAlign w:val="bottom"/>
          </w:tcPr>
          <w:p>
            <w:pPr>
              <w:spacing w:after="0"/>
              <w:rPr>
                <w:sz w:val="1"/>
                <w:szCs w:val="1"/>
                <w:color w:val="auto"/>
              </w:rPr>
            </w:pPr>
          </w:p>
        </w:tc>
      </w:tr>
      <w:tr>
        <w:trPr>
          <w:trHeight w:val="171"/>
        </w:trPr>
        <w:tc>
          <w:tcPr>
            <w:tcW w:w="760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76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60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133,286</w:t>
            </w:r>
          </w:p>
        </w:tc>
        <w:tc>
          <w:tcPr>
            <w:tcW w:w="18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81,597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Restricted cash and cash equivalents</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27,800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27,800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receivable—net of allowance for doubtful accounts of $99 and $262</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71,649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43,252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FF0FC"/>
          </w:tcPr>
          <w:p>
            <w:pPr>
              <w:ind w:left="320"/>
              <w:spacing w:after="0"/>
              <w:rPr>
                <w:sz w:val="20"/>
                <w:szCs w:val="20"/>
                <w:color w:val="auto"/>
              </w:rPr>
            </w:pPr>
            <w:r>
              <w:rPr>
                <w:rFonts w:ascii="Arial" w:cs="Arial" w:eastAsia="Arial" w:hAnsi="Arial"/>
                <w:sz w:val="18"/>
                <w:szCs w:val="18"/>
                <w:color w:val="auto"/>
              </w:rPr>
              <w:t>at February 3, 2018 and January 28, 2017, respectively</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Merchandise inventories</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752,562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701,891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Prepaid and other current assets</w:t>
            </w:r>
          </w:p>
        </w:tc>
        <w:tc>
          <w:tcPr>
            <w:tcW w:w="1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115,136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73,784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0" w:type="dxa"/>
            <w:vAlign w:val="bottom"/>
          </w:tcPr>
          <w:p>
            <w:pPr>
              <w:ind w:left="260"/>
              <w:spacing w:after="0"/>
              <w:rPr>
                <w:sz w:val="20"/>
                <w:szCs w:val="20"/>
                <w:color w:val="auto"/>
              </w:rPr>
            </w:pPr>
            <w:r>
              <w:rPr>
                <w:rFonts w:ascii="Arial" w:cs="Arial" w:eastAsia="Arial" w:hAnsi="Arial"/>
                <w:sz w:val="18"/>
                <w:szCs w:val="18"/>
                <w:b w:val="1"/>
                <w:bCs w:val="1"/>
                <w:color w:val="auto"/>
              </w:rPr>
              <w:t>Total current assets</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1,100,433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928,324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equipment—net</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1,134,772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1,049,447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Tradenames</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238,000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238,000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Favorable leases—net</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188,947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213,180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47,064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47,064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6,952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7,973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96,661</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90,495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assets</w:t>
            </w:r>
          </w:p>
        </w:tc>
        <w:tc>
          <w:tcPr>
            <w:tcW w:w="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2,812,829</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2,574,483</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0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 (DEFICIT)</w:t>
            </w: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5"/>
        </w:trPr>
        <w:tc>
          <w:tcPr>
            <w:tcW w:w="76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60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Accounts payable</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736,252</w:t>
            </w:r>
          </w:p>
        </w:tc>
        <w:tc>
          <w:tcPr>
            <w:tcW w:w="18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640,326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370,215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354,870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Current maturities of long term debt</w:t>
            </w:r>
          </w:p>
        </w:tc>
        <w:tc>
          <w:tcPr>
            <w:tcW w:w="1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13,164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0" w:type="dxa"/>
            <w:vAlign w:val="bottom"/>
          </w:tcPr>
          <w:p>
            <w:pPr>
              <w:ind w:left="260"/>
              <w:spacing w:after="0"/>
              <w:rPr>
                <w:sz w:val="20"/>
                <w:szCs w:val="20"/>
                <w:color w:val="auto"/>
              </w:rPr>
            </w:pPr>
            <w:r>
              <w:rPr>
                <w:rFonts w:ascii="Arial" w:cs="Arial" w:eastAsia="Arial" w:hAnsi="Arial"/>
                <w:sz w:val="18"/>
                <w:szCs w:val="18"/>
                <w:b w:val="1"/>
                <w:bCs w:val="1"/>
                <w:color w:val="auto"/>
              </w:rPr>
              <w:t>Total current liabilities</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1,119,631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996,834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Long term debt</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1,113,808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1,128,843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Other liabilities</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313,130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290,683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Deferred tax liabilities</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179,486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207,935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Commitments and contingencies (Note 17)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Stockholders’ equity (deficit):</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600" w:type="dxa"/>
            <w:vAlign w:val="bottom"/>
          </w:tcPr>
          <w:p>
            <w:pPr>
              <w:spacing w:after="0"/>
              <w:rPr>
                <w:sz w:val="20"/>
                <w:szCs w:val="20"/>
                <w:color w:val="auto"/>
              </w:rPr>
            </w:pPr>
            <w:r>
              <w:rPr>
                <w:rFonts w:ascii="Arial" w:cs="Arial" w:eastAsia="Arial" w:hAnsi="Arial"/>
                <w:sz w:val="18"/>
                <w:szCs w:val="18"/>
                <w:color w:val="auto"/>
              </w:rPr>
              <w:t>Preferred stock, $0.0001 par value: authorized: 50,000,000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00" w:type="dxa"/>
            <w:vAlign w:val="bottom"/>
          </w:tcPr>
          <w:p>
            <w:pPr>
              <w:ind w:left="140"/>
              <w:spacing w:after="0"/>
              <w:rPr>
                <w:sz w:val="20"/>
                <w:szCs w:val="20"/>
                <w:color w:val="auto"/>
              </w:rPr>
            </w:pPr>
            <w:r>
              <w:rPr>
                <w:rFonts w:ascii="Arial" w:cs="Arial" w:eastAsia="Arial" w:hAnsi="Arial"/>
                <w:sz w:val="18"/>
                <w:szCs w:val="18"/>
                <w:color w:val="auto"/>
              </w:rPr>
              <w:t>shares; no shares issued and outstanding</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Common stock, $0.0001 par value:</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Authorized: 500,000,000 shares;</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Issued: 78,421,947 shares and 77,653,924 shares, respectively;</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Outstanding: 67,871,725 shares and 70,180,713 shares, respectively</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Additional paid-in-capital</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1,457,205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1,420,581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Accumulated deficit</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(675,664)</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(1,060,099)</w:t>
            </w:r>
          </w:p>
        </w:tc>
        <w:tc>
          <w:tcPr>
            <w:tcW w:w="0" w:type="dxa"/>
            <w:vAlign w:val="bottom"/>
          </w:tcPr>
          <w:p>
            <w:pPr>
              <w:spacing w:after="0"/>
              <w:rPr>
                <w:sz w:val="1"/>
                <w:szCs w:val="1"/>
                <w:color w:val="auto"/>
              </w:rPr>
            </w:pPr>
          </w:p>
        </w:tc>
      </w:t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(1,887)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(7,191)</w:t>
            </w:r>
          </w:p>
        </w:tc>
        <w:tc>
          <w:tcPr>
            <w:tcW w:w="0" w:type="dxa"/>
            <w:vAlign w:val="bottom"/>
          </w:tcPr>
          <w:p>
            <w:pPr>
              <w:spacing w:after="0"/>
              <w:rPr>
                <w:sz w:val="1"/>
                <w:szCs w:val="1"/>
                <w:color w:val="auto"/>
              </w:rPr>
            </w:pPr>
          </w:p>
        </w:tc>
      </w:tr>
      <w:tr>
        <w:trPr>
          <w:trHeight w:val="230"/>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Treasury stock, at cost</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(692,887)</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(403,110)</w:t>
            </w:r>
          </w:p>
        </w:tc>
        <w:tc>
          <w:tcPr>
            <w:tcW w:w="0" w:type="dxa"/>
            <w:vAlign w:val="bottom"/>
          </w:tcPr>
          <w:p>
            <w:pPr>
              <w:spacing w:after="0"/>
              <w:rPr>
                <w:sz w:val="1"/>
                <w:szCs w:val="1"/>
                <w:color w:val="auto"/>
              </w:rPr>
            </w:pPr>
          </w:p>
        </w:tc>
      </w:tr>
      <w:tr>
        <w:trPr>
          <w:trHeight w:val="223"/>
        </w:trPr>
        <w:tc>
          <w:tcPr>
            <w:tcW w:w="7600" w:type="dxa"/>
            <w:vAlign w:val="bottom"/>
            <w:tcBorders>
              <w:bottom w:val="single" w:sz="8" w:color="CFF0FC"/>
            </w:tcBorders>
          </w:tcPr>
          <w:p>
            <w:pPr>
              <w:ind w:left="260"/>
              <w:spacing w:after="0"/>
              <w:rPr>
                <w:sz w:val="20"/>
                <w:szCs w:val="20"/>
                <w:color w:val="auto"/>
              </w:rPr>
            </w:pPr>
            <w:r>
              <w:rPr>
                <w:rFonts w:ascii="Arial" w:cs="Arial" w:eastAsia="Arial" w:hAnsi="Arial"/>
                <w:sz w:val="18"/>
                <w:szCs w:val="18"/>
                <w:b w:val="1"/>
                <w:bCs w:val="1"/>
                <w:color w:val="auto"/>
              </w:rPr>
              <w:t>Total stockholders' equity (deficit)</w:t>
            </w:r>
          </w:p>
        </w:tc>
        <w:tc>
          <w:tcPr>
            <w:tcW w:w="18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86,774</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(49,812)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liabilities and stockholders' equity (deficit)</w:t>
            </w:r>
          </w:p>
        </w:tc>
        <w:tc>
          <w:tcPr>
            <w:tcW w:w="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2,812,829</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2,574,483</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BURLINGTON STORES,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amounts in thousands)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4"/>
                <w:szCs w:val="14"/>
                <w:b w:val="1"/>
                <w:bCs w:val="1"/>
                <w:color w:val="auto"/>
                <w:w w:val="92"/>
              </w:rPr>
              <w:t>Fiscal Year Ended</w:t>
            </w: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97"/>
              </w:rPr>
              <w:t>February 3,</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360"/>
              <w:spacing w:after="0" w:line="147" w:lineRule="exact"/>
              <w:rPr>
                <w:sz w:val="20"/>
                <w:szCs w:val="20"/>
                <w:color w:val="auto"/>
              </w:rPr>
            </w:pPr>
            <w:r>
              <w:rPr>
                <w:rFonts w:ascii="Arial" w:cs="Arial" w:eastAsia="Arial" w:hAnsi="Arial"/>
                <w:sz w:val="14"/>
                <w:szCs w:val="14"/>
                <w:b w:val="1"/>
                <w:bCs w:val="1"/>
                <w:color w:val="auto"/>
                <w:w w:val="93"/>
              </w:rPr>
              <w:t>January 28,</w:t>
            </w:r>
          </w:p>
        </w:tc>
        <w:tc>
          <w:tcPr>
            <w:tcW w:w="100" w:type="dxa"/>
            <w:vAlign w:val="bottom"/>
          </w:tcPr>
          <w:p>
            <w:pPr>
              <w:spacing w:after="0"/>
              <w:rPr>
                <w:sz w:val="12"/>
                <w:szCs w:val="12"/>
                <w:color w:val="auto"/>
              </w:rPr>
            </w:pPr>
          </w:p>
        </w:tc>
        <w:tc>
          <w:tcPr>
            <w:tcW w:w="980" w:type="dxa"/>
            <w:vAlign w:val="bottom"/>
          </w:tcPr>
          <w:p>
            <w:pPr>
              <w:jc w:val="right"/>
              <w:ind w:right="119"/>
              <w:spacing w:after="0" w:line="147" w:lineRule="exact"/>
              <w:rPr>
                <w:sz w:val="20"/>
                <w:szCs w:val="20"/>
                <w:color w:val="auto"/>
              </w:rPr>
            </w:pPr>
            <w:r>
              <w:rPr>
                <w:rFonts w:ascii="Arial" w:cs="Arial" w:eastAsia="Arial" w:hAnsi="Arial"/>
                <w:sz w:val="14"/>
                <w:szCs w:val="14"/>
                <w:b w:val="1"/>
                <w:bCs w:val="1"/>
                <w:color w:val="auto"/>
                <w:w w:val="98"/>
              </w:rPr>
              <w:t>January 30,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center"/>
              <w:ind w:right="59"/>
              <w:spacing w:after="0"/>
              <w:rPr>
                <w:sz w:val="20"/>
                <w:szCs w:val="20"/>
                <w:color w:val="auto"/>
              </w:rPr>
            </w:pPr>
            <w:r>
              <w:rPr>
                <w:rFonts w:ascii="Arial" w:cs="Arial" w:eastAsia="Arial" w:hAnsi="Arial"/>
                <w:sz w:val="14"/>
                <w:szCs w:val="14"/>
                <w:b w:val="1"/>
                <w:bCs w:val="1"/>
                <w:color w:val="auto"/>
                <w:w w:val="96"/>
              </w:rPr>
              <w:t>2018</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center"/>
              <w:ind w:right="59"/>
              <w:spacing w:after="0"/>
              <w:rPr>
                <w:sz w:val="20"/>
                <w:szCs w:val="20"/>
                <w:color w:val="auto"/>
              </w:rPr>
            </w:pPr>
            <w:r>
              <w:rPr>
                <w:rFonts w:ascii="Arial" w:cs="Arial" w:eastAsia="Arial" w:hAnsi="Arial"/>
                <w:sz w:val="14"/>
                <w:szCs w:val="14"/>
                <w:b w:val="1"/>
                <w:bCs w:val="1"/>
                <w:color w:val="auto"/>
                <w:w w:val="89"/>
              </w:rPr>
              <w:t>2017</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ind w:right="339"/>
              <w:spacing w:after="0"/>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3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OPERATING ACTIVITIES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(53 Weeks)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53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280" w:type="dxa"/>
            <w:vAlign w:val="bottom"/>
            <w:shd w:val="clear" w:color="auto" w:fill="CFF0FC"/>
          </w:tcPr>
          <w:p>
            <w:pPr>
              <w:spacing w:after="0"/>
              <w:rPr>
                <w:sz w:val="20"/>
                <w:szCs w:val="20"/>
                <w:color w:val="auto"/>
              </w:rPr>
            </w:pPr>
            <w:r>
              <w:rPr>
                <w:rFonts w:ascii="Arial" w:cs="Arial" w:eastAsia="Arial" w:hAnsi="Arial"/>
                <w:sz w:val="16"/>
                <w:szCs w:val="16"/>
                <w:color w:val="auto"/>
              </w:rPr>
              <w:t>Net income</w:t>
            </w:r>
          </w:p>
        </w:tc>
        <w:tc>
          <w:tcPr>
            <w:tcW w:w="220" w:type="dxa"/>
            <w:vAlign w:val="bottom"/>
            <w:gridSpan w:val="2"/>
            <w:shd w:val="clear" w:color="auto" w:fill="CFF0FC"/>
          </w:tcPr>
          <w:p>
            <w:pPr>
              <w:ind w:left="100"/>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384,852</w:t>
            </w:r>
          </w:p>
        </w:tc>
        <w:tc>
          <w:tcPr>
            <w:tcW w:w="120" w:type="dxa"/>
            <w:vAlign w:val="bottom"/>
            <w:shd w:val="clear" w:color="auto" w:fill="CFF0FC"/>
          </w:tcPr>
          <w:p>
            <w:pPr>
              <w:spacing w:after="0"/>
              <w:rPr>
                <w:sz w:val="19"/>
                <w:szCs w:val="19"/>
                <w:color w:val="auto"/>
              </w:rPr>
            </w:pPr>
          </w:p>
        </w:tc>
        <w:tc>
          <w:tcPr>
            <w:tcW w:w="220" w:type="dxa"/>
            <w:vAlign w:val="bottom"/>
            <w:gridSpan w:val="2"/>
            <w:shd w:val="clear" w:color="auto" w:fill="CFF0FC"/>
          </w:tcPr>
          <w:p>
            <w:pPr>
              <w:ind w:left="80"/>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215,873</w:t>
            </w:r>
          </w:p>
        </w:tc>
        <w:tc>
          <w:tcPr>
            <w:tcW w:w="22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150,482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300" w:type="dxa"/>
            <w:vAlign w:val="bottom"/>
            <w:gridSpan w:val="2"/>
          </w:tcPr>
          <w:p>
            <w:pPr>
              <w:spacing w:after="0"/>
              <w:rPr>
                <w:sz w:val="20"/>
                <w:szCs w:val="20"/>
                <w:color w:val="auto"/>
              </w:rPr>
            </w:pPr>
            <w:r>
              <w:rPr>
                <w:rFonts w:ascii="Arial" w:cs="Arial" w:eastAsia="Arial" w:hAnsi="Arial"/>
                <w:sz w:val="16"/>
                <w:szCs w:val="16"/>
                <w:color w:val="auto"/>
                <w:w w:val="93"/>
              </w:rPr>
              <w:t>Adjustments to reconcile net income to net cash provided by operating activities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280" w:type="dxa"/>
            <w:vAlign w:val="bottom"/>
            <w:shd w:val="clear" w:color="auto" w:fill="CFF0FC"/>
          </w:tcPr>
          <w:p>
            <w:pPr>
              <w:ind w:left="240"/>
              <w:spacing w:after="0"/>
              <w:rPr>
                <w:sz w:val="20"/>
                <w:szCs w:val="20"/>
                <w:color w:val="auto"/>
              </w:rPr>
            </w:pPr>
            <w:r>
              <w:rPr>
                <w:rFonts w:ascii="Arial" w:cs="Arial" w:eastAsia="Arial" w:hAnsi="Arial"/>
                <w:sz w:val="16"/>
                <w:szCs w:val="16"/>
                <w:color w:val="auto"/>
              </w:rPr>
              <w:t>Depreciation and amortization</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201,103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183,586</w:t>
            </w:r>
          </w:p>
        </w:tc>
        <w:tc>
          <w:tcPr>
            <w:tcW w:w="22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172,099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280" w:type="dxa"/>
            <w:vAlign w:val="bottom"/>
          </w:tcPr>
          <w:p>
            <w:pPr>
              <w:ind w:left="240"/>
              <w:spacing w:after="0"/>
              <w:rPr>
                <w:sz w:val="20"/>
                <w:szCs w:val="20"/>
                <w:color w:val="auto"/>
              </w:rPr>
            </w:pPr>
            <w:r>
              <w:rPr>
                <w:rFonts w:ascii="Arial" w:cs="Arial" w:eastAsia="Arial" w:hAnsi="Arial"/>
                <w:sz w:val="16"/>
                <w:szCs w:val="16"/>
                <w:color w:val="auto"/>
              </w:rPr>
              <w:t>Impairment charges—long-lived assets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2,127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2,450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6,111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280" w:type="dxa"/>
            <w:vAlign w:val="bottom"/>
            <w:shd w:val="clear" w:color="auto" w:fill="CFF0FC"/>
          </w:tcPr>
          <w:p>
            <w:pPr>
              <w:ind w:left="240"/>
              <w:spacing w:after="0"/>
              <w:rPr>
                <w:sz w:val="20"/>
                <w:szCs w:val="20"/>
                <w:color w:val="auto"/>
              </w:rPr>
            </w:pPr>
            <w:r>
              <w:rPr>
                <w:rFonts w:ascii="Arial" w:cs="Arial" w:eastAsia="Arial" w:hAnsi="Arial"/>
                <w:sz w:val="16"/>
                <w:szCs w:val="16"/>
                <w:color w:val="auto"/>
              </w:rPr>
              <w:t>Amortization of deferred financing costs</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2,463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2,679</w:t>
            </w:r>
          </w:p>
        </w:tc>
        <w:tc>
          <w:tcPr>
            <w:tcW w:w="22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2,868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280" w:type="dxa"/>
            <w:vAlign w:val="bottom"/>
          </w:tcPr>
          <w:p>
            <w:pPr>
              <w:ind w:left="240"/>
              <w:spacing w:after="0"/>
              <w:rPr>
                <w:sz w:val="20"/>
                <w:szCs w:val="20"/>
                <w:color w:val="auto"/>
              </w:rPr>
            </w:pPr>
            <w:r>
              <w:rPr>
                <w:rFonts w:ascii="Arial" w:cs="Arial" w:eastAsia="Arial" w:hAnsi="Arial"/>
                <w:sz w:val="16"/>
                <w:szCs w:val="16"/>
                <w:color w:val="auto"/>
              </w:rPr>
              <w:t>Accretion of long term debt instruments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1,048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942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280" w:type="dxa"/>
            <w:vAlign w:val="bottom"/>
            <w:shd w:val="clear" w:color="auto" w:fill="CFF0FC"/>
          </w:tcPr>
          <w:p>
            <w:pPr>
              <w:ind w:left="240"/>
              <w:spacing w:after="0"/>
              <w:rPr>
                <w:sz w:val="20"/>
                <w:szCs w:val="20"/>
                <w:color w:val="auto"/>
              </w:rPr>
            </w:pPr>
            <w:r>
              <w:rPr>
                <w:rFonts w:ascii="Arial" w:cs="Arial" w:eastAsia="Arial" w:hAnsi="Arial"/>
                <w:sz w:val="16"/>
                <w:szCs w:val="16"/>
                <w:color w:val="auto"/>
              </w:rPr>
              <w:t>Deferred income taxes</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(30,727)</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(2,919)</w:t>
            </w: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5,909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280" w:type="dxa"/>
            <w:vAlign w:val="bottom"/>
          </w:tcPr>
          <w:p>
            <w:pPr>
              <w:ind w:left="240"/>
              <w:spacing w:after="0"/>
              <w:rPr>
                <w:sz w:val="20"/>
                <w:szCs w:val="20"/>
                <w:color w:val="auto"/>
              </w:rPr>
            </w:pPr>
            <w:r>
              <w:rPr>
                <w:rFonts w:ascii="Arial" w:cs="Arial" w:eastAsia="Arial" w:hAnsi="Arial"/>
                <w:sz w:val="16"/>
                <w:szCs w:val="16"/>
                <w:color w:val="auto"/>
              </w:rPr>
              <w:t>Non-cash loss on extinguishment of debt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2,881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3,805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649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280" w:type="dxa"/>
            <w:vAlign w:val="bottom"/>
            <w:shd w:val="clear" w:color="auto" w:fill="CFF0FC"/>
          </w:tcPr>
          <w:p>
            <w:pPr>
              <w:ind w:left="240"/>
              <w:spacing w:after="0"/>
              <w:rPr>
                <w:sz w:val="20"/>
                <w:szCs w:val="20"/>
                <w:color w:val="auto"/>
              </w:rPr>
            </w:pPr>
            <w:r>
              <w:rPr>
                <w:rFonts w:ascii="Arial" w:cs="Arial" w:eastAsia="Arial" w:hAnsi="Arial"/>
                <w:sz w:val="16"/>
                <w:szCs w:val="16"/>
                <w:color w:val="auto"/>
              </w:rPr>
              <w:t>Non-cash stock compensation expense</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27,034</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15,953</w:t>
            </w:r>
          </w:p>
        </w:tc>
        <w:tc>
          <w:tcPr>
            <w:tcW w:w="22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11,161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280" w:type="dxa"/>
            <w:vAlign w:val="bottom"/>
          </w:tcPr>
          <w:p>
            <w:pPr>
              <w:ind w:left="240"/>
              <w:spacing w:after="0"/>
              <w:rPr>
                <w:sz w:val="20"/>
                <w:szCs w:val="20"/>
                <w:color w:val="auto"/>
              </w:rPr>
            </w:pPr>
            <w:r>
              <w:rPr>
                <w:rFonts w:ascii="Arial" w:cs="Arial" w:eastAsia="Arial" w:hAnsi="Arial"/>
                <w:sz w:val="16"/>
                <w:szCs w:val="16"/>
                <w:color w:val="auto"/>
              </w:rPr>
              <w:t>Non-cash rent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(24,689)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(27,910)</w:t>
            </w:r>
          </w:p>
        </w:tc>
        <w:tc>
          <w:tcPr>
            <w:tcW w:w="1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6"/>
                <w:szCs w:val="16"/>
                <w:color w:val="auto"/>
              </w:rPr>
              <w:t>(24,143)</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280" w:type="dxa"/>
            <w:vAlign w:val="bottom"/>
            <w:shd w:val="clear" w:color="auto" w:fill="CFF0FC"/>
          </w:tcPr>
          <w:p>
            <w:pPr>
              <w:ind w:left="240"/>
              <w:spacing w:after="0"/>
              <w:rPr>
                <w:sz w:val="20"/>
                <w:szCs w:val="20"/>
                <w:color w:val="auto"/>
              </w:rPr>
            </w:pPr>
            <w:r>
              <w:rPr>
                <w:rFonts w:ascii="Arial" w:cs="Arial" w:eastAsia="Arial" w:hAnsi="Arial"/>
                <w:sz w:val="16"/>
                <w:szCs w:val="16"/>
                <w:color w:val="auto"/>
              </w:rPr>
              <w:t>Deferred rent incentives</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48,834</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32,212</w:t>
            </w:r>
          </w:p>
        </w:tc>
        <w:tc>
          <w:tcPr>
            <w:tcW w:w="22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41,786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300" w:type="dxa"/>
            <w:vAlign w:val="bottom"/>
            <w:gridSpan w:val="2"/>
          </w:tcPr>
          <w:p>
            <w:pPr>
              <w:spacing w:after="0"/>
              <w:rPr>
                <w:sz w:val="20"/>
                <w:szCs w:val="20"/>
                <w:color w:val="auto"/>
              </w:rPr>
            </w:pPr>
            <w:r>
              <w:rPr>
                <w:rFonts w:ascii="Arial" w:cs="Arial" w:eastAsia="Arial" w:hAnsi="Arial"/>
                <w:sz w:val="16"/>
                <w:szCs w:val="16"/>
                <w:color w:val="auto"/>
              </w:rPr>
              <w:t>Changes in assets and liabilities: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280" w:type="dxa"/>
            <w:vAlign w:val="bottom"/>
            <w:shd w:val="clear" w:color="auto" w:fill="CFF0FC"/>
          </w:tcPr>
          <w:p>
            <w:pPr>
              <w:ind w:left="240"/>
              <w:spacing w:after="0"/>
              <w:rPr>
                <w:sz w:val="20"/>
                <w:szCs w:val="20"/>
                <w:color w:val="auto"/>
              </w:rPr>
            </w:pPr>
            <w:r>
              <w:rPr>
                <w:rFonts w:ascii="Arial" w:cs="Arial" w:eastAsia="Arial" w:hAnsi="Arial"/>
                <w:sz w:val="16"/>
                <w:szCs w:val="16"/>
                <w:color w:val="auto"/>
              </w:rPr>
              <w:t>Accounts receivable</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(19,983)</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(3,489)</w:t>
            </w: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1,263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280" w:type="dxa"/>
            <w:vAlign w:val="bottom"/>
          </w:tcPr>
          <w:p>
            <w:pPr>
              <w:ind w:left="240"/>
              <w:spacing w:after="0"/>
              <w:rPr>
                <w:sz w:val="20"/>
                <w:szCs w:val="20"/>
                <w:color w:val="auto"/>
              </w:rPr>
            </w:pPr>
            <w:r>
              <w:rPr>
                <w:rFonts w:ascii="Arial" w:cs="Arial" w:eastAsia="Arial" w:hAnsi="Arial"/>
                <w:sz w:val="16"/>
                <w:szCs w:val="16"/>
                <w:color w:val="auto"/>
              </w:rPr>
              <w:t>Merchandise inventories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(50,671)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81,048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5,180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280" w:type="dxa"/>
            <w:vAlign w:val="bottom"/>
            <w:shd w:val="clear" w:color="auto" w:fill="CFF0FC"/>
          </w:tcPr>
          <w:p>
            <w:pPr>
              <w:ind w:left="240"/>
              <w:spacing w:after="0"/>
              <w:rPr>
                <w:sz w:val="20"/>
                <w:szCs w:val="20"/>
                <w:color w:val="auto"/>
              </w:rPr>
            </w:pPr>
            <w:r>
              <w:rPr>
                <w:rFonts w:ascii="Arial" w:cs="Arial" w:eastAsia="Arial" w:hAnsi="Arial"/>
                <w:sz w:val="16"/>
                <w:szCs w:val="16"/>
                <w:color w:val="auto"/>
              </w:rPr>
              <w:t>Prepaid and other current assets</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(42,855)</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(13,267)</w:t>
            </w: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(6,454)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280" w:type="dxa"/>
            <w:vAlign w:val="bottom"/>
          </w:tcPr>
          <w:p>
            <w:pPr>
              <w:ind w:left="240"/>
              <w:spacing w:after="0"/>
              <w:rPr>
                <w:sz w:val="20"/>
                <w:szCs w:val="20"/>
                <w:color w:val="auto"/>
              </w:rPr>
            </w:pPr>
            <w:r>
              <w:rPr>
                <w:rFonts w:ascii="Arial" w:cs="Arial" w:eastAsia="Arial" w:hAnsi="Arial"/>
                <w:sz w:val="16"/>
                <w:szCs w:val="16"/>
                <w:color w:val="auto"/>
              </w:rPr>
              <w:t>Accounts payable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97,003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41,543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6"/>
                <w:szCs w:val="16"/>
                <w:color w:val="auto"/>
              </w:rPr>
              <w:t>(23,483)</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280" w:type="dxa"/>
            <w:vAlign w:val="bottom"/>
            <w:shd w:val="clear" w:color="auto" w:fill="CFF0FC"/>
          </w:tcPr>
          <w:p>
            <w:pPr>
              <w:ind w:left="240"/>
              <w:spacing w:after="0"/>
              <w:rPr>
                <w:sz w:val="20"/>
                <w:szCs w:val="20"/>
                <w:color w:val="auto"/>
              </w:rPr>
            </w:pPr>
            <w:r>
              <w:rPr>
                <w:rFonts w:ascii="Arial" w:cs="Arial" w:eastAsia="Arial" w:hAnsi="Arial"/>
                <w:sz w:val="16"/>
                <w:szCs w:val="16"/>
                <w:color w:val="auto"/>
              </w:rPr>
              <w:t>Other current liabilities</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2,509</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74,819</w:t>
            </w:r>
          </w:p>
        </w:tc>
        <w:tc>
          <w:tcPr>
            <w:tcW w:w="22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(10,642)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280" w:type="dxa"/>
            <w:vAlign w:val="bottom"/>
          </w:tcPr>
          <w:p>
            <w:pPr>
              <w:ind w:left="240"/>
              <w:spacing w:after="0"/>
              <w:rPr>
                <w:sz w:val="20"/>
                <w:szCs w:val="20"/>
                <w:color w:val="auto"/>
              </w:rPr>
            </w:pPr>
            <w:r>
              <w:rPr>
                <w:rFonts w:ascii="Arial" w:cs="Arial" w:eastAsia="Arial" w:hAnsi="Arial"/>
                <w:sz w:val="16"/>
                <w:szCs w:val="16"/>
                <w:color w:val="auto"/>
              </w:rPr>
              <w:t>Other long term assets and long term liabilities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(2,109)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5,715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3,850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280" w:type="dxa"/>
            <w:vAlign w:val="bottom"/>
            <w:shd w:val="clear" w:color="auto" w:fill="CFF0FC"/>
          </w:tcPr>
          <w:p>
            <w:pPr>
              <w:spacing w:after="0"/>
              <w:rPr>
                <w:sz w:val="20"/>
                <w:szCs w:val="20"/>
                <w:color w:val="auto"/>
              </w:rPr>
            </w:pPr>
            <w:r>
              <w:rPr>
                <w:rFonts w:ascii="Arial" w:cs="Arial" w:eastAsia="Arial" w:hAnsi="Arial"/>
                <w:sz w:val="16"/>
                <w:szCs w:val="16"/>
                <w:color w:val="auto"/>
              </w:rPr>
              <w:t>Other operating activities</w:t>
            </w:r>
          </w:p>
        </w:tc>
        <w:tc>
          <w:tcPr>
            <w:tcW w:w="1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8,430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2,876</w:t>
            </w:r>
          </w:p>
        </w:tc>
        <w:tc>
          <w:tcPr>
            <w:tcW w:w="220" w:type="dxa"/>
            <w:vAlign w:val="bottom"/>
            <w:tcBorders>
              <w:right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1,957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5300" w:type="dxa"/>
            <w:vAlign w:val="bottom"/>
            <w:gridSpan w:val="2"/>
          </w:tcPr>
          <w:p>
            <w:pPr>
              <w:spacing w:after="0"/>
              <w:rPr>
                <w:sz w:val="20"/>
                <w:szCs w:val="20"/>
                <w:color w:val="auto"/>
              </w:rPr>
            </w:pPr>
            <w:r>
              <w:rPr>
                <w:rFonts w:ascii="Arial" w:cs="Arial" w:eastAsia="Arial" w:hAnsi="Arial"/>
                <w:sz w:val="16"/>
                <w:szCs w:val="16"/>
                <w:b w:val="1"/>
                <w:bCs w:val="1"/>
                <w:color w:val="auto"/>
              </w:rPr>
              <w:t>Net cash provided by operating activities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607,250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615,916</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339,402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INVESTING ACTIVITIES</w:t>
            </w: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right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300" w:type="dxa"/>
            <w:vAlign w:val="bottom"/>
            <w:gridSpan w:val="2"/>
          </w:tcPr>
          <w:p>
            <w:pPr>
              <w:spacing w:after="0"/>
              <w:rPr>
                <w:sz w:val="20"/>
                <w:szCs w:val="20"/>
                <w:color w:val="auto"/>
              </w:rPr>
            </w:pPr>
            <w:r>
              <w:rPr>
                <w:rFonts w:ascii="Arial" w:cs="Arial" w:eastAsia="Arial" w:hAnsi="Arial"/>
                <w:sz w:val="16"/>
                <w:szCs w:val="16"/>
                <w:color w:val="auto"/>
              </w:rPr>
              <w:t>Cash paid for property and equipment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(268,194)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(187,507)</w:t>
            </w:r>
          </w:p>
        </w:tc>
        <w:tc>
          <w:tcPr>
            <w:tcW w:w="1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6"/>
                <w:szCs w:val="16"/>
                <w:color w:val="auto"/>
              </w:rPr>
              <w:t>(201,787)</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280" w:type="dxa"/>
            <w:vAlign w:val="bottom"/>
            <w:shd w:val="clear" w:color="auto" w:fill="CFF0FC"/>
          </w:tcPr>
          <w:p>
            <w:pPr>
              <w:spacing w:after="0"/>
              <w:rPr>
                <w:sz w:val="20"/>
                <w:szCs w:val="20"/>
                <w:color w:val="auto"/>
              </w:rPr>
            </w:pPr>
            <w:r>
              <w:rPr>
                <w:rFonts w:ascii="Arial" w:cs="Arial" w:eastAsia="Arial" w:hAnsi="Arial"/>
                <w:sz w:val="16"/>
                <w:szCs w:val="16"/>
                <w:color w:val="auto"/>
              </w:rPr>
              <w:t>Proceeds from sale of property and equipment and assets held for sale</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7,288</w:t>
            </w:r>
          </w:p>
        </w:tc>
        <w:tc>
          <w:tcPr>
            <w:tcW w:w="22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4,250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300" w:type="dxa"/>
            <w:vAlign w:val="bottom"/>
            <w:gridSpan w:val="2"/>
          </w:tcPr>
          <w:p>
            <w:pPr>
              <w:spacing w:after="0"/>
              <w:rPr>
                <w:sz w:val="20"/>
                <w:szCs w:val="20"/>
                <w:color w:val="auto"/>
              </w:rPr>
            </w:pPr>
            <w:r>
              <w:rPr>
                <w:rFonts w:ascii="Arial" w:cs="Arial" w:eastAsia="Arial" w:hAnsi="Arial"/>
                <w:sz w:val="16"/>
                <w:szCs w:val="16"/>
                <w:color w:val="auto"/>
              </w:rPr>
              <w:t>Proceeds from insurance recoveries related to property and equipment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5,980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280" w:type="dxa"/>
            <w:vAlign w:val="bottom"/>
            <w:shd w:val="clear" w:color="auto" w:fill="CFF0FC"/>
          </w:tcPr>
          <w:p>
            <w:pPr>
              <w:spacing w:after="0"/>
              <w:rPr>
                <w:sz w:val="20"/>
                <w:szCs w:val="20"/>
                <w:color w:val="auto"/>
              </w:rPr>
            </w:pPr>
            <w:r>
              <w:rPr>
                <w:rFonts w:ascii="Arial" w:cs="Arial" w:eastAsia="Arial" w:hAnsi="Arial"/>
                <w:sz w:val="16"/>
                <w:szCs w:val="16"/>
                <w:color w:val="auto"/>
              </w:rPr>
              <w:t>Other investing activities</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(132)</w:t>
            </w: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2,805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Net cash (used in) investing activities</w:t>
            </w: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3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(262,208)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(180,351)</w:t>
            </w:r>
          </w:p>
        </w:tc>
        <w:tc>
          <w:tcPr>
            <w:tcW w:w="100" w:type="dxa"/>
            <w:vAlign w:val="bottom"/>
          </w:tcPr>
          <w:p>
            <w:pPr>
              <w:spacing w:after="0"/>
              <w:rPr>
                <w:sz w:val="17"/>
                <w:szCs w:val="17"/>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6"/>
                <w:szCs w:val="16"/>
                <w:color w:val="auto"/>
              </w:rPr>
              <w:t>(194,732)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FINANCING ACTIVITIES</w:t>
            </w: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right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300" w:type="dxa"/>
            <w:vAlign w:val="bottom"/>
            <w:gridSpan w:val="2"/>
          </w:tcPr>
          <w:p>
            <w:pPr>
              <w:spacing w:after="0"/>
              <w:rPr>
                <w:sz w:val="20"/>
                <w:szCs w:val="20"/>
                <w:color w:val="auto"/>
              </w:rPr>
            </w:pPr>
            <w:r>
              <w:rPr>
                <w:rFonts w:ascii="Arial" w:cs="Arial" w:eastAsia="Arial" w:hAnsi="Arial"/>
                <w:sz w:val="16"/>
                <w:szCs w:val="16"/>
                <w:color w:val="auto"/>
              </w:rPr>
              <w:t>Proceeds from long term debt—ABL Line of Credit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1,215,500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1,392,700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1,607,400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280" w:type="dxa"/>
            <w:vAlign w:val="bottom"/>
            <w:shd w:val="clear" w:color="auto" w:fill="CFF0FC"/>
          </w:tcPr>
          <w:p>
            <w:pPr>
              <w:spacing w:after="0"/>
              <w:rPr>
                <w:sz w:val="20"/>
                <w:szCs w:val="20"/>
                <w:color w:val="auto"/>
              </w:rPr>
            </w:pPr>
            <w:r>
              <w:rPr>
                <w:rFonts w:ascii="Arial" w:cs="Arial" w:eastAsia="Arial" w:hAnsi="Arial"/>
                <w:sz w:val="16"/>
                <w:szCs w:val="16"/>
                <w:color w:val="auto"/>
              </w:rPr>
              <w:t>Principal payments on long term debt—ABL Line of Credit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(1,215,500)</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(1,560,100)</w:t>
            </w: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(1,503,300)</w:t>
            </w:r>
          </w:p>
        </w:tc>
        <w:tc>
          <w:tcPr>
            <w:tcW w:w="0" w:type="dxa"/>
            <w:vAlign w:val="bottom"/>
          </w:tcPr>
          <w:p>
            <w:pPr>
              <w:spacing w:after="0"/>
              <w:rPr>
                <w:sz w:val="1"/>
                <w:szCs w:val="1"/>
                <w:color w:val="auto"/>
              </w:rPr>
            </w:pPr>
          </w:p>
        </w:tc>
      </w:tr>
      <w:tr>
        <w:trPr>
          <w:trHeight w:val="213"/>
        </w:trPr>
        <w:tc>
          <w:tcPr>
            <w:tcW w:w="5300" w:type="dxa"/>
            <w:vAlign w:val="bottom"/>
            <w:gridSpan w:val="2"/>
          </w:tcPr>
          <w:p>
            <w:pPr>
              <w:spacing w:after="0"/>
              <w:rPr>
                <w:sz w:val="20"/>
                <w:szCs w:val="20"/>
                <w:color w:val="auto"/>
              </w:rPr>
            </w:pPr>
            <w:r>
              <w:rPr>
                <w:rFonts w:ascii="Arial" w:cs="Arial" w:eastAsia="Arial" w:hAnsi="Arial"/>
                <w:sz w:val="16"/>
                <w:szCs w:val="16"/>
                <w:color w:val="auto"/>
              </w:rPr>
              <w:t>Proceeds from long term debt—Term B-5 Loans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1,114,207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280" w:type="dxa"/>
            <w:vAlign w:val="bottom"/>
            <w:shd w:val="clear" w:color="auto" w:fill="CFF0FC"/>
          </w:tcPr>
          <w:p>
            <w:pPr>
              <w:spacing w:after="0"/>
              <w:rPr>
                <w:sz w:val="20"/>
                <w:szCs w:val="20"/>
                <w:color w:val="auto"/>
              </w:rPr>
            </w:pPr>
            <w:r>
              <w:rPr>
                <w:rFonts w:ascii="Arial" w:cs="Arial" w:eastAsia="Arial" w:hAnsi="Arial"/>
                <w:sz w:val="16"/>
                <w:szCs w:val="16"/>
                <w:color w:val="auto"/>
              </w:rPr>
              <w:t>Principal payments on long term debt—Term B-5 Loans</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(2,793)</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300" w:type="dxa"/>
            <w:vAlign w:val="bottom"/>
            <w:gridSpan w:val="2"/>
          </w:tcPr>
          <w:p>
            <w:pPr>
              <w:spacing w:after="0"/>
              <w:rPr>
                <w:sz w:val="20"/>
                <w:szCs w:val="20"/>
                <w:color w:val="auto"/>
              </w:rPr>
            </w:pPr>
            <w:r>
              <w:rPr>
                <w:rFonts w:ascii="Arial" w:cs="Arial" w:eastAsia="Arial" w:hAnsi="Arial"/>
                <w:sz w:val="16"/>
                <w:szCs w:val="16"/>
                <w:color w:val="auto"/>
              </w:rPr>
              <w:t>Proceeds from long term debt—Term B-4 Loans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1,114,208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280" w:type="dxa"/>
            <w:vAlign w:val="bottom"/>
            <w:shd w:val="clear" w:color="auto" w:fill="CFF0FC"/>
          </w:tcPr>
          <w:p>
            <w:pPr>
              <w:spacing w:after="0"/>
              <w:rPr>
                <w:sz w:val="20"/>
                <w:szCs w:val="20"/>
                <w:color w:val="auto"/>
              </w:rPr>
            </w:pPr>
            <w:r>
              <w:rPr>
                <w:rFonts w:ascii="Arial" w:cs="Arial" w:eastAsia="Arial" w:hAnsi="Arial"/>
                <w:sz w:val="16"/>
                <w:szCs w:val="16"/>
                <w:color w:val="auto"/>
              </w:rPr>
              <w:t>Principal payments on long term debt—Term B-4 Loans</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(1,117,000)</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300" w:type="dxa"/>
            <w:vAlign w:val="bottom"/>
            <w:gridSpan w:val="2"/>
          </w:tcPr>
          <w:p>
            <w:pPr>
              <w:spacing w:after="0"/>
              <w:rPr>
                <w:sz w:val="20"/>
                <w:szCs w:val="20"/>
                <w:color w:val="auto"/>
              </w:rPr>
            </w:pPr>
            <w:r>
              <w:rPr>
                <w:rFonts w:ascii="Arial" w:cs="Arial" w:eastAsia="Arial" w:hAnsi="Arial"/>
                <w:sz w:val="16"/>
                <w:szCs w:val="16"/>
                <w:color w:val="auto"/>
              </w:rPr>
              <w:t>Principal payments on long term debt—Term B-3 Loans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(1,117,000)</w:t>
            </w:r>
          </w:p>
        </w:tc>
        <w:tc>
          <w:tcPr>
            <w:tcW w:w="1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6"/>
                <w:szCs w:val="16"/>
                <w:color w:val="auto"/>
              </w:rPr>
              <w:t>(50,000)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280" w:type="dxa"/>
            <w:vAlign w:val="bottom"/>
            <w:shd w:val="clear" w:color="auto" w:fill="CFF0FC"/>
          </w:tcPr>
          <w:p>
            <w:pPr>
              <w:spacing w:after="0"/>
              <w:rPr>
                <w:sz w:val="20"/>
                <w:szCs w:val="20"/>
                <w:color w:val="auto"/>
              </w:rPr>
            </w:pPr>
            <w:r>
              <w:rPr>
                <w:rFonts w:ascii="Arial" w:cs="Arial" w:eastAsia="Arial" w:hAnsi="Arial"/>
                <w:sz w:val="16"/>
                <w:szCs w:val="16"/>
                <w:color w:val="auto"/>
              </w:rPr>
              <w:t>Purchase of treasury shares</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(289,777)</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(202,371)</w:t>
            </w: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(201,670)</w:t>
            </w:r>
          </w:p>
        </w:tc>
        <w:tc>
          <w:tcPr>
            <w:tcW w:w="0" w:type="dxa"/>
            <w:vAlign w:val="bottom"/>
          </w:tcPr>
          <w:p>
            <w:pPr>
              <w:spacing w:after="0"/>
              <w:rPr>
                <w:sz w:val="1"/>
                <w:szCs w:val="1"/>
                <w:color w:val="auto"/>
              </w:rPr>
            </w:pPr>
          </w:p>
        </w:tc>
      </w:tr>
      <w:tr>
        <w:trPr>
          <w:trHeight w:val="213"/>
        </w:trPr>
        <w:tc>
          <w:tcPr>
            <w:tcW w:w="5300" w:type="dxa"/>
            <w:vAlign w:val="bottom"/>
            <w:gridSpan w:val="2"/>
          </w:tcPr>
          <w:p>
            <w:pPr>
              <w:spacing w:after="0"/>
              <w:rPr>
                <w:sz w:val="20"/>
                <w:szCs w:val="20"/>
                <w:color w:val="auto"/>
              </w:rPr>
            </w:pPr>
            <w:r>
              <w:rPr>
                <w:rFonts w:ascii="Arial" w:cs="Arial" w:eastAsia="Arial" w:hAnsi="Arial"/>
                <w:sz w:val="16"/>
                <w:szCs w:val="16"/>
                <w:color w:val="auto"/>
              </w:rPr>
              <w:t>Proceeds from stock option exercises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9,173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4,484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2,100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280" w:type="dxa"/>
            <w:vAlign w:val="bottom"/>
            <w:shd w:val="clear" w:color="auto" w:fill="CFF0FC"/>
          </w:tcPr>
          <w:p>
            <w:pPr>
              <w:spacing w:after="0"/>
              <w:rPr>
                <w:sz w:val="20"/>
                <w:szCs w:val="20"/>
                <w:color w:val="auto"/>
              </w:rPr>
            </w:pPr>
            <w:r>
              <w:rPr>
                <w:rFonts w:ascii="Arial" w:cs="Arial" w:eastAsia="Arial" w:hAnsi="Arial"/>
                <w:sz w:val="16"/>
                <w:szCs w:val="16"/>
                <w:color w:val="auto"/>
              </w:rPr>
              <w:t>Deferred financing costs</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(1,188)</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(655)</w:t>
            </w: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(168)</w:t>
            </w:r>
          </w:p>
        </w:tc>
        <w:tc>
          <w:tcPr>
            <w:tcW w:w="0" w:type="dxa"/>
            <w:vAlign w:val="bottom"/>
          </w:tcPr>
          <w:p>
            <w:pPr>
              <w:spacing w:after="0"/>
              <w:rPr>
                <w:sz w:val="1"/>
                <w:szCs w:val="1"/>
                <w:color w:val="auto"/>
              </w:rPr>
            </w:pPr>
          </w:p>
        </w:tc>
      </w:tr>
      <w:tr>
        <w:trPr>
          <w:trHeight w:val="213"/>
        </w:trPr>
        <w:tc>
          <w:tcPr>
            <w:tcW w:w="5300" w:type="dxa"/>
            <w:vAlign w:val="bottom"/>
            <w:gridSpan w:val="2"/>
          </w:tcPr>
          <w:p>
            <w:pPr>
              <w:spacing w:after="0"/>
              <w:rPr>
                <w:sz w:val="20"/>
                <w:szCs w:val="20"/>
                <w:color w:val="auto"/>
              </w:rPr>
            </w:pPr>
            <w:r>
              <w:rPr>
                <w:rFonts w:ascii="Arial" w:cs="Arial" w:eastAsia="Arial" w:hAnsi="Arial"/>
                <w:sz w:val="16"/>
                <w:szCs w:val="16"/>
                <w:color w:val="auto"/>
              </w:rPr>
              <w:t>Other financing activities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(5,975)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(6,149)</w:t>
            </w:r>
          </w:p>
        </w:tc>
        <w:tc>
          <w:tcPr>
            <w:tcW w:w="1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6"/>
                <w:szCs w:val="16"/>
                <w:color w:val="auto"/>
              </w:rPr>
              <w:t>(3,466)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vMerge w:val="restart"/>
            <w:shd w:val="clear" w:color="auto" w:fill="CFF0FC"/>
          </w:tcPr>
          <w:p>
            <w:pPr>
              <w:spacing w:after="0"/>
              <w:rPr>
                <w:sz w:val="20"/>
                <w:szCs w:val="20"/>
                <w:color w:val="auto"/>
              </w:rPr>
            </w:pPr>
            <w:r>
              <w:rPr>
                <w:rFonts w:ascii="Arial" w:cs="Arial" w:eastAsia="Arial" w:hAnsi="Arial"/>
                <w:sz w:val="16"/>
                <w:szCs w:val="16"/>
                <w:b w:val="1"/>
                <w:bCs w:val="1"/>
                <w:color w:val="auto"/>
              </w:rPr>
              <w:t>Net cash (used in) financing activities</w:t>
            </w: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528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(293,353)</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(374,883)</w:t>
            </w:r>
          </w:p>
        </w:tc>
        <w:tc>
          <w:tcPr>
            <w:tcW w:w="1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(149,104)</w:t>
            </w:r>
          </w:p>
        </w:tc>
        <w:tc>
          <w:tcPr>
            <w:tcW w:w="0" w:type="dxa"/>
            <w:vAlign w:val="bottom"/>
          </w:tcPr>
          <w:p>
            <w:pPr>
              <w:spacing w:after="0"/>
              <w:rPr>
                <w:sz w:val="1"/>
                <w:szCs w:val="1"/>
                <w:color w:val="auto"/>
              </w:rPr>
            </w:pPr>
          </w:p>
        </w:tc>
      </w:tr>
      <w:tr>
        <w:trPr>
          <w:trHeight w:val="20"/>
        </w:trPr>
        <w:tc>
          <w:tcPr>
            <w:tcW w:w="5300" w:type="dxa"/>
            <w:vAlign w:val="bottom"/>
            <w:gridSpan w:val="2"/>
            <w:vMerge w:val="restart"/>
          </w:tcPr>
          <w:p>
            <w:pPr>
              <w:spacing w:after="0"/>
              <w:rPr>
                <w:sz w:val="20"/>
                <w:szCs w:val="20"/>
                <w:color w:val="auto"/>
              </w:rPr>
            </w:pPr>
            <w:r>
              <w:rPr>
                <w:rFonts w:ascii="Arial" w:cs="Arial" w:eastAsia="Arial" w:hAnsi="Arial"/>
                <w:sz w:val="16"/>
                <w:szCs w:val="16"/>
                <w:color w:val="auto"/>
              </w:rPr>
              <w:t>Increase (decrease) in cash and cash equivalents</w:t>
            </w: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3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51,689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60,682</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6"/>
                <w:szCs w:val="16"/>
                <w:color w:val="auto"/>
              </w:rPr>
              <w:t>(4,434)</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280" w:type="dxa"/>
            <w:vAlign w:val="bottom"/>
            <w:shd w:val="clear" w:color="auto" w:fill="CFF0FC"/>
          </w:tcPr>
          <w:p>
            <w:pPr>
              <w:spacing w:after="0"/>
              <w:rPr>
                <w:sz w:val="20"/>
                <w:szCs w:val="20"/>
                <w:color w:val="auto"/>
              </w:rPr>
            </w:pPr>
            <w:r>
              <w:rPr>
                <w:rFonts w:ascii="Arial" w:cs="Arial" w:eastAsia="Arial" w:hAnsi="Arial"/>
                <w:sz w:val="16"/>
                <w:szCs w:val="16"/>
                <w:color w:val="auto"/>
              </w:rPr>
              <w:t>Cash and cash equivalents at beginning of period</w:t>
            </w:r>
          </w:p>
        </w:tc>
        <w:tc>
          <w:tcPr>
            <w:tcW w:w="1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81,597</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20,915</w:t>
            </w:r>
          </w:p>
        </w:tc>
        <w:tc>
          <w:tcPr>
            <w:tcW w:w="220" w:type="dxa"/>
            <w:vAlign w:val="bottom"/>
            <w:tcBorders>
              <w:right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25,349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5300" w:type="dxa"/>
            <w:vAlign w:val="bottom"/>
            <w:gridSpan w:val="2"/>
          </w:tcPr>
          <w:p>
            <w:pPr>
              <w:spacing w:after="0"/>
              <w:rPr>
                <w:sz w:val="20"/>
                <w:szCs w:val="20"/>
                <w:color w:val="auto"/>
              </w:rPr>
            </w:pPr>
            <w:r>
              <w:rPr>
                <w:rFonts w:ascii="Arial" w:cs="Arial" w:eastAsia="Arial" w:hAnsi="Arial"/>
                <w:sz w:val="16"/>
                <w:szCs w:val="16"/>
                <w:b w:val="1"/>
                <w:bCs w:val="1"/>
                <w:color w:val="auto"/>
              </w:rPr>
              <w:t>Cash and cash equivalents at end of period</w:t>
            </w:r>
          </w:p>
        </w:tc>
        <w:tc>
          <w:tcPr>
            <w:tcW w:w="22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133,286</w:t>
            </w:r>
          </w:p>
        </w:tc>
        <w:tc>
          <w:tcPr>
            <w:tcW w:w="120" w:type="dxa"/>
            <w:vAlign w:val="bottom"/>
          </w:tcPr>
          <w:p>
            <w:pPr>
              <w:spacing w:after="0"/>
              <w:rPr>
                <w:sz w:val="21"/>
                <w:szCs w:val="21"/>
                <w:color w:val="auto"/>
              </w:rPr>
            </w:pPr>
          </w:p>
        </w:tc>
        <w:tc>
          <w:tcPr>
            <w:tcW w:w="22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81,597</w:t>
            </w:r>
          </w:p>
        </w:tc>
        <w:tc>
          <w:tcPr>
            <w:tcW w:w="2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20,915</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1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right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5300" w:type="dxa"/>
            <w:vAlign w:val="bottom"/>
            <w:gridSpan w:val="2"/>
          </w:tcPr>
          <w:p>
            <w:pPr>
              <w:spacing w:after="0"/>
              <w:rPr>
                <w:sz w:val="20"/>
                <w:szCs w:val="20"/>
                <w:color w:val="auto"/>
              </w:rPr>
            </w:pPr>
            <w:r>
              <w:rPr>
                <w:rFonts w:ascii="Arial" w:cs="Arial" w:eastAsia="Arial" w:hAnsi="Arial"/>
                <w:sz w:val="16"/>
                <w:szCs w:val="16"/>
                <w:color w:val="auto"/>
              </w:rPr>
              <w:t>Interest paid</w:t>
            </w:r>
          </w:p>
        </w:tc>
        <w:tc>
          <w:tcPr>
            <w:tcW w:w="22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49,092</w:t>
            </w:r>
          </w:p>
        </w:tc>
        <w:tc>
          <w:tcPr>
            <w:tcW w:w="120" w:type="dxa"/>
            <w:vAlign w:val="bottom"/>
          </w:tcPr>
          <w:p>
            <w:pPr>
              <w:spacing w:after="0"/>
              <w:rPr>
                <w:sz w:val="20"/>
                <w:szCs w:val="20"/>
                <w:color w:val="auto"/>
              </w:rPr>
            </w:pPr>
          </w:p>
        </w:tc>
        <w:tc>
          <w:tcPr>
            <w:tcW w:w="22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51,590</w:t>
            </w:r>
          </w:p>
        </w:tc>
        <w:tc>
          <w:tcPr>
            <w:tcW w:w="2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57,376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6"/>
                <w:szCs w:val="16"/>
                <w:color w:val="auto"/>
              </w:rPr>
              <w:t>Income tax payments - net</w:t>
            </w: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280" w:type="dxa"/>
            <w:vAlign w:val="bottom"/>
            <w:vMerge w:val="continue"/>
            <w:shd w:val="clear" w:color="auto" w:fill="CFF0FC"/>
          </w:tcPr>
          <w:p>
            <w:pPr>
              <w:spacing w:after="0"/>
              <w:rPr>
                <w:sz w:val="17"/>
                <w:szCs w:val="17"/>
                <w:color w:val="auto"/>
              </w:rPr>
            </w:pPr>
          </w:p>
        </w:tc>
        <w:tc>
          <w:tcPr>
            <w:tcW w:w="220" w:type="dxa"/>
            <w:vAlign w:val="bottom"/>
            <w:gridSpan w:val="2"/>
            <w:shd w:val="clear" w:color="auto" w:fill="CFF0FC"/>
          </w:tcPr>
          <w:p>
            <w:pPr>
              <w:ind w:left="100"/>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109,581</w:t>
            </w:r>
          </w:p>
        </w:tc>
        <w:tc>
          <w:tcPr>
            <w:tcW w:w="120" w:type="dxa"/>
            <w:vAlign w:val="bottom"/>
            <w:shd w:val="clear" w:color="auto" w:fill="CFF0FC"/>
          </w:tcPr>
          <w:p>
            <w:pPr>
              <w:spacing w:after="0"/>
              <w:rPr>
                <w:sz w:val="17"/>
                <w:szCs w:val="17"/>
                <w:color w:val="auto"/>
              </w:rPr>
            </w:pPr>
          </w:p>
        </w:tc>
        <w:tc>
          <w:tcPr>
            <w:tcW w:w="220" w:type="dxa"/>
            <w:vAlign w:val="bottom"/>
            <w:gridSpan w:val="2"/>
            <w:shd w:val="clear" w:color="auto" w:fill="CFF0FC"/>
          </w:tcPr>
          <w:p>
            <w:pPr>
              <w:ind w:left="80"/>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68,962</w:t>
            </w:r>
          </w:p>
        </w:tc>
        <w:tc>
          <w:tcPr>
            <w:tcW w:w="22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84,676</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3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Non-cash investing activities:</w:t>
            </w: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FF0FC"/>
          </w:tcPr>
          <w:p>
            <w:pPr>
              <w:spacing w:after="0"/>
              <w:rPr>
                <w:sz w:val="20"/>
                <w:szCs w:val="20"/>
                <w:color w:val="auto"/>
              </w:rPr>
            </w:pPr>
            <w:r>
              <w:rPr>
                <w:rFonts w:ascii="Arial" w:cs="Arial" w:eastAsia="Arial" w:hAnsi="Arial"/>
                <w:sz w:val="16"/>
                <w:szCs w:val="16"/>
                <w:color w:val="auto"/>
              </w:rPr>
              <w:t>Accrued purchases of property and equipment</w:t>
            </w:r>
          </w:p>
        </w:tc>
        <w:tc>
          <w:tcPr>
            <w:tcW w:w="220" w:type="dxa"/>
            <w:vAlign w:val="bottom"/>
            <w:gridSpan w:val="2"/>
            <w:shd w:val="clear" w:color="auto" w:fill="CFF0FC"/>
          </w:tcPr>
          <w:p>
            <w:pPr>
              <w:ind w:left="100"/>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31,279</w:t>
            </w:r>
          </w:p>
        </w:tc>
        <w:tc>
          <w:tcPr>
            <w:tcW w:w="120" w:type="dxa"/>
            <w:vAlign w:val="bottom"/>
            <w:shd w:val="clear" w:color="auto" w:fill="CFF0FC"/>
          </w:tcPr>
          <w:p>
            <w:pPr>
              <w:spacing w:after="0"/>
              <w:rPr>
                <w:sz w:val="18"/>
                <w:szCs w:val="18"/>
                <w:color w:val="auto"/>
              </w:rPr>
            </w:pPr>
          </w:p>
        </w:tc>
        <w:tc>
          <w:tcPr>
            <w:tcW w:w="220" w:type="dxa"/>
            <w:vAlign w:val="bottom"/>
            <w:gridSpan w:val="2"/>
            <w:shd w:val="clear" w:color="auto" w:fill="CFF0FC"/>
          </w:tcPr>
          <w:p>
            <w:pPr>
              <w:ind w:left="80"/>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24,120</w:t>
            </w:r>
          </w:p>
        </w:tc>
        <w:tc>
          <w:tcPr>
            <w:tcW w:w="22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18,017</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5300" w:type="dxa"/>
            <w:vAlign w:val="bottom"/>
            <w:gridSpan w:val="2"/>
          </w:tcPr>
          <w:p>
            <w:pPr>
              <w:spacing w:after="0"/>
              <w:rPr>
                <w:sz w:val="20"/>
                <w:szCs w:val="20"/>
                <w:color w:val="auto"/>
              </w:rPr>
            </w:pPr>
            <w:r>
              <w:rPr>
                <w:rFonts w:ascii="Arial" w:cs="Arial" w:eastAsia="Arial" w:hAnsi="Arial"/>
                <w:sz w:val="16"/>
                <w:szCs w:val="16"/>
                <w:color w:val="auto"/>
              </w:rPr>
              <w:t>Acquisition of capital lease</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Notes to Consolidated Financial Statements.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-730885</wp:posOffset>
            </wp:positionH>
            <wp:positionV relativeFrom="paragraph">
              <wp:posOffset>70485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140"/>
          </w:cols>
          <w:pgMar w:left="1380" w:top="337" w:right="137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BURLINGTON STORES,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dollar amounts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0"/>
              </w:rPr>
              <w:t>Accumulated</w:t>
            </w: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40" w:type="dxa"/>
            <w:vAlign w:val="bottom"/>
          </w:tcPr>
          <w:p>
            <w:pPr>
              <w:spacing w:after="0"/>
              <w:rPr>
                <w:sz w:val="12"/>
                <w:szCs w:val="12"/>
                <w:color w:val="auto"/>
              </w:rPr>
            </w:pPr>
          </w:p>
        </w:tc>
        <w:tc>
          <w:tcPr>
            <w:tcW w:w="1760" w:type="dxa"/>
            <w:vAlign w:val="bottom"/>
            <w:gridSpan w:val="4"/>
            <w:vMerge w:val="restart"/>
          </w:tcPr>
          <w:p>
            <w:pPr>
              <w:jc w:val="right"/>
              <w:ind w:right="315"/>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2"/>
                <w:szCs w:val="12"/>
                <w:color w:val="auto"/>
              </w:rPr>
            </w:pPr>
          </w:p>
        </w:tc>
        <w:tc>
          <w:tcPr>
            <w:tcW w:w="9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6"/>
              </w:rPr>
              <w:t>Other</w:t>
            </w:r>
          </w:p>
        </w:tc>
        <w:tc>
          <w:tcPr>
            <w:tcW w:w="2140" w:type="dxa"/>
            <w:vAlign w:val="bottom"/>
            <w:gridSpan w:val="5"/>
            <w:vMerge w:val="restart"/>
          </w:tcPr>
          <w:p>
            <w:pPr>
              <w:jc w:val="right"/>
              <w:ind w:right="640"/>
              <w:spacing w:after="0"/>
              <w:rPr>
                <w:sz w:val="20"/>
                <w:szCs w:val="20"/>
                <w:color w:val="auto"/>
              </w:rPr>
            </w:pPr>
            <w:r>
              <w:rPr>
                <w:rFonts w:ascii="Arial" w:cs="Arial" w:eastAsia="Arial" w:hAnsi="Arial"/>
                <w:sz w:val="14"/>
                <w:szCs w:val="14"/>
                <w:b w:val="1"/>
                <w:bCs w:val="1"/>
                <w:color w:val="auto"/>
              </w:rPr>
              <w:t>Treasury Stock</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240" w:type="dxa"/>
            <w:vAlign w:val="bottom"/>
          </w:tcPr>
          <w:p>
            <w:pPr>
              <w:spacing w:after="0"/>
              <w:rPr>
                <w:sz w:val="14"/>
                <w:szCs w:val="14"/>
                <w:color w:val="auto"/>
              </w:rPr>
            </w:pPr>
          </w:p>
        </w:tc>
        <w:tc>
          <w:tcPr>
            <w:tcW w:w="1760" w:type="dxa"/>
            <w:vAlign w:val="bottom"/>
            <w:gridSpan w:val="4"/>
            <w:vMerge w:val="continue"/>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Paid-in</w:t>
            </w:r>
          </w:p>
        </w:tc>
        <w:tc>
          <w:tcPr>
            <w:tcW w:w="1080" w:type="dxa"/>
            <w:vAlign w:val="bottom"/>
            <w:gridSpan w:val="3"/>
            <w:vMerge w:val="continue"/>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Comprehensive</w:t>
            </w:r>
          </w:p>
        </w:tc>
        <w:tc>
          <w:tcPr>
            <w:tcW w:w="2140" w:type="dxa"/>
            <w:vAlign w:val="bottom"/>
            <w:gridSpan w:val="5"/>
            <w:vMerge w:val="continue"/>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240" w:type="dxa"/>
            <w:vAlign w:val="bottom"/>
            <w:vMerge w:val="restart"/>
          </w:tcPr>
          <w:p>
            <w:pPr>
              <w:spacing w:after="0"/>
              <w:rPr>
                <w:sz w:val="20"/>
                <w:szCs w:val="20"/>
                <w:color w:val="auto"/>
              </w:rPr>
            </w:pPr>
            <w:r>
              <w:rPr>
                <w:rFonts w:ascii="Arial" w:cs="Arial" w:eastAsia="Arial" w:hAnsi="Arial"/>
                <w:sz w:val="17"/>
                <w:szCs w:val="17"/>
                <w:b w:val="1"/>
                <w:bCs w:val="1"/>
                <w:color w:val="auto"/>
              </w:rPr>
              <w:t>Balance at January 31, 2015</w:t>
            </w:r>
          </w:p>
        </w:tc>
        <w:tc>
          <w:tcPr>
            <w:tcW w:w="880" w:type="dxa"/>
            <w:vAlign w:val="bottom"/>
            <w:tcBorders>
              <w:top w:val="single" w:sz="8" w:color="auto"/>
            </w:tcBorders>
          </w:tcPr>
          <w:p>
            <w:pPr>
              <w:jc w:val="right"/>
              <w:ind w:right="155"/>
              <w:spacing w:after="0" w:line="155" w:lineRule="exact"/>
              <w:rPr>
                <w:sz w:val="20"/>
                <w:szCs w:val="20"/>
                <w:color w:val="auto"/>
              </w:rPr>
            </w:pPr>
            <w:r>
              <w:rPr>
                <w:rFonts w:ascii="Arial" w:cs="Arial" w:eastAsia="Arial" w:hAnsi="Arial"/>
                <w:sz w:val="14"/>
                <w:szCs w:val="14"/>
                <w:b w:val="1"/>
                <w:bCs w:val="1"/>
                <w:color w:val="auto"/>
              </w:rPr>
              <w:t>Shares</w:t>
            </w:r>
          </w:p>
        </w:tc>
        <w:tc>
          <w:tcPr>
            <w:tcW w:w="2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ind w:right="15"/>
              <w:spacing w:after="0" w:line="155" w:lineRule="exact"/>
              <w:rPr>
                <w:sz w:val="20"/>
                <w:szCs w:val="20"/>
                <w:color w:val="auto"/>
              </w:rPr>
            </w:pPr>
            <w:r>
              <w:rPr>
                <w:rFonts w:ascii="Arial" w:cs="Arial" w:eastAsia="Arial" w:hAnsi="Arial"/>
                <w:sz w:val="14"/>
                <w:szCs w:val="14"/>
                <w:b w:val="1"/>
                <w:bCs w:val="1"/>
                <w:color w:val="auto"/>
                <w:w w:val="90"/>
              </w:rPr>
              <w:t>Amount</w:t>
            </w:r>
          </w:p>
        </w:tc>
        <w:tc>
          <w:tcPr>
            <w:tcW w:w="200" w:type="dxa"/>
            <w:vAlign w:val="bottom"/>
          </w:tcPr>
          <w:p>
            <w:pPr>
              <w:spacing w:after="0"/>
              <w:rPr>
                <w:sz w:val="13"/>
                <w:szCs w:val="13"/>
                <w:color w:val="auto"/>
              </w:rPr>
            </w:pPr>
          </w:p>
        </w:tc>
        <w:tc>
          <w:tcPr>
            <w:tcW w:w="1000" w:type="dxa"/>
            <w:vAlign w:val="bottom"/>
            <w:gridSpan w:val="2"/>
          </w:tcPr>
          <w:p>
            <w:pPr>
              <w:jc w:val="right"/>
              <w:ind w:right="380"/>
              <w:spacing w:after="0" w:line="155" w:lineRule="exact"/>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3"/>
                <w:szCs w:val="13"/>
                <w:color w:val="auto"/>
              </w:rPr>
            </w:pPr>
          </w:p>
        </w:tc>
        <w:tc>
          <w:tcPr>
            <w:tcW w:w="980" w:type="dxa"/>
            <w:vAlign w:val="bottom"/>
            <w:gridSpan w:val="2"/>
          </w:tcPr>
          <w:p>
            <w:pPr>
              <w:jc w:val="right"/>
              <w:ind w:right="403"/>
              <w:spacing w:after="0" w:line="155" w:lineRule="exact"/>
              <w:rPr>
                <w:sz w:val="20"/>
                <w:szCs w:val="20"/>
                <w:color w:val="auto"/>
              </w:rPr>
            </w:pPr>
            <w:r>
              <w:rPr>
                <w:rFonts w:ascii="Arial" w:cs="Arial" w:eastAsia="Arial" w:hAnsi="Arial"/>
                <w:sz w:val="14"/>
                <w:szCs w:val="14"/>
                <w:b w:val="1"/>
                <w:bCs w:val="1"/>
                <w:color w:val="auto"/>
              </w:rPr>
              <w:t>Deficit</w:t>
            </w:r>
          </w:p>
        </w:tc>
        <w:tc>
          <w:tcPr>
            <w:tcW w:w="200" w:type="dxa"/>
            <w:vAlign w:val="bottom"/>
          </w:tcPr>
          <w:p>
            <w:pPr>
              <w:spacing w:after="0"/>
              <w:rPr>
                <w:sz w:val="13"/>
                <w:szCs w:val="13"/>
                <w:color w:val="auto"/>
              </w:rPr>
            </w:pPr>
          </w:p>
        </w:tc>
        <w:tc>
          <w:tcPr>
            <w:tcW w:w="980" w:type="dxa"/>
            <w:vAlign w:val="bottom"/>
            <w:gridSpan w:val="2"/>
          </w:tcPr>
          <w:p>
            <w:pPr>
              <w:jc w:val="center"/>
              <w:ind w:right="420"/>
              <w:spacing w:after="0" w:line="155" w:lineRule="exact"/>
              <w:rPr>
                <w:sz w:val="20"/>
                <w:szCs w:val="20"/>
                <w:color w:val="auto"/>
              </w:rPr>
            </w:pPr>
            <w:r>
              <w:rPr>
                <w:rFonts w:ascii="Arial" w:cs="Arial" w:eastAsia="Arial" w:hAnsi="Arial"/>
                <w:sz w:val="14"/>
                <w:szCs w:val="14"/>
                <w:b w:val="1"/>
                <w:bCs w:val="1"/>
                <w:color w:val="auto"/>
                <w:w w:val="85"/>
              </w:rPr>
              <w:t>Loss</w:t>
            </w:r>
          </w:p>
        </w:tc>
        <w:tc>
          <w:tcPr>
            <w:tcW w:w="1180" w:type="dxa"/>
            <w:vAlign w:val="bottom"/>
            <w:tcBorders>
              <w:top w:val="single" w:sz="8" w:color="auto"/>
            </w:tcBorders>
            <w:gridSpan w:val="2"/>
          </w:tcPr>
          <w:p>
            <w:pPr>
              <w:jc w:val="right"/>
              <w:ind w:right="420"/>
              <w:spacing w:after="0" w:line="155" w:lineRule="exact"/>
              <w:rPr>
                <w:sz w:val="20"/>
                <w:szCs w:val="20"/>
                <w:color w:val="auto"/>
              </w:rPr>
            </w:pPr>
            <w:r>
              <w:rPr>
                <w:rFonts w:ascii="Arial" w:cs="Arial" w:eastAsia="Arial" w:hAnsi="Arial"/>
                <w:sz w:val="14"/>
                <w:szCs w:val="14"/>
                <w:b w:val="1"/>
                <w:bCs w:val="1"/>
                <w:color w:val="auto"/>
              </w:rPr>
              <w:t>Shares</w:t>
            </w:r>
          </w:p>
        </w:tc>
        <w:tc>
          <w:tcPr>
            <w:tcW w:w="1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ind w:right="35"/>
              <w:spacing w:after="0" w:line="155" w:lineRule="exact"/>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300"/>
              <w:spacing w:after="0" w:line="15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3240" w:type="dxa"/>
            <w:vAlign w:val="bottom"/>
            <w:vMerge w:val="continue"/>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75,925,507</w:t>
            </w:r>
          </w:p>
        </w:tc>
        <w:tc>
          <w:tcPr>
            <w:tcW w:w="20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w:t>
            </w:r>
          </w:p>
        </w:tc>
        <w:tc>
          <w:tcPr>
            <w:tcW w:w="20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6"/>
              </w:rPr>
              <w:t>$ 1,370,498</w:t>
            </w: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7"/>
              </w:rPr>
              <w:t>(1,426,454)</w:t>
            </w: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(1,744)</w:t>
            </w:r>
          </w:p>
        </w:tc>
        <w:tc>
          <w:tcPr>
            <w:tcW w:w="220" w:type="dxa"/>
            <w:vAlign w:val="bottom"/>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(670,825)</w:t>
            </w:r>
          </w:p>
        </w:tc>
        <w:tc>
          <w:tcPr>
            <w:tcW w:w="2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(8,258)</w:t>
            </w:r>
          </w:p>
        </w:tc>
        <w:tc>
          <w:tcPr>
            <w:tcW w:w="2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7"/>
              </w:rPr>
              <w:t>(65,951)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FF0FC"/>
          </w:tcPr>
          <w:p>
            <w:pPr>
              <w:spacing w:after="0"/>
              <w:rPr>
                <w:sz w:val="20"/>
                <w:szCs w:val="20"/>
                <w:color w:val="auto"/>
              </w:rPr>
            </w:pPr>
            <w:r>
              <w:rPr>
                <w:rFonts w:ascii="Arial" w:cs="Arial" w:eastAsia="Arial" w:hAnsi="Arial"/>
                <w:sz w:val="17"/>
                <w:szCs w:val="17"/>
                <w:color w:val="auto"/>
              </w:rPr>
              <w:t>Net income</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150,482</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7"/>
              </w:rPr>
              <w:t>150,482</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240" w:type="dxa"/>
            <w:vAlign w:val="bottom"/>
          </w:tcPr>
          <w:p>
            <w:pPr>
              <w:spacing w:after="0"/>
              <w:rPr>
                <w:sz w:val="20"/>
                <w:szCs w:val="20"/>
                <w:color w:val="auto"/>
              </w:rPr>
            </w:pPr>
            <w:r>
              <w:rPr>
                <w:rFonts w:ascii="Arial" w:cs="Arial" w:eastAsia="Arial" w:hAnsi="Arial"/>
                <w:sz w:val="17"/>
                <w:szCs w:val="17"/>
                <w:color w:val="auto"/>
                <w:w w:val="96"/>
              </w:rPr>
              <w:t>Stock options exercised and related taxes of</w:t>
            </w: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7"/>
                <w:szCs w:val="17"/>
                <w:color w:val="auto"/>
              </w:rPr>
              <w:t>$11.9 million</w:t>
            </w:r>
          </w:p>
        </w:tc>
        <w:tc>
          <w:tcPr>
            <w:tcW w:w="880" w:type="dxa"/>
            <w:vAlign w:val="bottom"/>
          </w:tcPr>
          <w:p>
            <w:pPr>
              <w:jc w:val="right"/>
              <w:spacing w:after="0"/>
              <w:rPr>
                <w:sz w:val="20"/>
                <w:szCs w:val="20"/>
                <w:color w:val="auto"/>
              </w:rPr>
            </w:pPr>
            <w:r>
              <w:rPr>
                <w:rFonts w:ascii="Arial" w:cs="Arial" w:eastAsia="Arial" w:hAnsi="Arial"/>
                <w:sz w:val="17"/>
                <w:szCs w:val="17"/>
                <w:color w:val="auto"/>
              </w:rPr>
              <w:t>600,099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14,204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83"/>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14,204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240" w:type="dxa"/>
            <w:vAlign w:val="bottom"/>
            <w:shd w:val="clear" w:color="auto" w:fill="CFF0FC"/>
          </w:tcPr>
          <w:p>
            <w:pPr>
              <w:spacing w:after="0"/>
              <w:rPr>
                <w:sz w:val="20"/>
                <w:szCs w:val="20"/>
                <w:color w:val="auto"/>
              </w:rPr>
            </w:pPr>
            <w:r>
              <w:rPr>
                <w:rFonts w:ascii="Arial" w:cs="Arial" w:eastAsia="Arial" w:hAnsi="Arial"/>
                <w:sz w:val="17"/>
                <w:szCs w:val="17"/>
                <w:color w:val="auto"/>
              </w:rPr>
              <w:t>Shares used for tax withholding</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83"/>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(25,559)</w:t>
            </w:r>
          </w:p>
        </w:tc>
        <w:tc>
          <w:tcPr>
            <w:tcW w:w="1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(1,313)</w:t>
            </w:r>
          </w:p>
        </w:tc>
        <w:tc>
          <w:tcPr>
            <w:tcW w:w="10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(1,313)</w:t>
            </w:r>
          </w:p>
        </w:tc>
        <w:tc>
          <w:tcPr>
            <w:tcW w:w="0" w:type="dxa"/>
            <w:vAlign w:val="bottom"/>
          </w:tcPr>
          <w:p>
            <w:pPr>
              <w:spacing w:after="0"/>
              <w:rPr>
                <w:sz w:val="1"/>
                <w:szCs w:val="1"/>
                <w:color w:val="auto"/>
              </w:rPr>
            </w:pPr>
          </w:p>
        </w:tc>
      </w:tr>
      <w:tr>
        <w:trPr>
          <w:trHeight w:val="198"/>
        </w:trPr>
        <w:tc>
          <w:tcPr>
            <w:tcW w:w="3240" w:type="dxa"/>
            <w:vAlign w:val="bottom"/>
          </w:tcPr>
          <w:p>
            <w:pPr>
              <w:spacing w:after="0"/>
              <w:rPr>
                <w:sz w:val="20"/>
                <w:szCs w:val="20"/>
                <w:color w:val="auto"/>
              </w:rPr>
            </w:pPr>
            <w:r>
              <w:rPr>
                <w:rFonts w:ascii="Arial" w:cs="Arial" w:eastAsia="Arial" w:hAnsi="Arial"/>
                <w:sz w:val="17"/>
                <w:szCs w:val="17"/>
                <w:color w:val="auto"/>
              </w:rPr>
              <w:t>Shares purchased as part of publicly</w:t>
            </w: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7"/>
                <w:szCs w:val="17"/>
                <w:color w:val="auto"/>
              </w:rPr>
              <w:t>announced programs</w:t>
            </w: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183"/>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7"/>
                <w:szCs w:val="17"/>
                <w:color w:val="auto"/>
              </w:rPr>
              <w:t>(3,944,102)</w:t>
            </w:r>
          </w:p>
        </w:tc>
        <w:tc>
          <w:tcPr>
            <w:tcW w:w="1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w w:val="93"/>
              </w:rPr>
              <w:t>(200,357)</w:t>
            </w:r>
          </w:p>
        </w:tc>
        <w:tc>
          <w:tcPr>
            <w:tcW w:w="1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7"/>
                <w:szCs w:val="17"/>
                <w:color w:val="auto"/>
                <w:w w:val="93"/>
              </w:rPr>
              <w:t>(200,357)</w:t>
            </w:r>
          </w:p>
        </w:tc>
        <w:tc>
          <w:tcPr>
            <w:tcW w:w="0" w:type="dxa"/>
            <w:vAlign w:val="bottom"/>
          </w:tcPr>
          <w:p>
            <w:pPr>
              <w:spacing w:after="0"/>
              <w:rPr>
                <w:sz w:val="1"/>
                <w:szCs w:val="1"/>
                <w:color w:val="auto"/>
              </w:rPr>
            </w:pPr>
          </w:p>
        </w:tc>
      </w:tr>
      <w:tr>
        <w:trPr>
          <w:trHeight w:val="202"/>
        </w:trPr>
        <w:tc>
          <w:tcPr>
            <w:tcW w:w="3240" w:type="dxa"/>
            <w:vAlign w:val="bottom"/>
            <w:shd w:val="clear" w:color="auto" w:fill="CFF0FC"/>
          </w:tcPr>
          <w:p>
            <w:pPr>
              <w:spacing w:after="0"/>
              <w:rPr>
                <w:sz w:val="20"/>
                <w:szCs w:val="20"/>
                <w:color w:val="auto"/>
              </w:rPr>
            </w:pPr>
            <w:r>
              <w:rPr>
                <w:rFonts w:ascii="Arial" w:cs="Arial" w:eastAsia="Arial" w:hAnsi="Arial"/>
                <w:sz w:val="17"/>
                <w:szCs w:val="17"/>
                <w:color w:val="auto"/>
              </w:rPr>
              <w:t>Issuance of restricted shares, net</w:t>
            </w:r>
          </w:p>
        </w:tc>
        <w:tc>
          <w:tcPr>
            <w:tcW w:w="8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240" w:type="dxa"/>
            <w:vAlign w:val="bottom"/>
            <w:shd w:val="clear" w:color="auto" w:fill="CFF0FC"/>
          </w:tcPr>
          <w:p>
            <w:pPr>
              <w:spacing w:after="0"/>
              <w:rPr>
                <w:sz w:val="20"/>
                <w:szCs w:val="20"/>
                <w:color w:val="auto"/>
              </w:rPr>
            </w:pPr>
            <w:r>
              <w:rPr>
                <w:rFonts w:ascii="Arial" w:cs="Arial" w:eastAsia="Arial" w:hAnsi="Arial"/>
                <w:sz w:val="17"/>
                <w:szCs w:val="17"/>
                <w:color w:val="auto"/>
              </w:rPr>
              <w:t>of forfeitures of 40,588 restricted shares</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186,057</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83"/>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7"/>
                <w:szCs w:val="17"/>
                <w:color w:val="auto"/>
              </w:rPr>
              <w:t>Stock based compensation</w:t>
            </w: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11,161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83"/>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11,161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240" w:type="dxa"/>
            <w:vAlign w:val="bottom"/>
            <w:shd w:val="clear" w:color="auto" w:fill="CFF0FC"/>
          </w:tcPr>
          <w:p>
            <w:pPr>
              <w:spacing w:after="0"/>
              <w:rPr>
                <w:sz w:val="20"/>
                <w:szCs w:val="20"/>
                <w:color w:val="auto"/>
              </w:rPr>
            </w:pPr>
            <w:r>
              <w:rPr>
                <w:rFonts w:ascii="Arial" w:cs="Arial" w:eastAsia="Arial" w:hAnsi="Arial"/>
                <w:sz w:val="17"/>
                <w:szCs w:val="17"/>
                <w:color w:val="auto"/>
              </w:rPr>
              <w:t>Unrealized losses on interest rate</w:t>
            </w:r>
          </w:p>
        </w:tc>
        <w:tc>
          <w:tcPr>
            <w:tcW w:w="8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40" w:type="dxa"/>
            <w:vAlign w:val="bottom"/>
            <w:shd w:val="clear" w:color="auto" w:fill="CFF0FC"/>
          </w:tcPr>
          <w:p>
            <w:pPr>
              <w:spacing w:after="0"/>
              <w:rPr>
                <w:sz w:val="20"/>
                <w:szCs w:val="20"/>
                <w:color w:val="auto"/>
              </w:rPr>
            </w:pPr>
            <w:r>
              <w:rPr>
                <w:rFonts w:ascii="Arial" w:cs="Arial" w:eastAsia="Arial" w:hAnsi="Arial"/>
                <w:sz w:val="17"/>
                <w:szCs w:val="17"/>
                <w:color w:val="auto"/>
              </w:rPr>
              <w:t>cap contracts, net of related</w:t>
            </w:r>
          </w:p>
        </w:tc>
        <w:tc>
          <w:tcPr>
            <w:tcW w:w="8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240" w:type="dxa"/>
            <w:vAlign w:val="bottom"/>
            <w:shd w:val="clear" w:color="auto" w:fill="CFF0FC"/>
          </w:tcPr>
          <w:p>
            <w:pPr>
              <w:spacing w:after="0"/>
              <w:rPr>
                <w:sz w:val="20"/>
                <w:szCs w:val="20"/>
                <w:color w:val="auto"/>
              </w:rPr>
            </w:pPr>
            <w:r>
              <w:rPr>
                <w:rFonts w:ascii="Arial" w:cs="Arial" w:eastAsia="Arial" w:hAnsi="Arial"/>
                <w:sz w:val="17"/>
                <w:szCs w:val="17"/>
                <w:color w:val="auto"/>
              </w:rPr>
              <w:t>taxes of $4.9 million</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83"/>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(7,420)</w:t>
            </w: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(7,420)</w:t>
            </w:r>
          </w:p>
        </w:tc>
        <w:tc>
          <w:tcPr>
            <w:tcW w:w="0" w:type="dxa"/>
            <w:vAlign w:val="bottom"/>
          </w:tcPr>
          <w:p>
            <w:pPr>
              <w:spacing w:after="0"/>
              <w:rPr>
                <w:sz w:val="1"/>
                <w:szCs w:val="1"/>
                <w:color w:val="auto"/>
              </w:rPr>
            </w:pPr>
          </w:p>
        </w:tc>
      </w:tr>
      <w:tr>
        <w:trPr>
          <w:trHeight w:val="198"/>
        </w:trPr>
        <w:tc>
          <w:tcPr>
            <w:tcW w:w="3240" w:type="dxa"/>
            <w:vAlign w:val="bottom"/>
          </w:tcPr>
          <w:p>
            <w:pPr>
              <w:spacing w:after="0"/>
              <w:rPr>
                <w:sz w:val="20"/>
                <w:szCs w:val="20"/>
                <w:color w:val="auto"/>
              </w:rPr>
            </w:pPr>
            <w:r>
              <w:rPr>
                <w:rFonts w:ascii="Arial" w:cs="Arial" w:eastAsia="Arial" w:hAnsi="Arial"/>
                <w:sz w:val="17"/>
                <w:szCs w:val="17"/>
                <w:color w:val="auto"/>
              </w:rPr>
              <w:t>Amount reclassified into</w:t>
            </w: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240" w:type="dxa"/>
            <w:vAlign w:val="bottom"/>
          </w:tcPr>
          <w:p>
            <w:pPr>
              <w:spacing w:after="0"/>
              <w:rPr>
                <w:sz w:val="20"/>
                <w:szCs w:val="20"/>
                <w:color w:val="auto"/>
              </w:rPr>
            </w:pPr>
            <w:r>
              <w:rPr>
                <w:rFonts w:ascii="Arial" w:cs="Arial" w:eastAsia="Arial" w:hAnsi="Arial"/>
                <w:sz w:val="17"/>
                <w:szCs w:val="17"/>
                <w:color w:val="auto"/>
                <w:w w:val="97"/>
              </w:rPr>
              <w:t>earnings, net of related taxes of $0.1 million</w:t>
            </w: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183"/>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172</w:t>
            </w:r>
          </w:p>
        </w:tc>
        <w:tc>
          <w:tcPr>
            <w:tcW w:w="2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172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Balance at January 30, 2016</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76,711,663</w:t>
            </w:r>
          </w:p>
        </w:tc>
        <w:tc>
          <w:tcPr>
            <w:tcW w:w="20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w:t>
            </w:r>
          </w:p>
        </w:tc>
        <w:tc>
          <w:tcPr>
            <w:tcW w:w="20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6"/>
              </w:rPr>
              <w:t>$ 1,395,863</w:t>
            </w:r>
          </w:p>
        </w:tc>
        <w:tc>
          <w:tcPr>
            <w:tcW w:w="2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7"/>
              </w:rPr>
              <w:t>(1,275,972)</w:t>
            </w:r>
          </w:p>
        </w:tc>
        <w:tc>
          <w:tcPr>
            <w:tcW w:w="20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7"/>
                <w:szCs w:val="17"/>
                <w:color w:val="auto"/>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(8,992)</w:t>
            </w:r>
          </w:p>
        </w:tc>
        <w:tc>
          <w:tcPr>
            <w:tcW w:w="220" w:type="dxa"/>
            <w:vAlign w:val="bottom"/>
            <w:tcBorders>
              <w:top w:val="single" w:sz="8" w:color="CFF0FC"/>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(4,640,486)</w:t>
            </w: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5"/>
              </w:rPr>
              <w:t>(209,928)</w:t>
            </w: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97"/>
              </w:rPr>
              <w:t>(99,022)</w:t>
            </w: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7"/>
                <w:szCs w:val="17"/>
                <w:color w:val="auto"/>
              </w:rPr>
              <w:t>Net income</w:t>
            </w: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215,873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w w:val="97"/>
              </w:rPr>
              <w:t>215,873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240" w:type="dxa"/>
            <w:vAlign w:val="bottom"/>
            <w:shd w:val="clear" w:color="auto" w:fill="CFF0FC"/>
          </w:tcPr>
          <w:p>
            <w:pPr>
              <w:spacing w:after="0"/>
              <w:rPr>
                <w:sz w:val="20"/>
                <w:szCs w:val="20"/>
                <w:color w:val="auto"/>
              </w:rPr>
            </w:pPr>
            <w:r>
              <w:rPr>
                <w:rFonts w:ascii="Arial" w:cs="Arial" w:eastAsia="Arial" w:hAnsi="Arial"/>
                <w:sz w:val="17"/>
                <w:szCs w:val="17"/>
                <w:color w:val="auto"/>
                <w:w w:val="96"/>
              </w:rPr>
              <w:t>Stock options exercised and related taxes of</w:t>
            </w:r>
          </w:p>
        </w:tc>
        <w:tc>
          <w:tcPr>
            <w:tcW w:w="8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240" w:type="dxa"/>
            <w:vAlign w:val="bottom"/>
            <w:shd w:val="clear" w:color="auto" w:fill="CFF0FC"/>
          </w:tcPr>
          <w:p>
            <w:pPr>
              <w:spacing w:after="0"/>
              <w:rPr>
                <w:sz w:val="20"/>
                <w:szCs w:val="20"/>
                <w:color w:val="auto"/>
              </w:rPr>
            </w:pPr>
            <w:r>
              <w:rPr>
                <w:rFonts w:ascii="Arial" w:cs="Arial" w:eastAsia="Arial" w:hAnsi="Arial"/>
                <w:sz w:val="17"/>
                <w:szCs w:val="17"/>
                <w:color w:val="auto"/>
              </w:rPr>
              <w:t>$13.5 million</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604,675</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17,954</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83"/>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17,954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7"/>
                <w:szCs w:val="17"/>
                <w:color w:val="auto"/>
              </w:rPr>
              <w:t>Shares used for tax withholding</w:t>
            </w: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183"/>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7"/>
                <w:szCs w:val="17"/>
                <w:color w:val="auto"/>
              </w:rPr>
              <w:t>(35,637)</w:t>
            </w:r>
          </w:p>
        </w:tc>
        <w:tc>
          <w:tcPr>
            <w:tcW w:w="1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(2,371)</w:t>
            </w:r>
          </w:p>
        </w:tc>
        <w:tc>
          <w:tcPr>
            <w:tcW w:w="1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7"/>
                <w:szCs w:val="17"/>
                <w:color w:val="auto"/>
              </w:rPr>
              <w:t>(2,371)</w:t>
            </w:r>
          </w:p>
        </w:tc>
        <w:tc>
          <w:tcPr>
            <w:tcW w:w="0" w:type="dxa"/>
            <w:vAlign w:val="bottom"/>
          </w:tcPr>
          <w:p>
            <w:pPr>
              <w:spacing w:after="0"/>
              <w:rPr>
                <w:sz w:val="1"/>
                <w:szCs w:val="1"/>
                <w:color w:val="auto"/>
              </w:rPr>
            </w:pPr>
          </w:p>
        </w:tc>
      </w:tr>
      <w:tr>
        <w:trPr>
          <w:trHeight w:val="198"/>
        </w:trPr>
        <w:tc>
          <w:tcPr>
            <w:tcW w:w="3240" w:type="dxa"/>
            <w:vAlign w:val="bottom"/>
            <w:shd w:val="clear" w:color="auto" w:fill="CFF0FC"/>
          </w:tcPr>
          <w:p>
            <w:pPr>
              <w:spacing w:after="0"/>
              <w:rPr>
                <w:sz w:val="20"/>
                <w:szCs w:val="20"/>
                <w:color w:val="auto"/>
              </w:rPr>
            </w:pPr>
            <w:r>
              <w:rPr>
                <w:rFonts w:ascii="Arial" w:cs="Arial" w:eastAsia="Arial" w:hAnsi="Arial"/>
                <w:sz w:val="17"/>
                <w:szCs w:val="17"/>
                <w:color w:val="auto"/>
              </w:rPr>
              <w:t>Shares purchased as part of publicly</w:t>
            </w:r>
          </w:p>
        </w:tc>
        <w:tc>
          <w:tcPr>
            <w:tcW w:w="8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240" w:type="dxa"/>
            <w:vAlign w:val="bottom"/>
            <w:shd w:val="clear" w:color="auto" w:fill="CFF0FC"/>
          </w:tcPr>
          <w:p>
            <w:pPr>
              <w:spacing w:after="0"/>
              <w:rPr>
                <w:sz w:val="20"/>
                <w:szCs w:val="20"/>
                <w:color w:val="auto"/>
              </w:rPr>
            </w:pPr>
            <w:r>
              <w:rPr>
                <w:rFonts w:ascii="Arial" w:cs="Arial" w:eastAsia="Arial" w:hAnsi="Arial"/>
                <w:sz w:val="17"/>
                <w:szCs w:val="17"/>
                <w:color w:val="auto"/>
              </w:rPr>
              <w:t>announced programs</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83"/>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(2,797,088)</w:t>
            </w:r>
          </w:p>
        </w:tc>
        <w:tc>
          <w:tcPr>
            <w:tcW w:w="1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w w:val="93"/>
              </w:rPr>
              <w:t>(200,000)</w:t>
            </w:r>
          </w:p>
        </w:tc>
        <w:tc>
          <w:tcPr>
            <w:tcW w:w="10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w w:val="93"/>
              </w:rPr>
              <w:t>(200,000)</w:t>
            </w:r>
          </w:p>
        </w:tc>
        <w:tc>
          <w:tcPr>
            <w:tcW w:w="0" w:type="dxa"/>
            <w:vAlign w:val="bottom"/>
          </w:tcPr>
          <w:p>
            <w:pPr>
              <w:spacing w:after="0"/>
              <w:rPr>
                <w:sz w:val="1"/>
                <w:szCs w:val="1"/>
                <w:color w:val="auto"/>
              </w:rPr>
            </w:pPr>
          </w:p>
        </w:tc>
      </w:tr>
      <w:tr>
        <w:trPr>
          <w:trHeight w:val="198"/>
        </w:trPr>
        <w:tc>
          <w:tcPr>
            <w:tcW w:w="3240" w:type="dxa"/>
            <w:vAlign w:val="bottom"/>
          </w:tcPr>
          <w:p>
            <w:pPr>
              <w:spacing w:after="0"/>
              <w:rPr>
                <w:sz w:val="20"/>
                <w:szCs w:val="20"/>
                <w:color w:val="auto"/>
              </w:rPr>
            </w:pPr>
            <w:r>
              <w:rPr>
                <w:rFonts w:ascii="Arial" w:cs="Arial" w:eastAsia="Arial" w:hAnsi="Arial"/>
                <w:sz w:val="17"/>
                <w:szCs w:val="17"/>
                <w:color w:val="auto"/>
              </w:rPr>
              <w:t>Issuance of restricted shares, net</w:t>
            </w: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7"/>
                <w:szCs w:val="17"/>
                <w:color w:val="auto"/>
              </w:rPr>
              <w:t>of forfeitures of 17,815 restricted shares</w:t>
            </w:r>
          </w:p>
        </w:tc>
        <w:tc>
          <w:tcPr>
            <w:tcW w:w="880" w:type="dxa"/>
            <w:vAlign w:val="bottom"/>
          </w:tcPr>
          <w:p>
            <w:pPr>
              <w:jc w:val="right"/>
              <w:spacing w:after="0"/>
              <w:rPr>
                <w:sz w:val="20"/>
                <w:szCs w:val="20"/>
                <w:color w:val="auto"/>
              </w:rPr>
            </w:pPr>
            <w:r>
              <w:rPr>
                <w:rFonts w:ascii="Arial" w:cs="Arial" w:eastAsia="Arial" w:hAnsi="Arial"/>
                <w:sz w:val="17"/>
                <w:szCs w:val="17"/>
                <w:color w:val="auto"/>
              </w:rPr>
              <w:t>337,586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183"/>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3240" w:type="dxa"/>
            <w:vAlign w:val="bottom"/>
            <w:shd w:val="clear" w:color="auto" w:fill="CFF0FC"/>
          </w:tcPr>
          <w:p>
            <w:pPr>
              <w:spacing w:after="0"/>
              <w:rPr>
                <w:sz w:val="20"/>
                <w:szCs w:val="20"/>
                <w:color w:val="auto"/>
              </w:rPr>
            </w:pPr>
            <w:r>
              <w:rPr>
                <w:rFonts w:ascii="Arial" w:cs="Arial" w:eastAsia="Arial" w:hAnsi="Arial"/>
                <w:sz w:val="17"/>
                <w:szCs w:val="17"/>
                <w:color w:val="auto"/>
              </w:rPr>
              <w:t>Stock based compensation</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15,953</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83"/>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15,953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3240" w:type="dxa"/>
            <w:vAlign w:val="bottom"/>
          </w:tcPr>
          <w:p>
            <w:pPr>
              <w:spacing w:after="0"/>
              <w:rPr>
                <w:sz w:val="20"/>
                <w:szCs w:val="20"/>
                <w:color w:val="auto"/>
              </w:rPr>
            </w:pPr>
            <w:r>
              <w:rPr>
                <w:rFonts w:ascii="Arial" w:cs="Arial" w:eastAsia="Arial" w:hAnsi="Arial"/>
                <w:sz w:val="17"/>
                <w:szCs w:val="17"/>
                <w:color w:val="auto"/>
              </w:rPr>
              <w:t>Unrealized gains on interest rate</w:t>
            </w: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40" w:type="dxa"/>
            <w:vAlign w:val="bottom"/>
          </w:tcPr>
          <w:p>
            <w:pPr>
              <w:spacing w:after="0"/>
              <w:rPr>
                <w:sz w:val="20"/>
                <w:szCs w:val="20"/>
                <w:color w:val="auto"/>
              </w:rPr>
            </w:pPr>
            <w:r>
              <w:rPr>
                <w:rFonts w:ascii="Arial" w:cs="Arial" w:eastAsia="Arial" w:hAnsi="Arial"/>
                <w:sz w:val="17"/>
                <w:szCs w:val="17"/>
                <w:color w:val="auto"/>
              </w:rPr>
              <w:t>cap contracts, net of related</w:t>
            </w: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7"/>
                <w:szCs w:val="17"/>
                <w:color w:val="auto"/>
              </w:rPr>
              <w:t>taxes of $0.1 million</w:t>
            </w: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183"/>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220</w:t>
            </w:r>
          </w:p>
        </w:tc>
        <w:tc>
          <w:tcPr>
            <w:tcW w:w="2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240" w:type="dxa"/>
            <w:vAlign w:val="bottom"/>
            <w:shd w:val="clear" w:color="auto" w:fill="CFF0FC"/>
          </w:tcPr>
          <w:p>
            <w:pPr>
              <w:spacing w:after="0"/>
              <w:rPr>
                <w:sz w:val="20"/>
                <w:szCs w:val="20"/>
                <w:color w:val="auto"/>
              </w:rPr>
            </w:pPr>
            <w:r>
              <w:rPr>
                <w:rFonts w:ascii="Arial" w:cs="Arial" w:eastAsia="Arial" w:hAnsi="Arial"/>
                <w:sz w:val="17"/>
                <w:szCs w:val="17"/>
                <w:color w:val="auto"/>
                <w:w w:val="95"/>
              </w:rPr>
              <w:t>Re-issuance of shares previously held within</w:t>
            </w:r>
          </w:p>
        </w:tc>
        <w:tc>
          <w:tcPr>
            <w:tcW w:w="8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240" w:type="dxa"/>
            <w:vAlign w:val="bottom"/>
            <w:shd w:val="clear" w:color="auto" w:fill="CFF0FC"/>
          </w:tcPr>
          <w:p>
            <w:pPr>
              <w:spacing w:after="0"/>
              <w:rPr>
                <w:sz w:val="20"/>
                <w:szCs w:val="20"/>
                <w:color w:val="auto"/>
              </w:rPr>
            </w:pPr>
            <w:r>
              <w:rPr>
                <w:rFonts w:ascii="Arial" w:cs="Arial" w:eastAsia="Arial" w:hAnsi="Arial"/>
                <w:sz w:val="17"/>
                <w:szCs w:val="17"/>
                <w:color w:val="auto"/>
              </w:rPr>
              <w:t>treasury</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00" w:type="dxa"/>
            <w:vAlign w:val="bottom"/>
            <w:gridSpan w:val="3"/>
            <w:shd w:val="clear" w:color="auto" w:fill="CFF0FC"/>
          </w:tcPr>
          <w:p>
            <w:pPr>
              <w:jc w:val="right"/>
              <w:ind w:right="140"/>
              <w:spacing w:after="0"/>
              <w:rPr>
                <w:sz w:val="20"/>
                <w:szCs w:val="20"/>
                <w:color w:val="auto"/>
              </w:rPr>
            </w:pPr>
            <w:r>
              <w:rPr>
                <w:rFonts w:ascii="Arial" w:cs="Arial" w:eastAsia="Arial" w:hAnsi="Arial"/>
                <w:sz w:val="17"/>
                <w:szCs w:val="17"/>
                <w:color w:val="auto"/>
              </w:rPr>
              <w:t>(9,189)</w:t>
            </w:r>
          </w:p>
        </w:tc>
        <w:tc>
          <w:tcPr>
            <w:tcW w:w="1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83"/>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9,189</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8"/>
        </w:trPr>
        <w:tc>
          <w:tcPr>
            <w:tcW w:w="3240" w:type="dxa"/>
            <w:vAlign w:val="bottom"/>
          </w:tcPr>
          <w:p>
            <w:pPr>
              <w:spacing w:after="0"/>
              <w:rPr>
                <w:sz w:val="20"/>
                <w:szCs w:val="20"/>
                <w:color w:val="auto"/>
              </w:rPr>
            </w:pPr>
            <w:r>
              <w:rPr>
                <w:rFonts w:ascii="Arial" w:cs="Arial" w:eastAsia="Arial" w:hAnsi="Arial"/>
                <w:sz w:val="17"/>
                <w:szCs w:val="17"/>
                <w:color w:val="auto"/>
              </w:rPr>
              <w:t>Amount reclassified into</w:t>
            </w: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240" w:type="dxa"/>
            <w:vAlign w:val="bottom"/>
          </w:tcPr>
          <w:p>
            <w:pPr>
              <w:spacing w:after="0"/>
              <w:rPr>
                <w:sz w:val="20"/>
                <w:szCs w:val="20"/>
                <w:color w:val="auto"/>
              </w:rPr>
            </w:pPr>
            <w:r>
              <w:rPr>
                <w:rFonts w:ascii="Arial" w:cs="Arial" w:eastAsia="Arial" w:hAnsi="Arial"/>
                <w:sz w:val="17"/>
                <w:szCs w:val="17"/>
                <w:color w:val="auto"/>
                <w:w w:val="97"/>
              </w:rPr>
              <w:t>earnings, net of related taxes of $1.0 million</w:t>
            </w: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183"/>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1,581</w:t>
            </w:r>
          </w:p>
        </w:tc>
        <w:tc>
          <w:tcPr>
            <w:tcW w:w="2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1,581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Balance at January 28, 2017</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77,653,924</w:t>
            </w:r>
          </w:p>
        </w:tc>
        <w:tc>
          <w:tcPr>
            <w:tcW w:w="20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w:t>
            </w:r>
          </w:p>
        </w:tc>
        <w:tc>
          <w:tcPr>
            <w:tcW w:w="20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6"/>
              </w:rPr>
              <w:t>$ 1,420,581</w:t>
            </w:r>
          </w:p>
        </w:tc>
        <w:tc>
          <w:tcPr>
            <w:tcW w:w="2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7"/>
              </w:rPr>
              <w:t>(1,060,099)</w:t>
            </w:r>
          </w:p>
        </w:tc>
        <w:tc>
          <w:tcPr>
            <w:tcW w:w="20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7"/>
                <w:szCs w:val="17"/>
                <w:color w:val="auto"/>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(7,191)</w:t>
            </w:r>
          </w:p>
        </w:tc>
        <w:tc>
          <w:tcPr>
            <w:tcW w:w="220" w:type="dxa"/>
            <w:vAlign w:val="bottom"/>
            <w:tcBorders>
              <w:top w:val="single" w:sz="8" w:color="CFF0FC"/>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(7,473,211)</w:t>
            </w: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5"/>
              </w:rPr>
              <w:t>(403,110)</w:t>
            </w: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97"/>
              </w:rPr>
              <w:t>(49,812)</w:t>
            </w: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7"/>
                <w:szCs w:val="17"/>
                <w:color w:val="auto"/>
              </w:rPr>
              <w:t>Net income</w:t>
            </w: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384,852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w w:val="97"/>
              </w:rPr>
              <w:t>384,852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FF0FC"/>
          </w:tcPr>
          <w:p>
            <w:pPr>
              <w:spacing w:after="0"/>
              <w:rPr>
                <w:sz w:val="20"/>
                <w:szCs w:val="20"/>
                <w:color w:val="auto"/>
              </w:rPr>
            </w:pPr>
            <w:r>
              <w:rPr>
                <w:rFonts w:ascii="Arial" w:cs="Arial" w:eastAsia="Arial" w:hAnsi="Arial"/>
                <w:sz w:val="17"/>
                <w:szCs w:val="17"/>
                <w:color w:val="auto"/>
              </w:rPr>
              <w:t>Stock options exercised</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568,675</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9,173</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83"/>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9,173</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7"/>
                <w:szCs w:val="17"/>
                <w:color w:val="auto"/>
              </w:rPr>
              <w:t>Shares used for tax withholding</w:t>
            </w: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183"/>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7"/>
                <w:szCs w:val="17"/>
                <w:color w:val="auto"/>
              </w:rPr>
              <w:t>(70,291)</w:t>
            </w:r>
          </w:p>
        </w:tc>
        <w:tc>
          <w:tcPr>
            <w:tcW w:w="1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(7,307)</w:t>
            </w:r>
          </w:p>
        </w:tc>
        <w:tc>
          <w:tcPr>
            <w:tcW w:w="1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7"/>
                <w:szCs w:val="17"/>
                <w:color w:val="auto"/>
              </w:rPr>
              <w:t>(7,307)</w:t>
            </w:r>
          </w:p>
        </w:tc>
        <w:tc>
          <w:tcPr>
            <w:tcW w:w="0" w:type="dxa"/>
            <w:vAlign w:val="bottom"/>
          </w:tcPr>
          <w:p>
            <w:pPr>
              <w:spacing w:after="0"/>
              <w:rPr>
                <w:sz w:val="1"/>
                <w:szCs w:val="1"/>
                <w:color w:val="auto"/>
              </w:rPr>
            </w:pPr>
          </w:p>
        </w:tc>
      </w:tr>
      <w:tr>
        <w:trPr>
          <w:trHeight w:val="198"/>
        </w:trPr>
        <w:tc>
          <w:tcPr>
            <w:tcW w:w="3240" w:type="dxa"/>
            <w:vAlign w:val="bottom"/>
            <w:shd w:val="clear" w:color="auto" w:fill="CFF0FC"/>
          </w:tcPr>
          <w:p>
            <w:pPr>
              <w:spacing w:after="0"/>
              <w:rPr>
                <w:sz w:val="20"/>
                <w:szCs w:val="20"/>
                <w:color w:val="auto"/>
              </w:rPr>
            </w:pPr>
            <w:r>
              <w:rPr>
                <w:rFonts w:ascii="Arial" w:cs="Arial" w:eastAsia="Arial" w:hAnsi="Arial"/>
                <w:sz w:val="17"/>
                <w:szCs w:val="17"/>
                <w:color w:val="auto"/>
              </w:rPr>
              <w:t>Shares purchased as part of publicly</w:t>
            </w:r>
          </w:p>
        </w:tc>
        <w:tc>
          <w:tcPr>
            <w:tcW w:w="8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240" w:type="dxa"/>
            <w:vAlign w:val="bottom"/>
            <w:shd w:val="clear" w:color="auto" w:fill="CFF0FC"/>
          </w:tcPr>
          <w:p>
            <w:pPr>
              <w:spacing w:after="0"/>
              <w:rPr>
                <w:sz w:val="20"/>
                <w:szCs w:val="20"/>
                <w:color w:val="auto"/>
              </w:rPr>
            </w:pPr>
            <w:r>
              <w:rPr>
                <w:rFonts w:ascii="Arial" w:cs="Arial" w:eastAsia="Arial" w:hAnsi="Arial"/>
                <w:sz w:val="17"/>
                <w:szCs w:val="17"/>
                <w:color w:val="auto"/>
              </w:rPr>
              <w:t>announced programs</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83"/>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(3,006,720)</w:t>
            </w:r>
          </w:p>
        </w:tc>
        <w:tc>
          <w:tcPr>
            <w:tcW w:w="1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w w:val="93"/>
              </w:rPr>
              <w:t>(282,470)</w:t>
            </w:r>
          </w:p>
        </w:tc>
        <w:tc>
          <w:tcPr>
            <w:tcW w:w="10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w w:val="93"/>
              </w:rPr>
              <w:t>(282,470)</w:t>
            </w:r>
          </w:p>
        </w:tc>
        <w:tc>
          <w:tcPr>
            <w:tcW w:w="0" w:type="dxa"/>
            <w:vAlign w:val="bottom"/>
          </w:tcPr>
          <w:p>
            <w:pPr>
              <w:spacing w:after="0"/>
              <w:rPr>
                <w:sz w:val="1"/>
                <w:szCs w:val="1"/>
                <w:color w:val="auto"/>
              </w:rPr>
            </w:pPr>
          </w:p>
        </w:tc>
      </w:tr>
      <w:tr>
        <w:trPr>
          <w:trHeight w:val="198"/>
        </w:trPr>
        <w:tc>
          <w:tcPr>
            <w:tcW w:w="3240" w:type="dxa"/>
            <w:vAlign w:val="bottom"/>
          </w:tcPr>
          <w:p>
            <w:pPr>
              <w:spacing w:after="0"/>
              <w:rPr>
                <w:sz w:val="20"/>
                <w:szCs w:val="20"/>
                <w:color w:val="auto"/>
              </w:rPr>
            </w:pPr>
            <w:r>
              <w:rPr>
                <w:rFonts w:ascii="Arial" w:cs="Arial" w:eastAsia="Arial" w:hAnsi="Arial"/>
                <w:sz w:val="17"/>
                <w:szCs w:val="17"/>
                <w:color w:val="auto"/>
              </w:rPr>
              <w:t>Issuance of restricted shares, net</w:t>
            </w: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7"/>
                <w:szCs w:val="17"/>
                <w:color w:val="auto"/>
              </w:rPr>
              <w:t>of forfeitures of 33,263 restricted shares</w:t>
            </w:r>
          </w:p>
        </w:tc>
        <w:tc>
          <w:tcPr>
            <w:tcW w:w="880" w:type="dxa"/>
            <w:vAlign w:val="bottom"/>
          </w:tcPr>
          <w:p>
            <w:pPr>
              <w:jc w:val="right"/>
              <w:spacing w:after="0"/>
              <w:rPr>
                <w:sz w:val="20"/>
                <w:szCs w:val="20"/>
                <w:color w:val="auto"/>
              </w:rPr>
            </w:pPr>
            <w:r>
              <w:rPr>
                <w:rFonts w:ascii="Arial" w:cs="Arial" w:eastAsia="Arial" w:hAnsi="Arial"/>
                <w:sz w:val="17"/>
                <w:szCs w:val="17"/>
                <w:color w:val="auto"/>
              </w:rPr>
              <w:t>199,348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183"/>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3240" w:type="dxa"/>
            <w:vAlign w:val="bottom"/>
            <w:shd w:val="clear" w:color="auto" w:fill="CFF0FC"/>
          </w:tcPr>
          <w:p>
            <w:pPr>
              <w:spacing w:after="0"/>
              <w:rPr>
                <w:sz w:val="20"/>
                <w:szCs w:val="20"/>
                <w:color w:val="auto"/>
              </w:rPr>
            </w:pPr>
            <w:r>
              <w:rPr>
                <w:rFonts w:ascii="Arial" w:cs="Arial" w:eastAsia="Arial" w:hAnsi="Arial"/>
                <w:sz w:val="17"/>
                <w:szCs w:val="17"/>
                <w:color w:val="auto"/>
              </w:rPr>
              <w:t>Stock based compensation</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27,034</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83"/>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27,034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3240" w:type="dxa"/>
            <w:vAlign w:val="bottom"/>
          </w:tcPr>
          <w:p>
            <w:pPr>
              <w:spacing w:after="0"/>
              <w:rPr>
                <w:sz w:val="20"/>
                <w:szCs w:val="20"/>
                <w:color w:val="auto"/>
              </w:rPr>
            </w:pPr>
            <w:r>
              <w:rPr>
                <w:rFonts w:ascii="Arial" w:cs="Arial" w:eastAsia="Arial" w:hAnsi="Arial"/>
                <w:sz w:val="17"/>
                <w:szCs w:val="17"/>
                <w:color w:val="auto"/>
              </w:rPr>
              <w:t>Unrealized gains on interest rate</w:t>
            </w: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40" w:type="dxa"/>
            <w:vAlign w:val="bottom"/>
          </w:tcPr>
          <w:p>
            <w:pPr>
              <w:spacing w:after="0"/>
              <w:rPr>
                <w:sz w:val="20"/>
                <w:szCs w:val="20"/>
                <w:color w:val="auto"/>
              </w:rPr>
            </w:pPr>
            <w:r>
              <w:rPr>
                <w:rFonts w:ascii="Arial" w:cs="Arial" w:eastAsia="Arial" w:hAnsi="Arial"/>
                <w:sz w:val="17"/>
                <w:szCs w:val="17"/>
                <w:color w:val="auto"/>
              </w:rPr>
              <w:t>cap contracts, net of related</w:t>
            </w: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7"/>
                <w:szCs w:val="17"/>
                <w:color w:val="auto"/>
              </w:rPr>
              <w:t>taxes of $1.4 million</w:t>
            </w: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183"/>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1,742</w:t>
            </w:r>
          </w:p>
        </w:tc>
        <w:tc>
          <w:tcPr>
            <w:tcW w:w="2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1,742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240" w:type="dxa"/>
            <w:vAlign w:val="bottom"/>
            <w:shd w:val="clear" w:color="auto" w:fill="CFF0FC"/>
          </w:tcPr>
          <w:p>
            <w:pPr>
              <w:spacing w:after="0"/>
              <w:rPr>
                <w:sz w:val="20"/>
                <w:szCs w:val="20"/>
                <w:color w:val="auto"/>
              </w:rPr>
            </w:pPr>
            <w:r>
              <w:rPr>
                <w:rFonts w:ascii="Arial" w:cs="Arial" w:eastAsia="Arial" w:hAnsi="Arial"/>
                <w:sz w:val="17"/>
                <w:szCs w:val="17"/>
                <w:color w:val="auto"/>
              </w:rPr>
              <w:t>Amount reclassified into</w:t>
            </w:r>
          </w:p>
        </w:tc>
        <w:tc>
          <w:tcPr>
            <w:tcW w:w="8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240" w:type="dxa"/>
            <w:vAlign w:val="bottom"/>
            <w:shd w:val="clear" w:color="auto" w:fill="CFF0FC"/>
          </w:tcPr>
          <w:p>
            <w:pPr>
              <w:spacing w:after="0"/>
              <w:rPr>
                <w:sz w:val="20"/>
                <w:szCs w:val="20"/>
                <w:color w:val="auto"/>
              </w:rPr>
            </w:pPr>
            <w:r>
              <w:rPr>
                <w:rFonts w:ascii="Arial" w:cs="Arial" w:eastAsia="Arial" w:hAnsi="Arial"/>
                <w:sz w:val="17"/>
                <w:szCs w:val="17"/>
                <w:color w:val="auto"/>
                <w:w w:val="97"/>
              </w:rPr>
              <w:t>earnings, net of related taxes of $2.4 million</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83"/>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3,562</w:t>
            </w: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3,562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7"/>
                <w:szCs w:val="17"/>
                <w:color w:val="auto"/>
              </w:rPr>
              <w:t>Cumulative-effect adjustment</w:t>
            </w: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417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23"/>
              <w:spacing w:after="0"/>
              <w:rPr>
                <w:sz w:val="20"/>
                <w:szCs w:val="20"/>
                <w:color w:val="auto"/>
              </w:rPr>
            </w:pPr>
            <w:r>
              <w:rPr>
                <w:rFonts w:ascii="Arial" w:cs="Arial" w:eastAsia="Arial" w:hAnsi="Arial"/>
                <w:sz w:val="17"/>
                <w:szCs w:val="17"/>
                <w:color w:val="auto"/>
              </w:rPr>
              <w:t>(417)</w:t>
            </w:r>
          </w:p>
        </w:tc>
        <w:tc>
          <w:tcPr>
            <w:tcW w:w="2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32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Balance at February 3, 2018</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78,421,947</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6"/>
              </w:rPr>
              <w:t>$ 1,457,205</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(675,664</w:t>
            </w:r>
          </w:p>
        </w:tc>
        <w:tc>
          <w:tcPr>
            <w:tcW w:w="200" w:type="dxa"/>
            <w:vAlign w:val="bottom"/>
            <w:tcBorders>
              <w:top w:val="single" w:sz="8" w:color="CFF0FC"/>
              <w:bottom w:val="single" w:sz="8" w:color="CFF0FC"/>
            </w:tcBorders>
            <w:shd w:val="clear" w:color="auto" w:fill="CFF0FC"/>
          </w:tcPr>
          <w:p>
            <w:pPr>
              <w:jc w:val="right"/>
              <w:ind w:right="123"/>
              <w:spacing w:after="0"/>
              <w:rPr>
                <w:sz w:val="20"/>
                <w:szCs w:val="20"/>
                <w:color w:val="auto"/>
              </w:rPr>
            </w:pPr>
            <w:r>
              <w:rPr>
                <w:rFonts w:ascii="Arial" w:cs="Arial" w:eastAsia="Arial" w:hAnsi="Arial"/>
                <w:sz w:val="7"/>
                <w:szCs w:val="7"/>
                <w:color w:val="auto"/>
                <w:w w:val="83"/>
              </w:rPr>
              <w:t>)</w:t>
            </w:r>
          </w:p>
        </w:tc>
        <w:tc>
          <w:tcPr>
            <w:tcW w:w="2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7"/>
                <w:szCs w:val="17"/>
                <w:color w:val="auto"/>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(1,887)</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(10,550,222</w:t>
            </w:r>
          </w:p>
        </w:tc>
        <w:tc>
          <w:tcPr>
            <w:tcW w:w="220" w:type="dxa"/>
            <w:vAlign w:val="bottom"/>
            <w:tcBorders>
              <w:top w:val="single" w:sz="8" w:color="CFF0FC"/>
              <w:bottom w:val="single" w:sz="8" w:color="CFF0FC"/>
            </w:tcBorders>
            <w:shd w:val="clear" w:color="auto" w:fill="CFF0FC"/>
          </w:tcPr>
          <w:p>
            <w:pPr>
              <w:jc w:val="right"/>
              <w:ind w:right="8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9"/>
              </w:rPr>
              <w:t>(692,887</w:t>
            </w:r>
          </w:p>
        </w:tc>
        <w:tc>
          <w:tcPr>
            <w:tcW w:w="220" w:type="dxa"/>
            <w:vAlign w:val="bottom"/>
            <w:tcBorders>
              <w:top w:val="single" w:sz="8" w:color="CFF0FC"/>
              <w:bottom w:val="single" w:sz="8" w:color="CFF0FC"/>
            </w:tcBorders>
            <w:shd w:val="clear" w:color="auto" w:fill="CFF0FC"/>
          </w:tcPr>
          <w:p>
            <w:pPr>
              <w:jc w:val="right"/>
              <w:ind w:right="8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86,774</w:t>
            </w: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3" w:name="page54"/>
    <w:bookmarkEnd w:id="53"/>
    <w:p>
      <w:pPr>
        <w:jc w:val="center"/>
        <w:ind w:right="-59"/>
        <w:spacing w:after="0"/>
        <w:rPr>
          <w:sz w:val="20"/>
          <w:szCs w:val="20"/>
          <w:color w:val="auto"/>
        </w:rPr>
      </w:pPr>
      <w:r>
        <w:rPr>
          <w:rFonts w:ascii="Arial" w:cs="Arial" w:eastAsia="Arial" w:hAnsi="Arial"/>
          <w:sz w:val="18"/>
          <w:szCs w:val="18"/>
          <w:b w:val="1"/>
          <w:bCs w:val="1"/>
          <w:color w:val="auto"/>
        </w:rPr>
        <w:t>BURLINGTON STORES,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w:t>
      </w:r>
    </w:p>
    <w:p>
      <w:pPr>
        <w:spacing w:after="0" w:line="117" w:lineRule="exact"/>
        <w:rPr>
          <w:sz w:val="20"/>
          <w:szCs w:val="20"/>
          <w:color w:val="auto"/>
        </w:rPr>
      </w:pPr>
    </w:p>
    <w:p>
      <w:pPr>
        <w:ind w:firstLine="518"/>
        <w:spacing w:after="0" w:line="300" w:lineRule="auto"/>
        <w:rPr>
          <w:sz w:val="20"/>
          <w:szCs w:val="20"/>
          <w:color w:val="auto"/>
        </w:rPr>
      </w:pPr>
      <w:r>
        <w:rPr>
          <w:rFonts w:ascii="Arial" w:cs="Arial" w:eastAsia="Arial" w:hAnsi="Arial"/>
          <w:sz w:val="16"/>
          <w:szCs w:val="16"/>
          <w:color w:val="auto"/>
        </w:rPr>
        <w:t>As of February 3, 2018, Burlington Stores, Inc. and its subsidiaries (collectively, the Company), a Delaware corporation, through its wholly owned indirect subsidiary Burlington Coat Factory Warehouse Corporation (BCFWC), has expanded its store base to 629 retail stores, inclusive of an internet store, in 45 states and Puerto Rico, selling in-season, fashion-focused merchandise, including: women’s ready-to-wear apparel, accessories, footwear, menswear, youth apparel, baby, home, coats, beauty and gifts. As of February 3, 2018, the Company operated stores under the names “Burlington Stores” (614 stores), “Cohoes Fashions” (2 stores), “Super Baby Depot” (2 stores), “MJM Designer Shoes” (10 stores) and one online store. Cohoes Fashions offers products similar to those offered by Burlington Stores. MJM Designer Shoes offers moderately priced designer and fashion shoes. The Super Baby Depot stores offer baby clothing, accessories, furniture and other merchandise in the middle to higher price range. The Company closed its last “Burlington Shoes” store during Fiscal 2017. As of February 3, 2018, eight stores remained temporarily closed as a result of weather-related incidents as discussed below.</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Consolidation and Presentation</w:t>
      </w:r>
    </w:p>
    <w:p>
      <w:pPr>
        <w:spacing w:after="0" w:line="117" w:lineRule="exact"/>
        <w:rPr>
          <w:sz w:val="20"/>
          <w:szCs w:val="20"/>
          <w:color w:val="auto"/>
        </w:rPr>
      </w:pPr>
    </w:p>
    <w:p>
      <w:pPr>
        <w:ind w:right="120" w:firstLine="518"/>
        <w:spacing w:after="0" w:line="264" w:lineRule="auto"/>
        <w:rPr>
          <w:sz w:val="20"/>
          <w:szCs w:val="20"/>
          <w:color w:val="auto"/>
        </w:rPr>
      </w:pPr>
      <w:r>
        <w:rPr>
          <w:rFonts w:ascii="Arial" w:cs="Arial" w:eastAsia="Arial" w:hAnsi="Arial"/>
          <w:sz w:val="18"/>
          <w:szCs w:val="18"/>
          <w:color w:val="auto"/>
        </w:rPr>
        <w:t>The accompanying Consolidated Financial Statements have been prepared in accordance with accounting principles generally accepted in the United States of America (GAAP). The Consolidated Financial Statements include the accounts of Burlington Stores, Inc. and its subsidiaries. All inter-company accounts and transactions have been eliminated in consolidation.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Years</w:t>
      </w:r>
    </w:p>
    <w:p>
      <w:pPr>
        <w:spacing w:after="0" w:line="117"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The Company defines its fiscal year as the 52 or 53 week period ending on the Saturday closest to January 31. The fiscal year ended February 3, 2018 (Fiscal 2017) consisted of 53 weeks, and the fiscal years ended January 28, 2017 (Fiscal 2016) and January 31, 2015 (Fiscal 2015) each consisted of 52 weeks.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ind w:right="160" w:firstLine="518"/>
        <w:spacing w:after="0" w:line="259" w:lineRule="auto"/>
        <w:rPr>
          <w:sz w:val="20"/>
          <w:szCs w:val="20"/>
          <w:color w:val="auto"/>
        </w:rPr>
      </w:pPr>
      <w:r>
        <w:rPr>
          <w:rFonts w:ascii="Arial" w:cs="Arial" w:eastAsia="Arial" w:hAnsi="Arial"/>
          <w:sz w:val="18"/>
          <w:szCs w:val="18"/>
          <w:color w:val="auto"/>
        </w:rPr>
        <w:t>Certain amounts included in the Consolidated Financial Statements are estimated based on historical experience, currently available information and management’s judgment as to the expected outcome of future conditions and circumstances. While every effort is made to ensure the integrity of such estimates, actual results could differ from these estimates, and such differences could have a material impact on the Company’s Consolidated Financial Statements.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Weather-Related Incidents</w:t>
      </w:r>
    </w:p>
    <w:p>
      <w:pPr>
        <w:spacing w:after="0" w:line="225" w:lineRule="exact"/>
        <w:rPr>
          <w:sz w:val="20"/>
          <w:szCs w:val="20"/>
          <w:color w:val="auto"/>
        </w:rPr>
      </w:pPr>
    </w:p>
    <w:p>
      <w:pPr>
        <w:ind w:right="80" w:firstLine="518"/>
        <w:spacing w:after="0" w:line="269" w:lineRule="auto"/>
        <w:rPr>
          <w:sz w:val="20"/>
          <w:szCs w:val="20"/>
          <w:color w:val="auto"/>
        </w:rPr>
      </w:pPr>
      <w:r>
        <w:rPr>
          <w:rFonts w:ascii="Arial" w:cs="Arial" w:eastAsia="Arial" w:hAnsi="Arial"/>
          <w:sz w:val="17"/>
          <w:szCs w:val="17"/>
          <w:color w:val="auto"/>
        </w:rPr>
        <w:t>As a result of the effects of certain weather-related incidents during Fiscal 2017, 82 of the Company’s stores were closed for at least one day. The Company incurred losses of (i) $5.4 million related to the net book values of merchandise inventories and (ii) $17.7 million related to the net book values of property and equipment and other long-lived assets, as well as repair and maintenance costs related to the clean-up of its stores. These costs are recorded in the line items “Cost of sales” and “Selling general and administrative expenses” on the Company’s Consolidated Statement of Income for the year ended February 3, 2018. The Company is insured at the selling price of the inventory and at replacement costs for the property and equipment and other long-lived assets, less a deductible. As of February 3, 2018, the Company received approximately $11.7 million of insurance proceeds to offset some of the losses. The Company allocated $6.0 million of these proceeds to property and equipment, which is included in the line item “Proceeds from insurance recoveries related to property and equipment,” a component of cash flows from investing activities, on the Company’s Consolidated Statements of Cash Flows during the year ended February 3, 2018. In addition, the Company has recorded an $8.9 million receivable to offset these losses as of February 3, 2018, as the collection is deemed probable based on the insurance contracts the Company had in place at the time of the losses, which is included in the line item “Accounts receivable” on our Consolidated Balance Sheets.</w:t>
      </w:r>
    </w:p>
    <w:p>
      <w:pPr>
        <w:spacing w:after="0" w:line="18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54" w:name="page55"/>
    <w:bookmarkEnd w:id="54"/>
    <w:p>
      <w:pPr>
        <w:spacing w:after="0"/>
        <w:rPr>
          <w:sz w:val="20"/>
          <w:szCs w:val="20"/>
          <w:color w:val="auto"/>
        </w:rPr>
      </w:pPr>
      <w:r>
        <w:rPr>
          <w:rFonts w:ascii="Arial" w:cs="Arial" w:eastAsia="Arial" w:hAnsi="Arial"/>
          <w:sz w:val="18"/>
          <w:szCs w:val="18"/>
          <w:i w:val="1"/>
          <w:iCs w:val="1"/>
          <w:color w:val="auto"/>
        </w:rPr>
        <w:t>Secondary Offering</w:t>
      </w:r>
    </w:p>
    <w:p>
      <w:pPr>
        <w:spacing w:after="0" w:line="144" w:lineRule="exact"/>
        <w:rPr>
          <w:sz w:val="20"/>
          <w:szCs w:val="20"/>
          <w:color w:val="auto"/>
        </w:rPr>
      </w:pPr>
    </w:p>
    <w:p>
      <w:pPr>
        <w:ind w:right="20" w:firstLine="518"/>
        <w:spacing w:after="0" w:line="270" w:lineRule="auto"/>
        <w:rPr>
          <w:sz w:val="20"/>
          <w:szCs w:val="20"/>
          <w:color w:val="auto"/>
        </w:rPr>
      </w:pPr>
      <w:r>
        <w:rPr>
          <w:rFonts w:ascii="Arial" w:cs="Arial" w:eastAsia="Arial" w:hAnsi="Arial"/>
          <w:sz w:val="18"/>
          <w:szCs w:val="18"/>
          <w:color w:val="auto"/>
        </w:rPr>
        <w:t>During Fiscal 2015, the Company closed a secondary public offering in which an aggregate of 12,490,154 shares of its common stock were sold by certain of the Company’s stockholders. The Company did not receive any of the proceeds from the secondary offering. The Company incurred $0.2 million in offering costs related to the secondary offering during Fiscal 2015, which are included in the line item “Costs related to debt amendments and secondary offering” on the Company’s Consolidated Statements of Income.</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Cash and cash equivalents represent cash and short-term, highly liquid investments with maturities of three months or less at the time of purchase.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Book cash overdrafts are included in the line item “Accounts payable” on the Company’s Consolidated Balance Sheets.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w:t>
      </w:r>
    </w:p>
    <w:p>
      <w:pPr>
        <w:spacing w:after="0" w:line="117" w:lineRule="exact"/>
        <w:rPr>
          <w:sz w:val="20"/>
          <w:szCs w:val="20"/>
          <w:color w:val="auto"/>
        </w:rPr>
      </w:pPr>
    </w:p>
    <w:p>
      <w:pPr>
        <w:ind w:right="260" w:firstLine="518"/>
        <w:spacing w:after="0" w:line="264" w:lineRule="auto"/>
        <w:rPr>
          <w:sz w:val="20"/>
          <w:szCs w:val="20"/>
          <w:color w:val="auto"/>
        </w:rPr>
      </w:pPr>
      <w:r>
        <w:rPr>
          <w:rFonts w:ascii="Arial" w:cs="Arial" w:eastAsia="Arial" w:hAnsi="Arial"/>
          <w:sz w:val="18"/>
          <w:szCs w:val="18"/>
          <w:color w:val="auto"/>
        </w:rPr>
        <w:t>Accounts receivable consist of credit card receivables, lease incentive receivables, insurance receivables and other receivables. Accounts receivable are recorded at net realizable value, which approximates fair value. The Company provides an allowance for doubtful accounts for amounts deemed uncollectible.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117"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Merchandise inventories are valued at the lower of cost or market, as determined by the retail inventory method. Under the retail inventory method, the valuation of inventories at cost and the resulting gross margins are calculated by applying a calculated cost to retail ratio to the retail value of inventories. The Company regularly records a provision for estimated shortage, thereby reducing the carrying value of merchandise inventory. Complete physical inventories of all of the Company’s stores and warehouses are performed no less frequently than annually, with the recorded amount of merchandise inventory being adjusted to coincide with these physical counts.</w:t>
      </w:r>
    </w:p>
    <w:p>
      <w:pPr>
        <w:spacing w:after="0" w:line="188"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The Company records its cost of merchandise (net of purchase discounts and certain vendor allowances), certain merchandise acquisition costs (primarily commissions and import fees), inbound freight, outbound freight from distribution centers, and freight on internally transferred merchandise in the line item “Cost of sales” in the Company’s Consolidated Statements of Income.</w:t>
      </w:r>
    </w:p>
    <w:p>
      <w:pPr>
        <w:spacing w:after="0" w:line="181" w:lineRule="exact"/>
        <w:rPr>
          <w:sz w:val="20"/>
          <w:szCs w:val="20"/>
          <w:color w:val="auto"/>
        </w:rPr>
      </w:pPr>
    </w:p>
    <w:p>
      <w:pPr>
        <w:ind w:right="100" w:firstLine="518"/>
        <w:spacing w:after="0" w:line="257" w:lineRule="auto"/>
        <w:rPr>
          <w:sz w:val="20"/>
          <w:szCs w:val="20"/>
          <w:color w:val="auto"/>
        </w:rPr>
      </w:pPr>
      <w:r>
        <w:rPr>
          <w:rFonts w:ascii="Arial" w:cs="Arial" w:eastAsia="Arial" w:hAnsi="Arial"/>
          <w:sz w:val="18"/>
          <w:szCs w:val="18"/>
          <w:color w:val="auto"/>
        </w:rPr>
        <w:t>Costs associated with the Company’s distribution, buying, and store receiving functions are included in the line items “Selling, general and administrative expenses” and “Depreciation and amortization” in the Company’s Consolidated Statements of Income. Product sourcing costs included within the line item “Selling, general and administrative expenses” amounted to $283.6 million, $261.0 million and $229.4 million during Fiscal 2017, Fiscal 2016 and Fiscal 2015, respectively. Depreciation and amortization related to the distribution and purchasing functions for the same periods amounted to $26.6 million, $22.6 million and $18.3 million, respectively.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and Equipment</w:t>
      </w:r>
    </w:p>
    <w:p>
      <w:pPr>
        <w:spacing w:after="0" w:line="117" w:lineRule="exact"/>
        <w:rPr>
          <w:sz w:val="20"/>
          <w:szCs w:val="20"/>
          <w:color w:val="auto"/>
        </w:rPr>
      </w:pPr>
    </w:p>
    <w:p>
      <w:pPr>
        <w:ind w:right="40" w:firstLine="518"/>
        <w:spacing w:after="0" w:line="269" w:lineRule="auto"/>
        <w:rPr>
          <w:sz w:val="20"/>
          <w:szCs w:val="20"/>
          <w:color w:val="auto"/>
        </w:rPr>
      </w:pPr>
      <w:r>
        <w:rPr>
          <w:rFonts w:ascii="Arial" w:cs="Arial" w:eastAsia="Arial" w:hAnsi="Arial"/>
          <w:sz w:val="17"/>
          <w:szCs w:val="17"/>
          <w:color w:val="auto"/>
        </w:rPr>
        <w:t xml:space="preserve">Property and equipment are recorded at cost. Depreciation is computed using the straight-line method over the estimated useful lives of the assets, which range from 20 to 40 years for buildings, depending upon the expected useful life of the facility, and three to ten years for store fixtures and equipment. Leasehold improvements are amortized over the lease term, including any reasonably assured renewal options or the expected economic life of the improvement, whichever is less. Repairs and maintenance expenditures are expensed as incurred. Renewals and betterments, which significantly extend the useful lives of existing property and equipment, are capitalized. Assets recorded under capital leases are recorded at the present value of minimum lease payments and are amortized over the lease term. Amortization of assets recorded as capital leases is included in the line item “Depreciation and amortization” in the Company’s Consolidated Statements of Income. The carrying value of all long-lived assets is reviewed for impairment whenever events or changes in circumstances indicate that the carrying value of an asset may not be recoverable, in accordance with ASC Topic No. 360 </w:t>
      </w:r>
      <w:r>
        <w:rPr>
          <w:rFonts w:ascii="Arial" w:cs="Arial" w:eastAsia="Arial" w:hAnsi="Arial"/>
          <w:sz w:val="17"/>
          <w:szCs w:val="17"/>
          <w:i w:val="1"/>
          <w:iCs w:val="1"/>
          <w:color w:val="auto"/>
        </w:rPr>
        <w:t>“</w:t>
      </w:r>
      <w:r>
        <w:rPr>
          <w:rFonts w:ascii="Arial" w:cs="Arial" w:eastAsia="Arial" w:hAnsi="Arial"/>
          <w:sz w:val="17"/>
          <w:szCs w:val="17"/>
          <w:color w:val="auto"/>
        </w:rPr>
        <w:t>Property, Plant, and Equipment” (Topic No. 360). The Company recorded impairment charges related to property and equipment of $1.1 million, $0.8 million and $2.4 million during Fiscal 2017, Fiscal 2016 and Fiscal 2015, respectively. These charges are recorded in the line item “Impairment charges—long-lived assets” in the Company’s Consolidated Statements of Income. Refer to Note 6, “Impairment Charges,” for further discussion of the Company’s measurement of impairment of long-lived assets.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i w:val="1"/>
          <w:iCs w:val="1"/>
          <w:color w:val="auto"/>
        </w:rPr>
        <w:t>Impairment of Long-Lived Assets</w:t>
      </w:r>
    </w:p>
    <w:p>
      <w:pPr>
        <w:spacing w:after="0" w:line="117"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The Company reviews its long-lived assets for impairment whenever events or changes in circumstances indicate that the carrying amount of an asset may not be recoverable. Recoverability of assets held and used is measured by a comparison of the carrying amount of an asset to undiscounted pre-tax future net cash flows expected to be generated by that asset. If the undiscounted future cash flows are not adequate to recover the carrying value of the asset, an impairment charge is recognized for the amount by which the carrying amount of the assets exceeds the fair value of such assets. Refer to Note 6, “Impairment Charges,” for further discussion of the Company’s measurement of impairment of long-lived assets.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Capitalized Computer Software Costs</w:t>
      </w:r>
    </w:p>
    <w:p>
      <w:pPr>
        <w:spacing w:after="0" w:line="117" w:lineRule="exact"/>
        <w:rPr>
          <w:sz w:val="20"/>
          <w:szCs w:val="20"/>
          <w:color w:val="auto"/>
        </w:rPr>
      </w:pPr>
    </w:p>
    <w:p>
      <w:pPr>
        <w:ind w:right="220" w:firstLine="518"/>
        <w:spacing w:after="0" w:line="264" w:lineRule="auto"/>
        <w:rPr>
          <w:sz w:val="20"/>
          <w:szCs w:val="20"/>
          <w:color w:val="auto"/>
        </w:rPr>
      </w:pPr>
      <w:r>
        <w:rPr>
          <w:rFonts w:ascii="Arial" w:cs="Arial" w:eastAsia="Arial" w:hAnsi="Arial"/>
          <w:sz w:val="18"/>
          <w:szCs w:val="18"/>
          <w:color w:val="auto"/>
        </w:rPr>
        <w:t>The Company accounts for capitalized software in accordance with ASC Topic No. 350 “Intangibles—Goodwill and Other” (Topic No. 350) which requires the capitalization of certain costs incurred in connection with developing or obtaining software for internal use. The Company capitalized $19.1 million and $28.2 million relating to these costs during Fiscal 2017 and Fiscal 2016, respectively.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117" w:lineRule="exact"/>
        <w:rPr>
          <w:sz w:val="20"/>
          <w:szCs w:val="20"/>
          <w:color w:val="auto"/>
        </w:rPr>
      </w:pPr>
    </w:p>
    <w:p>
      <w:pPr>
        <w:jc w:val="both"/>
        <w:ind w:right="120" w:firstLine="518"/>
        <w:spacing w:after="0" w:line="276" w:lineRule="auto"/>
        <w:rPr>
          <w:sz w:val="20"/>
          <w:szCs w:val="20"/>
          <w:color w:val="auto"/>
        </w:rPr>
      </w:pPr>
      <w:r>
        <w:rPr>
          <w:rFonts w:ascii="Arial" w:cs="Arial" w:eastAsia="Arial" w:hAnsi="Arial"/>
          <w:sz w:val="17"/>
          <w:szCs w:val="17"/>
          <w:color w:val="auto"/>
        </w:rPr>
        <w:t>The Company accounts for intangible assets in accordance with Topic No. 350. The Company’s intangible assets primarily represent tradenames and favorable lease positions. The tradename asset “Burlington” is expected to generate cash flows indefinitely and, therefore, is accounted for as an indefinite-lived asset not subject to amortization. The values of favorable and unfavorable lease positions are amortized on a straight-line basis over the expected lease terms. Amortization of net favorable lease positions is included in the line item “Depreciation and amortization” in the Company’s Consolidated Statements of Income. The Company evaluates its intangible assets for possible impairment as follows:</w:t>
      </w:r>
    </w:p>
    <w:p>
      <w:pPr>
        <w:spacing w:after="0" w:line="173" w:lineRule="exact"/>
        <w:rPr>
          <w:sz w:val="20"/>
          <w:szCs w:val="20"/>
          <w:color w:val="auto"/>
        </w:rPr>
      </w:pPr>
    </w:p>
    <w:p>
      <w:pPr>
        <w:ind w:right="20" w:firstLine="518"/>
        <w:spacing w:after="0" w:line="293" w:lineRule="auto"/>
        <w:rPr>
          <w:sz w:val="20"/>
          <w:szCs w:val="20"/>
          <w:color w:val="auto"/>
        </w:rPr>
      </w:pPr>
      <w:r>
        <w:rPr>
          <w:rFonts w:ascii="Arial" w:cs="Arial" w:eastAsia="Arial" w:hAnsi="Arial"/>
          <w:sz w:val="16"/>
          <w:szCs w:val="16"/>
          <w:color w:val="auto"/>
        </w:rPr>
        <w:t>Indefinite-lived intangible assets: The Company tests identifiable intangible assets with an indefinite life for impairment on an annual basis, or when a triggering event occurs, relying on a number of factors that include operating results, business plans and projected future cash flows. The impairment test consists of a comparison of the fair value of the indefinite-lived intangible asset with its carrying amount. The Company determines fair value through the relief of royalty method which is a widely accepted valuation technique. In April 2017, the Company’s annual assessment date, the Company performed a quantitative analysis and determined that the fair values of each of the Company’s identifiable intangible assets are greater than their respective carrying values. There were no impairment charges recorded during Fiscal 2017, Fiscal 2016 or Fiscal 2015 related to indefinite-lived intangible assets.</w:t>
      </w:r>
    </w:p>
    <w:p>
      <w:pPr>
        <w:spacing w:after="0" w:line="165" w:lineRule="exact"/>
        <w:rPr>
          <w:sz w:val="20"/>
          <w:szCs w:val="20"/>
          <w:color w:val="auto"/>
        </w:rPr>
      </w:pPr>
    </w:p>
    <w:p>
      <w:pPr>
        <w:ind w:right="100" w:firstLine="518"/>
        <w:spacing w:after="0" w:line="295" w:lineRule="auto"/>
        <w:rPr>
          <w:sz w:val="20"/>
          <w:szCs w:val="20"/>
          <w:color w:val="auto"/>
        </w:rPr>
      </w:pPr>
      <w:r>
        <w:rPr>
          <w:rFonts w:ascii="Arial" w:cs="Arial" w:eastAsia="Arial" w:hAnsi="Arial"/>
          <w:sz w:val="16"/>
          <w:szCs w:val="16"/>
          <w:color w:val="auto"/>
        </w:rPr>
        <w:t>Finite-lived intangible assets: Identifiable intangible assets that are subject to amortization are evaluated for impairment in accordance with Topic No. 360 using a process similar to that used to evaluate other long-lived assets as described in Note 6, “Impairment Charges.” An impairment charge is recognized for the amount by which the carrying value exceeds the fair value of the asset. For the favorable lease positions, if the carrying amount exceeds the estimated expected undiscounted future cash flows, the Company measures the amount of the impairment by comparing the carrying amount of the asset to its fair value. The fair value is estimated by discounting expected future cash flows using the Company’s risk adjusted rate of interest. The Company recorded impairment charges of $0.8 million, $1.6 million and $3.3 million related to finite-lived intangible assets during Fiscal 2017, Fiscal 2016 and Fiscal 2015, respectively. These charges are recorded in the line item “Impairment charges–long-lived assets” in the Company’s Consolidated Statements of Income. Refer to Note 6, “Impairment Charges,” for further discussion of the Company’s measurement of impairment of long-lived assets.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17" w:lineRule="exact"/>
        <w:rPr>
          <w:sz w:val="20"/>
          <w:szCs w:val="20"/>
          <w:color w:val="auto"/>
        </w:rPr>
      </w:pPr>
    </w:p>
    <w:p>
      <w:pPr>
        <w:ind w:right="20" w:firstLine="518"/>
        <w:spacing w:after="0" w:line="290" w:lineRule="auto"/>
        <w:rPr>
          <w:sz w:val="20"/>
          <w:szCs w:val="20"/>
          <w:color w:val="auto"/>
        </w:rPr>
      </w:pPr>
      <w:r>
        <w:rPr>
          <w:rFonts w:ascii="Arial" w:cs="Arial" w:eastAsia="Arial" w:hAnsi="Arial"/>
          <w:sz w:val="16"/>
          <w:szCs w:val="16"/>
          <w:color w:val="auto"/>
        </w:rPr>
        <w:t>Goodwill represents the excess of the acquisition cost over the estimated fair value of tangible assets and other identifiable intangible assets acquired less liabilities assumed. Topic No. 350 requires a comparison, at least annually, of the carrying value of the assets and liabilities associated with a reporting unit, including goodwill, with the fair value of the reporting unit. The Company determines fair value through multiple widely accepted valuation techniques. These techniques use a variety of assumptions including projected market conditions, discount rates and future cash flows. If the carrying value of the assets and liabilities exceeds the fair value of the reporting unit, the Company would calculate the implied fair value of its reporting unit goodwill as compared with the carrying value of its reporting unit goodwill to determine the appropriate impairment charge. On the first business day of the second quarter, the Company’s annual assessment date, the Company performed a quantitative analysis and determined that the fair value of the Company’s reporting unit was greater than its carrying value. There were no impairment charges related to goodwill during Fiscal 2017, Fiscal 2016 or Fiscal 2015.</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65" w:right="279" w:bottom="1440" w:gutter="0" w:footer="0" w:header="0"/>
        </w:sectPr>
      </w:pPr>
    </w:p>
    <w:bookmarkStart w:id="56" w:name="page57"/>
    <w:bookmarkEnd w:id="56"/>
    <w:p>
      <w:pPr>
        <w:spacing w:after="0"/>
        <w:rPr>
          <w:sz w:val="20"/>
          <w:szCs w:val="20"/>
          <w:color w:val="auto"/>
        </w:rPr>
      </w:pPr>
      <w:r>
        <w:rPr>
          <w:rFonts w:ascii="Arial" w:cs="Arial" w:eastAsia="Arial" w:hAnsi="Arial"/>
          <w:sz w:val="18"/>
          <w:szCs w:val="18"/>
          <w:i w:val="1"/>
          <w:iCs w:val="1"/>
          <w:color w:val="auto"/>
        </w:rPr>
        <w:t>Other Assets</w:t>
      </w:r>
    </w:p>
    <w:p>
      <w:pPr>
        <w:spacing w:after="0" w:line="117" w:lineRule="exact"/>
        <w:rPr>
          <w:sz w:val="20"/>
          <w:szCs w:val="20"/>
          <w:color w:val="auto"/>
        </w:rPr>
      </w:pPr>
    </w:p>
    <w:p>
      <w:pPr>
        <w:ind w:firstLine="518"/>
        <w:spacing w:after="0" w:line="287" w:lineRule="auto"/>
        <w:rPr>
          <w:sz w:val="20"/>
          <w:szCs w:val="20"/>
          <w:color w:val="auto"/>
        </w:rPr>
      </w:pPr>
      <w:r>
        <w:rPr>
          <w:rFonts w:ascii="Arial" w:cs="Arial" w:eastAsia="Arial" w:hAnsi="Arial"/>
          <w:sz w:val="16"/>
          <w:szCs w:val="16"/>
          <w:color w:val="auto"/>
        </w:rPr>
        <w:t>Other assets consist primarily of landlord-owned store assets that the Company has paid for as part of its lease, deferred financing costs associated with the Company’s senior secured asset-based revolving credit facility (the ABL Line of Credit) and purchased lease rights. Landlord-owned assets represent leasehold improvements at certain stores for which the Company has paid, but the landlord has retained title. These assets are amortized over the lease term inclusive of reasonably assured renewal options. Amortization of landlord-owned assets was $14.5 million, and was included in the line item “Depreciation and amortization” in the Company’s Consolidated Statements of Income. Deferred financing costs are amortized over the life of the ABL Line of Credit using the interest method of amortization. Amortization of deferred financing costs is recorded in the line item “Interest expense” in the Company’s Consolidated Statements of Income. Purchased lease rights are amortized over the lease term inclusive of reasonably assured renewal options and the amortization is recorded in the line item “Selling, general and administrative expenses” in the Company’s Consolidated Statements of Income. Both landlord-owned assets and purchased lease rights are assessed for impairment in accordance with Topic No. 360. During Fiscal 2017, Fiscal 2016 and Fiscal 2015, the Company recorded impairment charges of $0.2 million, $0.1 million and $0.4 million, respectively, related to purchased lease rights and landlord-owned assets. These charges are recorded in the line item “Impairment charges–long-lived assets” in the Company’s Consolidated Statements of Income. Refer to Note 6, “Impairment Charges,” for further discussion of the Company’s measurement of impairment of long-lived assets.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Current Liabilities</w:t>
      </w:r>
    </w:p>
    <w:p>
      <w:pPr>
        <w:spacing w:after="0" w:line="117" w:lineRule="exact"/>
        <w:rPr>
          <w:sz w:val="20"/>
          <w:szCs w:val="20"/>
          <w:color w:val="auto"/>
        </w:rPr>
      </w:pPr>
    </w:p>
    <w:p>
      <w:pPr>
        <w:jc w:val="both"/>
        <w:ind w:right="320" w:firstLine="518"/>
        <w:spacing w:after="0" w:line="264" w:lineRule="auto"/>
        <w:rPr>
          <w:sz w:val="20"/>
          <w:szCs w:val="20"/>
          <w:color w:val="auto"/>
        </w:rPr>
      </w:pPr>
      <w:r>
        <w:rPr>
          <w:rFonts w:ascii="Arial" w:cs="Arial" w:eastAsia="Arial" w:hAnsi="Arial"/>
          <w:sz w:val="18"/>
          <w:szCs w:val="18"/>
          <w:color w:val="auto"/>
        </w:rPr>
        <w:t>Other current liabilities primarily consist of sales tax payable, customer liabilities, accrued payroll costs, self-insurance reserves, accrued operating expenses, payroll taxes payable, current portion of straight line rent liability and other miscellaneous items. Customer liabilities totaled $34.6 million and $33.2 million as of February 3, 2018 and January 28, 2017, respectively.</w:t>
      </w:r>
    </w:p>
    <w:p>
      <w:pPr>
        <w:spacing w:after="0" w:line="181"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The Company has risk participation agreements with insurance carriers with respect to workers’ compensation, general liability insurance and health insurance. Pursuant to these arrangements, the Company is responsible for paying individual claims up to designated dollar limits. The amounts related to these claims are estimated and can vary based on changes in assumptions or claims experience included in the associated insurance programs. An increase in workers’ compensation claims, health insurance claims or general liability claims may result in a corresponding increase in costs related to these claims. Self-insurance reserves as of February 3, 2018 and January 28, 2017 were:</w:t>
      </w:r>
    </w:p>
    <w:p>
      <w:pPr>
        <w:spacing w:after="0" w:line="265" w:lineRule="exact"/>
        <w:rPr>
          <w:sz w:val="20"/>
          <w:szCs w:val="20"/>
          <w:color w:val="auto"/>
        </w:rPr>
      </w:pPr>
    </w:p>
    <w:tbl>
      <w:tblPr>
        <w:tblLayout w:type="fixed"/>
        <w:tblInd w:w="1720" w:type="dxa"/>
        <w:tblCellMar>
          <w:top w:w="0" w:type="dxa"/>
          <w:left w:w="0" w:type="dxa"/>
          <w:bottom w:w="0" w:type="dxa"/>
          <w:right w:w="0" w:type="dxa"/>
        </w:tblCellMar>
      </w:tblPr>
      <w:tr>
        <w:trPr>
          <w:trHeight w:val="167"/>
        </w:trPr>
        <w:tc>
          <w:tcPr>
            <w:tcW w:w="5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80" w:type="dxa"/>
            <w:vAlign w:val="bottom"/>
            <w:gridSpan w:val="5"/>
          </w:tcPr>
          <w:p>
            <w:pPr>
              <w:ind w:left="660"/>
              <w:spacing w:after="0"/>
              <w:rPr>
                <w:sz w:val="20"/>
                <w:szCs w:val="20"/>
                <w:color w:val="auto"/>
              </w:rPr>
            </w:pPr>
            <w:r>
              <w:rPr>
                <w:rFonts w:ascii="Arial" w:cs="Arial" w:eastAsia="Arial" w:hAnsi="Arial"/>
                <w:sz w:val="14"/>
                <w:szCs w:val="14"/>
                <w:b w:val="1"/>
                <w:bCs w:val="1"/>
                <w:i w:val="1"/>
                <w:iCs w:val="1"/>
                <w:color w:val="auto"/>
              </w:rPr>
              <w:t>(in thousands)</w:t>
            </w:r>
          </w:p>
        </w:tc>
      </w:tr>
      <w:tr>
        <w:trPr>
          <w:trHeight w:val="156"/>
        </w:trPr>
        <w:tc>
          <w:tcPr>
            <w:tcW w:w="546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2320" w:type="dxa"/>
            <w:vAlign w:val="bottom"/>
            <w:tcBorders>
              <w:top w:val="single" w:sz="8" w:color="auto"/>
              <w:bottom w:val="single" w:sz="8" w:color="auto"/>
            </w:tcBorders>
            <w:gridSpan w:val="4"/>
          </w:tcPr>
          <w:p>
            <w:pPr>
              <w:ind w:left="500"/>
              <w:spacing w:after="0" w:line="155" w:lineRule="exact"/>
              <w:rPr>
                <w:sz w:val="20"/>
                <w:szCs w:val="20"/>
                <w:color w:val="auto"/>
              </w:rPr>
            </w:pPr>
            <w:r>
              <w:rPr>
                <w:rFonts w:ascii="Arial" w:cs="Arial" w:eastAsia="Arial" w:hAnsi="Arial"/>
                <w:sz w:val="14"/>
                <w:szCs w:val="14"/>
                <w:b w:val="1"/>
                <w:bCs w:val="1"/>
                <w:color w:val="auto"/>
              </w:rPr>
              <w:t>Fiscal Years Ended</w:t>
            </w:r>
          </w:p>
        </w:tc>
        <w:tc>
          <w:tcPr>
            <w:tcW w:w="60" w:type="dxa"/>
            <w:vAlign w:val="bottom"/>
          </w:tcPr>
          <w:p>
            <w:pPr>
              <w:spacing w:after="0"/>
              <w:rPr>
                <w:sz w:val="13"/>
                <w:szCs w:val="13"/>
                <w:color w:val="auto"/>
              </w:rPr>
            </w:pPr>
          </w:p>
        </w:tc>
      </w:tr>
      <w:tr>
        <w:trPr>
          <w:trHeight w:val="133"/>
        </w:trPr>
        <w:tc>
          <w:tcPr>
            <w:tcW w:w="5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ind w:left="60"/>
              <w:spacing w:after="0" w:line="133" w:lineRule="exact"/>
              <w:rPr>
                <w:sz w:val="20"/>
                <w:szCs w:val="20"/>
                <w:color w:val="auto"/>
              </w:rPr>
            </w:pPr>
            <w:r>
              <w:rPr>
                <w:rFonts w:ascii="Arial" w:cs="Arial" w:eastAsia="Arial" w:hAnsi="Arial"/>
                <w:sz w:val="14"/>
                <w:szCs w:val="14"/>
                <w:b w:val="1"/>
                <w:bCs w:val="1"/>
                <w:color w:val="auto"/>
              </w:rPr>
              <w:t>February 3,</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jc w:val="right"/>
              <w:ind w:right="137"/>
              <w:spacing w:after="0" w:line="133" w:lineRule="exact"/>
              <w:rPr>
                <w:sz w:val="20"/>
                <w:szCs w:val="20"/>
                <w:color w:val="auto"/>
              </w:rPr>
            </w:pPr>
            <w:r>
              <w:rPr>
                <w:rFonts w:ascii="Arial" w:cs="Arial" w:eastAsia="Arial" w:hAnsi="Arial"/>
                <w:sz w:val="14"/>
                <w:szCs w:val="14"/>
                <w:b w:val="1"/>
                <w:bCs w:val="1"/>
                <w:color w:val="auto"/>
                <w:w w:val="98"/>
              </w:rPr>
              <w:t>January 28,</w:t>
            </w:r>
          </w:p>
        </w:tc>
        <w:tc>
          <w:tcPr>
            <w:tcW w:w="60" w:type="dxa"/>
            <w:vAlign w:val="bottom"/>
          </w:tcPr>
          <w:p>
            <w:pPr>
              <w:spacing w:after="0"/>
              <w:rPr>
                <w:sz w:val="11"/>
                <w:szCs w:val="11"/>
                <w:color w:val="auto"/>
              </w:rPr>
            </w:pPr>
          </w:p>
        </w:tc>
      </w:tr>
      <w:tr>
        <w:trPr>
          <w:trHeight w:val="171"/>
        </w:trPr>
        <w:tc>
          <w:tcPr>
            <w:tcW w:w="546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FF0FC"/>
            </w:tcBorders>
          </w:tcPr>
          <w:p>
            <w:pPr>
              <w:spacing w:after="0"/>
              <w:rPr>
                <w:sz w:val="14"/>
                <w:szCs w:val="14"/>
                <w:color w:val="auto"/>
              </w:rPr>
            </w:pPr>
          </w:p>
        </w:tc>
      </w:tr>
      <w:tr>
        <w:trPr>
          <w:trHeight w:val="223"/>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Short-term self-insurance reserve(a)</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ind w:left="480"/>
              <w:spacing w:after="0"/>
              <w:rPr>
                <w:sz w:val="20"/>
                <w:szCs w:val="20"/>
                <w:color w:val="auto"/>
              </w:rPr>
            </w:pPr>
            <w:r>
              <w:rPr>
                <w:rFonts w:ascii="Arial" w:cs="Arial" w:eastAsia="Arial" w:hAnsi="Arial"/>
                <w:sz w:val="18"/>
                <w:szCs w:val="18"/>
                <w:color w:val="auto"/>
                <w:w w:val="90"/>
              </w:rPr>
              <w:t>26,652</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28,569</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Long-term self-insurance reserve(b)</w:t>
            </w: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w w:val="90"/>
              </w:rPr>
              <w:t>38,255</w:t>
            </w: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41,404</w:t>
            </w:r>
          </w:p>
        </w:tc>
        <w:tc>
          <w:tcPr>
            <w:tcW w:w="60" w:type="dxa"/>
            <w:vAlign w:val="bottom"/>
            <w:tcBorders>
              <w:bottom w:val="single" w:sz="8" w:color="CFF0FC"/>
            </w:tcBorders>
          </w:tcPr>
          <w:p>
            <w:pPr>
              <w:spacing w:after="0"/>
              <w:rPr>
                <w:sz w:val="19"/>
                <w:szCs w:val="19"/>
                <w:color w:val="auto"/>
              </w:rPr>
            </w:pPr>
          </w:p>
        </w:tc>
      </w:tr>
      <w:tr>
        <w:trPr>
          <w:trHeight w:val="223"/>
        </w:trPr>
        <w:tc>
          <w:tcPr>
            <w:tcW w:w="546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ind w:left="480"/>
              <w:spacing w:after="0"/>
              <w:rPr>
                <w:sz w:val="20"/>
                <w:szCs w:val="20"/>
                <w:color w:val="auto"/>
              </w:rPr>
            </w:pPr>
            <w:r>
              <w:rPr>
                <w:rFonts w:ascii="Arial" w:cs="Arial" w:eastAsia="Arial" w:hAnsi="Arial"/>
                <w:sz w:val="18"/>
                <w:szCs w:val="18"/>
                <w:color w:val="auto"/>
                <w:w w:val="90"/>
              </w:rPr>
              <w:t>64,907</w:t>
            </w:r>
          </w:p>
        </w:tc>
        <w:tc>
          <w:tcPr>
            <w:tcW w:w="1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69,973</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right="520" w:hanging="512"/>
        <w:spacing w:after="0" w:line="258" w:lineRule="auto"/>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Represents the portions of the self-insurance reserve expected to be paid in the next twelve months, which were recorded in the line item “Other current liabilities” in the Company’s Consolidated Balance Sheets.</w:t>
      </w:r>
    </w:p>
    <w:p>
      <w:pPr>
        <w:spacing w:after="0" w:line="1" w:lineRule="exact"/>
        <w:rPr>
          <w:rFonts w:ascii="Arial" w:cs="Arial" w:eastAsia="Arial" w:hAnsi="Arial"/>
          <w:sz w:val="18"/>
          <w:szCs w:val="18"/>
          <w:color w:val="auto"/>
        </w:rPr>
      </w:pPr>
    </w:p>
    <w:p>
      <w:pPr>
        <w:ind w:left="520" w:right="500" w:hanging="512"/>
        <w:spacing w:after="0" w:line="261" w:lineRule="auto"/>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Represents the portions of the self-insurance reserve expected to be paid in excess of twelve months, which was recorded in the line item “Other liabilities” in the Company’s Consolidated Balance Sheets.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Liabilities</w:t>
      </w:r>
    </w:p>
    <w:p>
      <w:pPr>
        <w:spacing w:after="0" w:line="117" w:lineRule="exact"/>
        <w:rPr>
          <w:sz w:val="20"/>
          <w:szCs w:val="20"/>
          <w:color w:val="auto"/>
        </w:rPr>
      </w:pPr>
    </w:p>
    <w:p>
      <w:pPr>
        <w:jc w:val="both"/>
        <w:ind w:right="100" w:firstLine="518"/>
        <w:spacing w:after="0" w:line="264" w:lineRule="auto"/>
        <w:rPr>
          <w:sz w:val="20"/>
          <w:szCs w:val="20"/>
          <w:color w:val="auto"/>
        </w:rPr>
      </w:pPr>
      <w:r>
        <w:rPr>
          <w:rFonts w:ascii="Arial" w:cs="Arial" w:eastAsia="Arial" w:hAnsi="Arial"/>
          <w:sz w:val="18"/>
          <w:szCs w:val="18"/>
          <w:color w:val="auto"/>
        </w:rPr>
        <w:t>Other liabilities primarily consist of deferred lease incentives, the long term portion of self-insurance reserves, the excess of straight-line rent expense over actual rental payments and tax liabilities associated with the uncertain tax positions recognized by the Company in accordance with ASC Topic No. 740 “Income Taxes” (Topic No. 740).</w:t>
      </w:r>
    </w:p>
    <w:p>
      <w:pPr>
        <w:spacing w:after="0" w:line="181"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Deferred lease incentives are funds received or receivable from landlords used primarily to offset the costs incurred for remodeling of stores. These deferred lease incentives are amortized over the expected lease term, including rent holiday periods and option periods where the exercise of the option can be reasonably assured. Amortization of deferred lease incentives is included in the line item “Selling, general and administrative expenses” on the Company’s Consolidated Statements of Income. At February 3, 2018 and January 28, 2017, deferred lease incentives were $206.0 million and $180.9 million, respectively.</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The Company records revenue at the time of sale and delivery of merchandise, net of allowances for estimated future returns. The Company presents sales, net of sales taxes, in its Consolidated Statements of Income. The Company accounts for layaway sales and leased department revenue in compliance with ASC Topic No. 605 “Revenue Recognition” (Topic No. 605). Layaway sales are recognized upon delivery of merchandise to the customer. The amount of cash received upon initiation of the layaway is recorded as a deposit liability in the line item “Other current liabilities” in the Company’s Consolidated Balance Sheets. Store value cards (gift cards and store credits issued for merchandise returns) are recorded as a liability at the time of issuance, and the related sale is recorded upon redemption.</w:t>
      </w:r>
    </w:p>
    <w:p>
      <w:pPr>
        <w:spacing w:after="0" w:line="193" w:lineRule="exact"/>
        <w:rPr>
          <w:sz w:val="20"/>
          <w:szCs w:val="20"/>
          <w:color w:val="auto"/>
        </w:rPr>
      </w:pPr>
    </w:p>
    <w:p>
      <w:pPr>
        <w:ind w:right="460" w:firstLine="518"/>
        <w:spacing w:after="0" w:line="342" w:lineRule="auto"/>
        <w:rPr>
          <w:sz w:val="20"/>
          <w:szCs w:val="20"/>
          <w:color w:val="auto"/>
        </w:rPr>
      </w:pPr>
      <w:r>
        <w:rPr>
          <w:rFonts w:ascii="Arial" w:cs="Arial" w:eastAsia="Arial" w:hAnsi="Arial"/>
          <w:sz w:val="16"/>
          <w:szCs w:val="16"/>
          <w:color w:val="auto"/>
        </w:rPr>
        <w:t>The Company determines an estimated store value card breakage rate by continuously evaluating historical redemption data. Breakage income is recognized monthly in proportion to the historical redemption patterns for those store value cards for which the likelihood of redemption is remote.</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w:t>
      </w:r>
    </w:p>
    <w:p>
      <w:pPr>
        <w:spacing w:after="0" w:line="117"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Other revenue consists of service fees (layaway, shipping and handling, alteration, dormancy and other service charges), subleased rental income and rental income from leased departments as shown in the table below:</w:t>
      </w:r>
    </w:p>
    <w:p>
      <w:pPr>
        <w:spacing w:after="0" w:line="247" w:lineRule="exact"/>
        <w:rPr>
          <w:sz w:val="20"/>
          <w:szCs w:val="20"/>
          <w:color w:val="auto"/>
        </w:rPr>
      </w:pPr>
    </w:p>
    <w:tbl>
      <w:tblPr>
        <w:tblLayout w:type="fixed"/>
        <w:tblInd w:w="11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i w:val="1"/>
                <w:iCs w:val="1"/>
                <w:color w:val="auto"/>
                <w:w w:val="89"/>
              </w:rPr>
              <w:t>(in thousands)</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53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4"/>
          </w:tcPr>
          <w:p>
            <w:pPr>
              <w:jc w:val="center"/>
              <w:spacing w:after="0" w:line="155" w:lineRule="exact"/>
              <w:rPr>
                <w:sz w:val="20"/>
                <w:szCs w:val="20"/>
                <w:color w:val="auto"/>
              </w:rPr>
            </w:pPr>
            <w:r>
              <w:rPr>
                <w:rFonts w:ascii="Arial" w:cs="Arial" w:eastAsia="Arial" w:hAnsi="Arial"/>
                <w:sz w:val="14"/>
                <w:szCs w:val="14"/>
                <w:b w:val="1"/>
                <w:bCs w:val="1"/>
                <w:color w:val="auto"/>
                <w:w w:val="90"/>
              </w:rPr>
              <w:t>Fiscal Years Ended</w:t>
            </w: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33"/>
        </w:trPr>
        <w:tc>
          <w:tcPr>
            <w:tcW w:w="20" w:type="dxa"/>
            <w:vAlign w:val="bottom"/>
          </w:tcPr>
          <w:p>
            <w:pPr>
              <w:spacing w:after="0"/>
              <w:rPr>
                <w:sz w:val="11"/>
                <w:szCs w:val="11"/>
                <w:color w:val="auto"/>
              </w:rPr>
            </w:pPr>
          </w:p>
        </w:tc>
        <w:tc>
          <w:tcPr>
            <w:tcW w:w="5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right"/>
              <w:ind w:right="96"/>
              <w:spacing w:after="0" w:line="133" w:lineRule="exact"/>
              <w:rPr>
                <w:sz w:val="20"/>
                <w:szCs w:val="20"/>
                <w:color w:val="auto"/>
              </w:rPr>
            </w:pPr>
            <w:r>
              <w:rPr>
                <w:rFonts w:ascii="Arial" w:cs="Arial" w:eastAsia="Arial" w:hAnsi="Arial"/>
                <w:sz w:val="14"/>
                <w:szCs w:val="14"/>
                <w:b w:val="1"/>
                <w:bCs w:val="1"/>
                <w:color w:val="auto"/>
              </w:rPr>
              <w:t>February 3,</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93"/>
              </w:rPr>
              <w:t>January 28,</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right"/>
              <w:ind w:right="116"/>
              <w:spacing w:after="0" w:line="133" w:lineRule="exact"/>
              <w:rPr>
                <w:sz w:val="20"/>
                <w:szCs w:val="20"/>
                <w:color w:val="auto"/>
              </w:rPr>
            </w:pPr>
            <w:r>
              <w:rPr>
                <w:rFonts w:ascii="Arial" w:cs="Arial" w:eastAsia="Arial" w:hAnsi="Arial"/>
                <w:sz w:val="14"/>
                <w:szCs w:val="14"/>
                <w:b w:val="1"/>
                <w:bCs w:val="1"/>
                <w:color w:val="auto"/>
                <w:w w:val="95"/>
              </w:rPr>
              <w:t>January 30,</w:t>
            </w:r>
          </w:p>
        </w:tc>
        <w:tc>
          <w:tcPr>
            <w:tcW w:w="80" w:type="dxa"/>
            <w:vAlign w:val="bottom"/>
          </w:tcPr>
          <w:p>
            <w:pPr>
              <w:spacing w:after="0"/>
              <w:rPr>
                <w:sz w:val="11"/>
                <w:szCs w:val="11"/>
                <w:color w:val="auto"/>
              </w:rPr>
            </w:pPr>
          </w:p>
        </w:tc>
      </w:tr>
      <w:tr>
        <w:trPr>
          <w:trHeight w:val="171"/>
        </w:trPr>
        <w:tc>
          <w:tcPr>
            <w:tcW w:w="20" w:type="dxa"/>
            <w:vAlign w:val="bottom"/>
          </w:tcPr>
          <w:p>
            <w:pPr>
              <w:spacing w:after="0"/>
              <w:rPr>
                <w:sz w:val="14"/>
                <w:szCs w:val="14"/>
                <w:color w:val="auto"/>
              </w:rPr>
            </w:pPr>
          </w:p>
        </w:tc>
        <w:tc>
          <w:tcPr>
            <w:tcW w:w="53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89"/>
              </w:rPr>
              <w:t>2017</w:t>
            </w:r>
          </w:p>
        </w:tc>
        <w:tc>
          <w:tcPr>
            <w:tcW w:w="20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FF0FC"/>
            </w:tcBorders>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Service fees</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16,207</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15,779</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14,782</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Subleased rental income and other</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8,846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8,720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8,681</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Rental income from leased departments</w:t>
            </w:r>
          </w:p>
        </w:tc>
        <w:tc>
          <w:tcPr>
            <w:tcW w:w="1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224</w:t>
            </w: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413</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7,448</w:t>
            </w:r>
          </w:p>
        </w:tc>
        <w:tc>
          <w:tcPr>
            <w:tcW w:w="8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380" w:type="dxa"/>
            <w:vAlign w:val="bottom"/>
          </w:tcPr>
          <w:p>
            <w:pPr>
              <w:ind w:left="240"/>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25,277</w:t>
            </w:r>
          </w:p>
        </w:tc>
        <w:tc>
          <w:tcPr>
            <w:tcW w:w="2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24,912</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30,911</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right="80" w:firstLine="518"/>
        <w:spacing w:after="0" w:line="273" w:lineRule="auto"/>
        <w:rPr>
          <w:sz w:val="20"/>
          <w:szCs w:val="20"/>
          <w:color w:val="auto"/>
        </w:rPr>
      </w:pPr>
      <w:r>
        <w:rPr>
          <w:rFonts w:ascii="Arial" w:cs="Arial" w:eastAsia="Arial" w:hAnsi="Arial"/>
          <w:sz w:val="17"/>
          <w:szCs w:val="17"/>
          <w:color w:val="auto"/>
        </w:rPr>
        <w:t>Rental income from leased departments results from arrangements at some of the Company’s stores where the Company granted unaffiliated third parties the right to use designated store space solely for the purpose of selling such third parties’ goods, including such items as fragrances and designer handbags. Rental income is based on an agreed upon percentage of the lease departments’ total revenues. The Company does not own or have any rights to any tradenames, licenses or other intellectual property in connection with the brands sold by such unaffiliated third parties. During Fiscal 2015, the Company began the conversion of its fragrance business, which was previously operated under a licensing arrangement, to an owned category, and such sales are recorded in the line item “Net sales” in our Consolidated Statements of Income.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Advertising Costs</w:t>
      </w:r>
    </w:p>
    <w:p>
      <w:pPr>
        <w:spacing w:after="0" w:line="117" w:lineRule="exact"/>
        <w:rPr>
          <w:sz w:val="20"/>
          <w:szCs w:val="20"/>
          <w:color w:val="auto"/>
        </w:rPr>
      </w:pPr>
    </w:p>
    <w:p>
      <w:pPr>
        <w:ind w:right="40" w:firstLine="518"/>
        <w:spacing w:after="0" w:line="312" w:lineRule="auto"/>
        <w:rPr>
          <w:sz w:val="20"/>
          <w:szCs w:val="20"/>
          <w:color w:val="auto"/>
        </w:rPr>
      </w:pPr>
      <w:r>
        <w:rPr>
          <w:rFonts w:ascii="Arial" w:cs="Arial" w:eastAsia="Arial" w:hAnsi="Arial"/>
          <w:sz w:val="16"/>
          <w:szCs w:val="16"/>
          <w:color w:val="auto"/>
        </w:rPr>
        <w:t>The Company’s advertising costs consist primarily of national television, direct mail and digital costs. Advertising costs are expensed the first time the advertising takes place, and are included in the line item “Selling, general and administrative expenses” on the Company’s Consolidated Statements of Income. During Fiscal 2017, Fiscal 2016 and Fiscal 2015, net advertising costs were $82.3 million, $81.8 million and $84.7 million, respectively.</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Barter Transactions</w:t>
      </w:r>
    </w:p>
    <w:p>
      <w:pPr>
        <w:spacing w:after="0" w:line="117"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The Company accounts for barter transactions under ASC Topic No. 845 “Nonmonetary Transactions.” Barter transactions with commercial substance are recorded at the estimated fair value of the products exchanged, unless the products received have a more readily determinable estimated fair value. Revenue associated with barter transactions is recorded at the time of the exchange of the related assets.</w:t>
      </w:r>
    </w:p>
    <w:p>
      <w:pPr>
        <w:spacing w:after="0" w:line="73" w:lineRule="exact"/>
        <w:rPr>
          <w:sz w:val="20"/>
          <w:szCs w:val="20"/>
          <w:color w:val="auto"/>
        </w:rPr>
      </w:pPr>
    </w:p>
    <w:p>
      <w:pPr>
        <w:ind w:right="160" w:firstLine="518"/>
        <w:spacing w:after="0" w:line="302" w:lineRule="auto"/>
        <w:rPr>
          <w:sz w:val="20"/>
          <w:szCs w:val="20"/>
          <w:color w:val="auto"/>
        </w:rPr>
      </w:pPr>
      <w:r>
        <w:rPr>
          <w:rFonts w:ascii="Arial" w:cs="Arial" w:eastAsia="Arial" w:hAnsi="Arial"/>
          <w:sz w:val="16"/>
          <w:szCs w:val="16"/>
          <w:color w:val="auto"/>
        </w:rPr>
        <w:t>There were no barter transactions during Fiscal 2017. During Fiscal 2016 and Fiscal 2015, the Company exchanged $0.6 million and $0.1 million, respectively, of inventory for certain advertising credits. To account for the exchange, the Company recorded “Net sales” and “Cost of sales” of $0.6 million and $0.1 million in the Company’s Consolidated Statements of Income during Fiscal 2016 and Fiscal 2015, respectively. The Company has $1.2 million of unused advertising credits remaining as of February 3, 2018 that are expected to be used during the fiscal year ending February 2, 2019 (Fiscal 2018).</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8" w:name="page59"/>
    <w:bookmarkEnd w:id="58"/>
    <w:p>
      <w:pPr>
        <w:ind w:right="220" w:firstLine="518"/>
        <w:spacing w:after="0" w:line="277" w:lineRule="auto"/>
        <w:rPr>
          <w:sz w:val="20"/>
          <w:szCs w:val="20"/>
          <w:color w:val="auto"/>
        </w:rPr>
      </w:pPr>
      <w:r>
        <w:rPr>
          <w:rFonts w:ascii="Arial" w:cs="Arial" w:eastAsia="Arial" w:hAnsi="Arial"/>
          <w:sz w:val="18"/>
          <w:szCs w:val="18"/>
          <w:color w:val="auto"/>
        </w:rPr>
        <w:t>The following table summarizes the prepaid advertising expense which was included in the line items “Prepaid and other current assets” and “Other assets” in the Company’s Consolidated Balance Sheets as of February 3, 2018 and January 28, 2017:</w:t>
      </w:r>
    </w:p>
    <w:p>
      <w:pPr>
        <w:spacing w:after="0" w:line="247" w:lineRule="exact"/>
        <w:rPr>
          <w:sz w:val="20"/>
          <w:szCs w:val="20"/>
          <w:color w:val="auto"/>
        </w:rPr>
      </w:pPr>
    </w:p>
    <w:tbl>
      <w:tblPr>
        <w:tblLayout w:type="fixed"/>
        <w:tblInd w:w="1720" w:type="dxa"/>
        <w:tblCellMar>
          <w:top w:w="0" w:type="dxa"/>
          <w:left w:w="0" w:type="dxa"/>
          <w:bottom w:w="0" w:type="dxa"/>
          <w:right w:w="0" w:type="dxa"/>
        </w:tblCellMar>
      </w:tblPr>
      <w:tr>
        <w:trPr>
          <w:trHeight w:val="167"/>
        </w:trPr>
        <w:tc>
          <w:tcPr>
            <w:tcW w:w="5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80" w:type="dxa"/>
            <w:vAlign w:val="bottom"/>
            <w:gridSpan w:val="5"/>
          </w:tcPr>
          <w:p>
            <w:pPr>
              <w:ind w:left="660"/>
              <w:spacing w:after="0"/>
              <w:rPr>
                <w:sz w:val="20"/>
                <w:szCs w:val="20"/>
                <w:color w:val="auto"/>
              </w:rPr>
            </w:pPr>
            <w:r>
              <w:rPr>
                <w:rFonts w:ascii="Arial" w:cs="Arial" w:eastAsia="Arial" w:hAnsi="Arial"/>
                <w:sz w:val="14"/>
                <w:szCs w:val="14"/>
                <w:b w:val="1"/>
                <w:bCs w:val="1"/>
                <w:i w:val="1"/>
                <w:iCs w:val="1"/>
                <w:color w:val="auto"/>
              </w:rPr>
              <w:t>(in thousands)</w:t>
            </w:r>
          </w:p>
        </w:tc>
      </w:tr>
      <w:tr>
        <w:trPr>
          <w:trHeight w:val="133"/>
        </w:trPr>
        <w:tc>
          <w:tcPr>
            <w:tcW w:w="54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right"/>
              <w:ind w:right="140"/>
              <w:spacing w:after="0" w:line="133" w:lineRule="exact"/>
              <w:rPr>
                <w:sz w:val="20"/>
                <w:szCs w:val="20"/>
                <w:color w:val="auto"/>
              </w:rPr>
            </w:pPr>
            <w:r>
              <w:rPr>
                <w:rFonts w:ascii="Arial" w:cs="Arial" w:eastAsia="Arial" w:hAnsi="Arial"/>
                <w:sz w:val="14"/>
                <w:szCs w:val="14"/>
                <w:b w:val="1"/>
                <w:bCs w:val="1"/>
                <w:color w:val="auto"/>
              </w:rPr>
              <w:t>February 3,</w:t>
            </w:r>
          </w:p>
        </w:tc>
        <w:tc>
          <w:tcPr>
            <w:tcW w:w="1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right"/>
              <w:ind w:right="137"/>
              <w:spacing w:after="0" w:line="133" w:lineRule="exact"/>
              <w:rPr>
                <w:sz w:val="20"/>
                <w:szCs w:val="20"/>
                <w:color w:val="auto"/>
              </w:rPr>
            </w:pPr>
            <w:r>
              <w:rPr>
                <w:rFonts w:ascii="Arial" w:cs="Arial" w:eastAsia="Arial" w:hAnsi="Arial"/>
                <w:sz w:val="14"/>
                <w:szCs w:val="14"/>
                <w:b w:val="1"/>
                <w:bCs w:val="1"/>
                <w:color w:val="auto"/>
                <w:w w:val="98"/>
              </w:rPr>
              <w:t>January 28,</w:t>
            </w:r>
          </w:p>
        </w:tc>
        <w:tc>
          <w:tcPr>
            <w:tcW w:w="60" w:type="dxa"/>
            <w:vAlign w:val="bottom"/>
          </w:tcPr>
          <w:p>
            <w:pPr>
              <w:spacing w:after="0"/>
              <w:rPr>
                <w:sz w:val="11"/>
                <w:szCs w:val="11"/>
                <w:color w:val="auto"/>
              </w:rPr>
            </w:pPr>
          </w:p>
        </w:tc>
      </w:tr>
      <w:tr>
        <w:trPr>
          <w:trHeight w:val="171"/>
        </w:trPr>
        <w:tc>
          <w:tcPr>
            <w:tcW w:w="546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FF0FC"/>
            </w:tcBorders>
          </w:tcPr>
          <w:p>
            <w:pPr>
              <w:spacing w:after="0"/>
              <w:rPr>
                <w:sz w:val="14"/>
                <w:szCs w:val="14"/>
                <w:color w:val="auto"/>
              </w:rPr>
            </w:pPr>
          </w:p>
        </w:tc>
      </w:tr>
      <w:tr>
        <w:trPr>
          <w:trHeight w:val="223"/>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Prepaid and other current assets</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1,183</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2,677</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1,024</w:t>
            </w:r>
          </w:p>
        </w:tc>
        <w:tc>
          <w:tcPr>
            <w:tcW w:w="60" w:type="dxa"/>
            <w:vAlign w:val="bottom"/>
            <w:tcBorders>
              <w:bottom w:val="single" w:sz="8" w:color="CFF0FC"/>
            </w:tcBorders>
          </w:tcPr>
          <w:p>
            <w:pPr>
              <w:spacing w:after="0"/>
              <w:rPr>
                <w:sz w:val="19"/>
                <w:szCs w:val="19"/>
                <w:color w:val="auto"/>
              </w:rPr>
            </w:pPr>
          </w:p>
        </w:tc>
      </w:tr>
      <w:tr>
        <w:trPr>
          <w:trHeight w:val="223"/>
        </w:trPr>
        <w:tc>
          <w:tcPr>
            <w:tcW w:w="54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prepaid advertising expense</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1,183</w:t>
            </w:r>
          </w:p>
        </w:tc>
        <w:tc>
          <w:tcPr>
            <w:tcW w:w="1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3,701</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The following table details barter credit usage for Fiscal 2017, Fiscal 2016 and Fiscal 2015, which are included in the line item “Selling, general and administrative expenses” on the Company’s Consolidated Statements of Income:</w:t>
      </w:r>
    </w:p>
    <w:p>
      <w:pPr>
        <w:spacing w:after="0" w:line="247" w:lineRule="exact"/>
        <w:rPr>
          <w:sz w:val="20"/>
          <w:szCs w:val="20"/>
          <w:color w:val="auto"/>
        </w:rPr>
      </w:pPr>
    </w:p>
    <w:tbl>
      <w:tblPr>
        <w:tblLayout w:type="fixed"/>
        <w:tblInd w:w="11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i w:val="1"/>
                <w:iCs w:val="1"/>
                <w:color w:val="auto"/>
                <w:w w:val="89"/>
              </w:rPr>
              <w:t>(in thousands)</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53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4"/>
          </w:tcPr>
          <w:p>
            <w:pPr>
              <w:jc w:val="center"/>
              <w:ind w:right="40"/>
              <w:spacing w:after="0" w:line="155" w:lineRule="exact"/>
              <w:rPr>
                <w:sz w:val="20"/>
                <w:szCs w:val="20"/>
                <w:color w:val="auto"/>
              </w:rPr>
            </w:pPr>
            <w:r>
              <w:rPr>
                <w:rFonts w:ascii="Arial" w:cs="Arial" w:eastAsia="Arial" w:hAnsi="Arial"/>
                <w:sz w:val="14"/>
                <w:szCs w:val="14"/>
                <w:b w:val="1"/>
                <w:bCs w:val="1"/>
                <w:color w:val="auto"/>
                <w:w w:val="90"/>
              </w:rPr>
              <w:t>Fiscal Years Ended</w:t>
            </w: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33"/>
        </w:trPr>
        <w:tc>
          <w:tcPr>
            <w:tcW w:w="20" w:type="dxa"/>
            <w:vAlign w:val="bottom"/>
          </w:tcPr>
          <w:p>
            <w:pPr>
              <w:spacing w:after="0"/>
              <w:rPr>
                <w:sz w:val="11"/>
                <w:szCs w:val="11"/>
                <w:color w:val="auto"/>
              </w:rPr>
            </w:pPr>
          </w:p>
        </w:tc>
        <w:tc>
          <w:tcPr>
            <w:tcW w:w="5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jc w:val="center"/>
              <w:ind w:right="142"/>
              <w:spacing w:after="0" w:line="133" w:lineRule="exact"/>
              <w:rPr>
                <w:sz w:val="20"/>
                <w:szCs w:val="20"/>
                <w:color w:val="auto"/>
              </w:rPr>
            </w:pPr>
            <w:r>
              <w:rPr>
                <w:rFonts w:ascii="Arial" w:cs="Arial" w:eastAsia="Arial" w:hAnsi="Arial"/>
                <w:sz w:val="14"/>
                <w:szCs w:val="14"/>
                <w:b w:val="1"/>
                <w:bCs w:val="1"/>
                <w:color w:val="auto"/>
              </w:rPr>
              <w:t>February 3,</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w w:val="93"/>
              </w:rPr>
              <w:t>January 28,</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center"/>
              <w:ind w:right="82"/>
              <w:spacing w:after="0" w:line="133" w:lineRule="exact"/>
              <w:rPr>
                <w:sz w:val="20"/>
                <w:szCs w:val="20"/>
                <w:color w:val="auto"/>
              </w:rPr>
            </w:pPr>
            <w:r>
              <w:rPr>
                <w:rFonts w:ascii="Arial" w:cs="Arial" w:eastAsia="Arial" w:hAnsi="Arial"/>
                <w:sz w:val="14"/>
                <w:szCs w:val="14"/>
                <w:b w:val="1"/>
                <w:bCs w:val="1"/>
                <w:color w:val="auto"/>
                <w:w w:val="93"/>
              </w:rPr>
              <w:t>January 30,</w:t>
            </w:r>
          </w:p>
        </w:tc>
        <w:tc>
          <w:tcPr>
            <w:tcW w:w="80" w:type="dxa"/>
            <w:vAlign w:val="bottom"/>
          </w:tcPr>
          <w:p>
            <w:pPr>
              <w:spacing w:after="0"/>
              <w:rPr>
                <w:sz w:val="11"/>
                <w:szCs w:val="11"/>
                <w:color w:val="auto"/>
              </w:rPr>
            </w:pPr>
          </w:p>
        </w:tc>
      </w:tr>
      <w:tr>
        <w:trPr>
          <w:trHeight w:val="171"/>
        </w:trPr>
        <w:tc>
          <w:tcPr>
            <w:tcW w:w="20" w:type="dxa"/>
            <w:vAlign w:val="bottom"/>
          </w:tcPr>
          <w:p>
            <w:pPr>
              <w:spacing w:after="0"/>
              <w:rPr>
                <w:sz w:val="14"/>
                <w:szCs w:val="14"/>
                <w:color w:val="auto"/>
              </w:rPr>
            </w:pPr>
          </w:p>
        </w:tc>
        <w:tc>
          <w:tcPr>
            <w:tcW w:w="536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FF0FC"/>
            </w:tcBorders>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5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Barter credit usage</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ind w:right="22"/>
              <w:spacing w:after="0"/>
              <w:rPr>
                <w:sz w:val="20"/>
                <w:szCs w:val="20"/>
                <w:color w:val="auto"/>
              </w:rPr>
            </w:pPr>
            <w:r>
              <w:rPr>
                <w:rFonts w:ascii="Arial" w:cs="Arial" w:eastAsia="Arial" w:hAnsi="Arial"/>
                <w:sz w:val="18"/>
                <w:szCs w:val="18"/>
                <w:color w:val="auto"/>
              </w:rPr>
              <w:t>2,518</w:t>
            </w: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2,384</w:t>
            </w: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2,551</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The Company accounts for income taxes in accordance with Topic No. 740. Deferred income taxes reflect the impact of temporary differences between amounts of assets and liabilities for financial reporting purposes and such amounts as measured by tax laws. A valuation allowance against the Company’s deferred tax assets is recorded when it is more likely than not that some portion or all of the deferred tax assets will not be realized. In determining the need for a valuation allowance, management is required to make assumptions and to apply judgment, including forecasting future earnings, taxable income, and the mix of earnings in the jurisdictions in which the Company operates. Management periodically assesses the need for a valuation allowance based on the Company’s current and anticipated results of operations. The need for and the amount of a valuation allowance can change in the near term if operating results and projections change significantly.</w:t>
      </w:r>
    </w:p>
    <w:p>
      <w:pPr>
        <w:spacing w:after="0" w:line="189"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Topic No. 740 requires the recognition in the Company’s Consolidated Financial Statements of the impact of a tax position taken or expected to be taken in a tax return, if that position is “more likely than not” of being sustained upon examination by the relevant taxing authority, based on the technical merits of the position. The tax benefits recognized in the Company’s Consolidated Financial Statements from such a position are measured based on the largest benefit that has a greater than fifty percent likelihood of being realized upon ultimate resolution. The Company records interest and penalties related to unrecognized tax benefits as part of income taxes.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Net</w:t>
      </w:r>
    </w:p>
    <w:p>
      <w:pPr>
        <w:spacing w:after="0" w:line="117" w:lineRule="exact"/>
        <w:rPr>
          <w:sz w:val="20"/>
          <w:szCs w:val="20"/>
          <w:color w:val="auto"/>
        </w:rPr>
      </w:pPr>
    </w:p>
    <w:p>
      <w:pPr>
        <w:ind w:right="220" w:firstLine="518"/>
        <w:spacing w:after="0" w:line="259" w:lineRule="auto"/>
        <w:rPr>
          <w:sz w:val="20"/>
          <w:szCs w:val="20"/>
          <w:color w:val="auto"/>
        </w:rPr>
      </w:pPr>
      <w:r>
        <w:rPr>
          <w:rFonts w:ascii="Arial" w:cs="Arial" w:eastAsia="Arial" w:hAnsi="Arial"/>
          <w:sz w:val="18"/>
          <w:szCs w:val="18"/>
          <w:color w:val="auto"/>
        </w:rPr>
        <w:t xml:space="preserve">Other income, net, consists of breakage income, net gains and losses from disposition of fixed assets, investment income gains and losses, and other miscellaneous income items. During Fiscal 2017, Fiscal 2016 and Fiscal 2015, the Company recognized $3.3 </w:t>
      </w:r>
      <w:r>
        <w:rPr>
          <w:rFonts w:ascii="Arial" w:cs="Arial" w:eastAsia="Arial" w:hAnsi="Arial"/>
          <w:sz w:val="17"/>
          <w:szCs w:val="17"/>
          <w:color w:val="auto"/>
        </w:rPr>
        <w:t>million,</w:t>
      </w:r>
      <w:r>
        <w:rPr>
          <w:rFonts w:ascii="Arial" w:cs="Arial" w:eastAsia="Arial" w:hAnsi="Arial"/>
          <w:sz w:val="18"/>
          <w:szCs w:val="18"/>
          <w:color w:val="auto"/>
        </w:rPr>
        <w:t xml:space="preserve"> $3.3 million and $2.9 million, respectively, of breakage income. The Company also recognized$2.5 million during both Fiscal 2017 and Fiscal 2016 related to the sale of certain state tax credits.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Comprehensive Income</w:t>
      </w:r>
    </w:p>
    <w:p>
      <w:pPr>
        <w:spacing w:after="0" w:line="117"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Comprehensive income is comprised of net income, the effective portion of changes in the fair value of derivatives designated and that qualify as cash flow hedges, less amounts reclassified into earnings.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 Accounting</w:t>
      </w:r>
    </w:p>
    <w:p>
      <w:pPr>
        <w:spacing w:after="0" w:line="117" w:lineRule="exact"/>
        <w:rPr>
          <w:sz w:val="20"/>
          <w:szCs w:val="20"/>
          <w:color w:val="auto"/>
        </w:rPr>
      </w:pPr>
    </w:p>
    <w:p>
      <w:pPr>
        <w:ind w:right="20" w:firstLine="518"/>
        <w:spacing w:after="0" w:line="272" w:lineRule="auto"/>
        <w:rPr>
          <w:sz w:val="20"/>
          <w:szCs w:val="20"/>
          <w:color w:val="auto"/>
        </w:rPr>
      </w:pPr>
      <w:r>
        <w:rPr>
          <w:rFonts w:ascii="Arial" w:cs="Arial" w:eastAsia="Arial" w:hAnsi="Arial"/>
          <w:sz w:val="17"/>
          <w:szCs w:val="17"/>
          <w:color w:val="auto"/>
        </w:rPr>
        <w:t>The Company leases store locations, distribution centers and office space used in its operations. The Company accounts for these types of leases in accordance with ASC Topic No. 840, “Leases” (Topic No. 840), and subsequent amendments, which require that leases be evaluated and classified as operating or capital leases for financial reporting purposes. Assets held under capital leases are included in the line item “Property and equipment—net of accumulated depreciation and amortization” in the Company’s Consolidated Balance Sheets. For leases classified as operating, the Company calculates rent expense on a straight-line basis over the lesser of the lease term including renewal options, if reasonably assured, or the economic life of the leased premises, taking into consideration rent escalation clauses, rent holidays and other lease concessions. The Company commences recording rent expense during the store fixturing and merchandising phase of the leased property.</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59" w:name="page60"/>
    <w:bookmarkEnd w:id="59"/>
    <w:p>
      <w:pPr>
        <w:spacing w:after="0"/>
        <w:rPr>
          <w:sz w:val="20"/>
          <w:szCs w:val="20"/>
          <w:color w:val="auto"/>
        </w:rPr>
      </w:pPr>
      <w:r>
        <w:rPr>
          <w:rFonts w:ascii="Arial" w:cs="Arial" w:eastAsia="Arial" w:hAnsi="Arial"/>
          <w:sz w:val="18"/>
          <w:szCs w:val="18"/>
          <w:i w:val="1"/>
          <w:iCs w:val="1"/>
          <w:color w:val="auto"/>
        </w:rPr>
        <w:t>Stock-Based Compensation</w:t>
      </w:r>
    </w:p>
    <w:p>
      <w:pPr>
        <w:spacing w:after="0" w:line="117"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The Company accounts for stock-based compensation in accordance with ASC Topic No. 718, “Stock Compensation” (Topic No. 718), which requires companies to record stock compensation expense for all non-vested and new awards beginning as of the grant date. As of February 3, 2018, there were 4,968,793 shares available for issuance under the Company’s 2013 Omnibus Incentive Plan. As of February 3, 2018, there were 2,579,831 options outstanding and 748,894 shares of non-vested restricted stock outstanding under the Company’s incentive plans. During Fiscal 2017, Fiscal 2016 and Fiscal 2015, the Company recognized non-cash stock compensation expense in the amount of $27.0 million, $16.0 million and $11.2 million, respectively. Refer to Note 12, “Stock-Based Compensation,” for further details.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Per Share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Net income per share is calculated using the treasury stock method. Refer to Note 11, “Net Income Per Share,” for further details.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Risk</w:t>
      </w:r>
    </w:p>
    <w:p>
      <w:pPr>
        <w:spacing w:after="0" w:line="117"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principally of cash, cash equivalents and investments. The Company manages the credit risk associated with cash equivalents and investments by investing with high-quality institutions and, by policy, limiting investments only to those which meet prescribed investment guidelines. The Company maintains cash accounts that, at times, may exceed federally insured limits. The Company has not experienced any losses from maintaining cash accounts in excess of such limits. Management believes that it is not exposed to any significant risks on its cash and cash equivalent accounts.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Information</w:t>
      </w:r>
    </w:p>
    <w:p>
      <w:pPr>
        <w:spacing w:after="0" w:line="117" w:lineRule="exact"/>
        <w:rPr>
          <w:sz w:val="20"/>
          <w:szCs w:val="20"/>
          <w:color w:val="auto"/>
        </w:rPr>
      </w:pPr>
    </w:p>
    <w:p>
      <w:pPr>
        <w:ind w:right="120" w:firstLine="518"/>
        <w:spacing w:after="0" w:line="312" w:lineRule="auto"/>
        <w:rPr>
          <w:sz w:val="20"/>
          <w:szCs w:val="20"/>
          <w:color w:val="auto"/>
        </w:rPr>
      </w:pPr>
      <w:r>
        <w:rPr>
          <w:rFonts w:ascii="Arial" w:cs="Arial" w:eastAsia="Arial" w:hAnsi="Arial"/>
          <w:sz w:val="16"/>
          <w:szCs w:val="16"/>
          <w:color w:val="auto"/>
        </w:rPr>
        <w:t>The Company reports segment information in accordance with ASC Topic No. 280 “Segment Reporting.” The Company has one reportable segment. The Company is an off-price retailer that offers customers a complete line of value-priced apparel, including: ladies sportswear, menswear, coats, family footwear and youth apparel as well as baby furniture, accessories, home décor and gifts. Sales percentage by major product category is as follows:</w:t>
      </w:r>
    </w:p>
    <w:p>
      <w:pPr>
        <w:spacing w:after="0" w:line="260"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5220" w:type="dxa"/>
            <w:vAlign w:val="bottom"/>
            <w:gridSpan w:val="3"/>
          </w:tcPr>
          <w:p>
            <w:pPr>
              <w:spacing w:after="0"/>
              <w:rPr>
                <w:sz w:val="20"/>
                <w:szCs w:val="20"/>
                <w:color w:val="auto"/>
              </w:rPr>
            </w:pPr>
            <w:r>
              <w:rPr>
                <w:rFonts w:ascii="Arial" w:cs="Arial" w:eastAsia="Arial" w:hAnsi="Arial"/>
                <w:sz w:val="14"/>
                <w:szCs w:val="14"/>
                <w:b w:val="1"/>
                <w:bCs w:val="1"/>
                <w:color w:val="auto"/>
              </w:rPr>
              <w:t>Category</w:t>
            </w:r>
          </w:p>
        </w:tc>
        <w:tc>
          <w:tcPr>
            <w:tcW w:w="1380" w:type="dxa"/>
            <w:vAlign w:val="bottom"/>
            <w:gridSpan w:val="2"/>
          </w:tcPr>
          <w:p>
            <w:pPr>
              <w:ind w:left="180"/>
              <w:spacing w:after="0"/>
              <w:rPr>
                <w:sz w:val="20"/>
                <w:szCs w:val="20"/>
                <w:color w:val="auto"/>
              </w:rPr>
            </w:pPr>
            <w:r>
              <w:rPr>
                <w:rFonts w:ascii="Arial" w:cs="Arial" w:eastAsia="Arial" w:hAnsi="Arial"/>
                <w:sz w:val="14"/>
                <w:szCs w:val="14"/>
                <w:b w:val="1"/>
                <w:bCs w:val="1"/>
                <w:color w:val="auto"/>
              </w:rPr>
              <w:t>Fiscal 2017</w:t>
            </w:r>
          </w:p>
        </w:tc>
        <w:tc>
          <w:tcPr>
            <w:tcW w:w="13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Fiscal 2016</w:t>
            </w:r>
          </w:p>
        </w:tc>
        <w:tc>
          <w:tcPr>
            <w:tcW w:w="12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Fiscal 2015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FF0FC"/>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Women’s ready-to-wear apparel</w:t>
            </w:r>
          </w:p>
        </w:tc>
        <w:tc>
          <w:tcPr>
            <w:tcW w:w="120" w:type="dxa"/>
            <w:vAlign w:val="bottom"/>
            <w:vMerge w:val="continue"/>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20" w:type="dxa"/>
            <w:vAlign w:val="bottom"/>
            <w:vMerge w:val="continue"/>
            <w:shd w:val="clear" w:color="auto" w:fill="CFF0FC"/>
          </w:tcPr>
          <w:p>
            <w:pPr>
              <w:spacing w:after="0"/>
              <w:rPr>
                <w:sz w:val="19"/>
                <w:szCs w:val="19"/>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24%</w:t>
            </w: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Accessories and footwear</w:t>
            </w:r>
          </w:p>
        </w:tc>
        <w:tc>
          <w:tcPr>
            <w:tcW w:w="126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22%</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Menswear</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20%</w:t>
            </w: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Youth apparel/baby</w:t>
            </w:r>
          </w:p>
        </w:tc>
        <w:tc>
          <w:tcPr>
            <w:tcW w:w="126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16%</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Home</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12%</w:t>
            </w: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Coats</w:t>
            </w:r>
          </w:p>
        </w:tc>
        <w:tc>
          <w:tcPr>
            <w:tcW w:w="126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bl>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Recent Accounting Pronouncements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Adopted Accounting Standards</w:t>
      </w:r>
    </w:p>
    <w:p>
      <w:pPr>
        <w:spacing w:after="0" w:line="225" w:lineRule="exact"/>
        <w:rPr>
          <w:sz w:val="20"/>
          <w:szCs w:val="20"/>
          <w:color w:val="auto"/>
        </w:rPr>
      </w:pPr>
    </w:p>
    <w:p>
      <w:pPr>
        <w:ind w:right="40" w:firstLine="588"/>
        <w:spacing w:after="0" w:line="269" w:lineRule="auto"/>
        <w:rPr>
          <w:sz w:val="20"/>
          <w:szCs w:val="20"/>
          <w:color w:val="auto"/>
        </w:rPr>
      </w:pPr>
      <w:r>
        <w:rPr>
          <w:rFonts w:ascii="Arial" w:cs="Arial" w:eastAsia="Arial" w:hAnsi="Arial"/>
          <w:sz w:val="17"/>
          <w:szCs w:val="17"/>
          <w:color w:val="auto"/>
        </w:rPr>
        <w:t>In March 2016, the Financial Accounting Standards Board (FASB) issued Accounting Standard Update (ASU) No. 2016-09, “Improvements to Employee Share-Based Payment Accounting” (ASU 2016-09). ASU 2016-09 changes how companies account for certain aspects of share-based payments to employees including: (i) requiring all income tax effects of awards to be recognized in the income statement, rather than in additional paid in capital, when the awards vest or are settled, (ii) eliminating the requirement that excess tax benefits be realized before companies can recognize them, (iii) requiring companies to present excess tax benefits as an operating activity on the statement of cash flows rather than as a financing activity, (iv) increasing the amount an employer can withhold to cover income taxes on awards and still qualify for the exception to liability classification for shares used to satisfy the employer’s statutory income tax withholding obligation, (v) requiring an employer to classify the cash paid to a tax authority when shares are withheld to satisfy its statutory income tax withholding obligation as a financing activity on its statement of cash flows and (vi) requiring an employer to elect whether to account for forfeitures of share-based payments by (a) recognizing forfeitures of awards as they occur or (b) estimating the number of awards expected to be forfeited and adjusting the estimate when it is likely to change, as is currently required. ASU 2016-09 is effective for fiscal years beginning after December 15, 2016. The Company adopted this standard effective January 29, 2017.</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60" w:name="page61"/>
    <w:bookmarkEnd w:id="60"/>
    <w:p>
      <w:pPr>
        <w:ind w:right="220" w:firstLine="588"/>
        <w:spacing w:after="0" w:line="264" w:lineRule="auto"/>
        <w:rPr>
          <w:sz w:val="20"/>
          <w:szCs w:val="20"/>
          <w:color w:val="auto"/>
        </w:rPr>
      </w:pPr>
      <w:r>
        <w:rPr>
          <w:rFonts w:ascii="Arial" w:cs="Arial" w:eastAsia="Arial" w:hAnsi="Arial"/>
          <w:sz w:val="18"/>
          <w:szCs w:val="18"/>
          <w:color w:val="auto"/>
        </w:rPr>
        <w:t>The primary impact of adoption was the prospective recognition of excess tax benefits in the income statement as an income tax benefit rather than equity, which increased net income per share during the year ended February 3, 2018 by $0.23 and lowered the Company’s effective tax rate by approximately 440 basis points.</w:t>
      </w:r>
    </w:p>
    <w:p>
      <w:pPr>
        <w:spacing w:after="0" w:line="181" w:lineRule="exact"/>
        <w:rPr>
          <w:sz w:val="20"/>
          <w:szCs w:val="20"/>
          <w:color w:val="auto"/>
        </w:rPr>
      </w:pPr>
    </w:p>
    <w:p>
      <w:pPr>
        <w:ind w:right="340" w:firstLine="588"/>
        <w:spacing w:after="0" w:line="264" w:lineRule="auto"/>
        <w:rPr>
          <w:sz w:val="20"/>
          <w:szCs w:val="20"/>
          <w:color w:val="auto"/>
        </w:rPr>
      </w:pPr>
      <w:r>
        <w:rPr>
          <w:rFonts w:ascii="Arial" w:cs="Arial" w:eastAsia="Arial" w:hAnsi="Arial"/>
          <w:sz w:val="18"/>
          <w:szCs w:val="18"/>
          <w:color w:val="auto"/>
        </w:rPr>
        <w:t>The Company has applied the amendment relating to the presentation of the excess tax benefits on the Consolidated Statements of Cash Flows retrospectively, resulting in the reclassification of $13.5 million and $11.9 million of excess tax benefits from cash flows from financing activities to cash flows from operating activities for the fiscal years ended January 28, 2017 and January 30, 2016, respectively.</w:t>
      </w:r>
    </w:p>
    <w:p>
      <w:pPr>
        <w:spacing w:after="0" w:line="181" w:lineRule="exact"/>
        <w:rPr>
          <w:sz w:val="20"/>
          <w:szCs w:val="20"/>
          <w:color w:val="auto"/>
        </w:rPr>
      </w:pPr>
    </w:p>
    <w:p>
      <w:pPr>
        <w:ind w:right="40" w:firstLine="588"/>
        <w:spacing w:after="0" w:line="277" w:lineRule="auto"/>
        <w:rPr>
          <w:sz w:val="20"/>
          <w:szCs w:val="20"/>
          <w:color w:val="auto"/>
        </w:rPr>
      </w:pPr>
      <w:r>
        <w:rPr>
          <w:rFonts w:ascii="Arial" w:cs="Arial" w:eastAsia="Arial" w:hAnsi="Arial"/>
          <w:sz w:val="18"/>
          <w:szCs w:val="18"/>
          <w:color w:val="auto"/>
        </w:rPr>
        <w:t>The Company has elected to account for forfeitures of share-based awards as they occur, on a modified retrospective basis, resulting in a $0.4 million cumulative-effect adjustment to retained earnings as of January 29, 2017.</w:t>
      </w:r>
    </w:p>
    <w:p>
      <w:pPr>
        <w:spacing w:after="0" w:line="170" w:lineRule="exact"/>
        <w:rPr>
          <w:sz w:val="20"/>
          <w:szCs w:val="20"/>
          <w:color w:val="auto"/>
        </w:rPr>
      </w:pPr>
    </w:p>
    <w:p>
      <w:pPr>
        <w:ind w:right="180" w:firstLine="588"/>
        <w:spacing w:after="0" w:line="369" w:lineRule="auto"/>
        <w:rPr>
          <w:sz w:val="20"/>
          <w:szCs w:val="20"/>
          <w:color w:val="auto"/>
        </w:rPr>
      </w:pPr>
      <w:r>
        <w:rPr>
          <w:rFonts w:ascii="Arial" w:cs="Arial" w:eastAsia="Arial" w:hAnsi="Arial"/>
          <w:sz w:val="16"/>
          <w:szCs w:val="16"/>
          <w:color w:val="auto"/>
        </w:rPr>
        <w:t>The presentation requirements for cash flows related to employee taxes paid upon the vesting of restricted stock awards had no impact to any of the periods presented in the Company’s Consolidated Statements of Cash Flows since such cash flows have historically been presented as a financing activity.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Pending Accounting Standards</w:t>
      </w:r>
    </w:p>
    <w:p>
      <w:pPr>
        <w:spacing w:after="0" w:line="117" w:lineRule="exact"/>
        <w:rPr>
          <w:sz w:val="20"/>
          <w:szCs w:val="20"/>
          <w:color w:val="auto"/>
        </w:rPr>
      </w:pPr>
    </w:p>
    <w:p>
      <w:pPr>
        <w:ind w:firstLine="518"/>
        <w:spacing w:after="0" w:line="268" w:lineRule="auto"/>
        <w:rPr>
          <w:sz w:val="20"/>
          <w:szCs w:val="20"/>
          <w:color w:val="auto"/>
        </w:rPr>
      </w:pPr>
      <w:r>
        <w:rPr>
          <w:rFonts w:ascii="Arial" w:cs="Arial" w:eastAsia="Arial" w:hAnsi="Arial"/>
          <w:sz w:val="17"/>
          <w:szCs w:val="17"/>
          <w:color w:val="auto"/>
        </w:rPr>
        <w:t>In May 2014, the FASB issued ASU 2014-09, “Revenue from Contracts with Customers” (ASU 2016-09), which converges revenue recognition under GAAP and International Financial Reporting Standards. The new guidance supersedes most preexisting revenue recognition guidance, and provides a five-step analysis of transactions to determine when and how revenue is recognized. The core principle of the guidance is that an entity should recognize revenue to depict the transfer of promised goods or services to customers in an amount that reflects the consideration to which the entity expects to be entitled in exchange for those goods or services. The FASB issued ASU 2015-14 in August 2015, which deferred the effective date of ASU 2014-09 for public companies to periods beginning after December 15, 2017, with early adoption permitted. The standard shall be applied either retrospectively to each period presented or as a cumulative-effect adjustment as of the date of adoption. This ASU will be effective for the Company as of the beginning of the fiscal year ending February 2, 2019 (Fiscal 2018). The Company will adopt this guidance in the first quarter of fiscal 2018 using the modified retrospective transition method. The Company believes that there will be no change in the timing or amount of revenue recognized under the new standard as it relates to revenue from point of sale at the registers in our stores, which constitutes more than 99% of the Company’s revenue. The new standard will require a change in the presentation of the Company’s sales return reserve on the balance sheet, which is currently recorded net. The new standard will require the reserve to be established at the gross sales value with an asset established for the value of the merchandise returned. The adoption of this guidance is not expected to have a material impact on our consolidated Financial Statements and related disclosures.</w:t>
      </w:r>
    </w:p>
    <w:p>
      <w:pPr>
        <w:spacing w:after="0" w:line="188" w:lineRule="exact"/>
        <w:rPr>
          <w:sz w:val="20"/>
          <w:szCs w:val="20"/>
          <w:color w:val="auto"/>
        </w:rPr>
      </w:pPr>
    </w:p>
    <w:p>
      <w:pPr>
        <w:ind w:right="20" w:firstLine="518"/>
        <w:spacing w:after="0" w:line="297" w:lineRule="auto"/>
        <w:rPr>
          <w:sz w:val="20"/>
          <w:szCs w:val="20"/>
          <w:color w:val="auto"/>
        </w:rPr>
      </w:pPr>
      <w:r>
        <w:rPr>
          <w:rFonts w:ascii="Arial" w:cs="Arial" w:eastAsia="Arial" w:hAnsi="Arial"/>
          <w:sz w:val="16"/>
          <w:szCs w:val="16"/>
          <w:color w:val="auto"/>
        </w:rPr>
        <w:t>In February 2016, the FASB issued ASU 2016-02, “Leases.” The standard’s core principle is to increase transparency and comparability among organizations by recognizing lease assets and liabilities on the balance sheet and disclosing key information about leasing arrangements. This standard is effective for fiscal years beginning after December 15, 2018, including interim periods within those fiscal years. This ASU will be effective for the Company as of the beginning of the fiscal year ending February 1, 2020 (Fiscal 2019). Early adoption is permitted. While the Company is continuing to evaluate the impact of the adoption of this guidance on its consolidated financial statements and notes thereto, it does expect that this new guidance will result in a significant increase to the assets and liabilities presented on its consolidated balance sheets. Refer to Note 12, “Lease Commitments,” for further detail of the Company’s future minimum lease payments. This guidance is not expected, however, to have a significant impact on the Company's liquidity.</w:t>
      </w:r>
    </w:p>
    <w:p>
      <w:pPr>
        <w:spacing w:after="0" w:line="162"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In August 2016, the FASB issued ASU 2016-15, “Statement of Cash Flows: Classification of Certain Cash Receipts and Cash Payments.” The primary purpose of this ASU is to reduce the diversity in practice that has resulted from the lack of consistent principles on this topic. This ASU is effective for fiscal years beginning after December 15, 2017. This ASU will be effective for the Company as of the beginning of Fiscal 2018. Early adoption is permitted in any interim or annual period. The Company does not anticipate that the new guidance will have a significant impact on its consolidated financial statements.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61" w:name="page62"/>
    <w:bookmarkEnd w:id="61"/>
    <w:p>
      <w:pPr>
        <w:ind w:firstLine="518"/>
        <w:spacing w:after="0" w:line="270" w:lineRule="auto"/>
        <w:rPr>
          <w:sz w:val="20"/>
          <w:szCs w:val="20"/>
          <w:color w:val="auto"/>
        </w:rPr>
      </w:pPr>
      <w:r>
        <w:rPr>
          <w:rFonts w:ascii="Arial" w:cs="Arial" w:eastAsia="Arial" w:hAnsi="Arial"/>
          <w:sz w:val="17"/>
          <w:szCs w:val="17"/>
          <w:color w:val="auto"/>
        </w:rPr>
        <w:t>In November 2016, the FASB issued ASU 2016-18, “Statement of Cash Flows: Restricted Cash.” The primary purpose of this ASU is to reduce the diversity in practice that exists in the classification and presentation of changes in restricted cash and restricted cash equivalents on the statement of cash flows. This ASU will require that a statement of cash flows explain the change during the period in the total of cash, cash equivalents, and amounts generally described as restricted cash or restricted cash equivalents. Therefore, amounts generally described as restricted cash and restricted cash equivalents should be included with cash and cash equivalents when reconciling the beginning-of-period and end-of-period total amounts shown on the statement of cash flows. This ASU is effective for fiscal years beginning after December 15, 2017. This ASU will be effective for the Company as of the beginning of Fiscal 2018. Early adoption is permitted in any interim or annual period. While the Company is still in the process of determining the impact of the adoption of this guidance on its consolidated financial statements and notes thereto, it does not anticipate that the new guidance will have a significant impact on its consolidated financial statements.</w:t>
      </w:r>
    </w:p>
    <w:p>
      <w:pPr>
        <w:spacing w:after="0" w:line="182"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In January 2017, the FASB issued ASU 2017-04, “Intangibles—Goodwill and Other: Simplifying the Test for Goodwill Impairment,” which aims to simplify the subsequent measurement of goodwill by eliminating Step 2 from the goodwill impairment test. Under the new guidance, goodwill impairment will be measured as the amount by which the carrying value exceeds the fair value. The loss recognized should not exceed the total amount of goodwill allocated to the reporting unit. The new guidance will be effective for annual reporting periods beginning after December 15, 2019, including interim periods. This ASU will be effective for the Company as of the beginning of Fiscal 2020. Early adoption is permitted for annual or interim goodwill impairment tests performed on testing dates after January 1, 2017. The Company does not anticipate that the new guidance will have a significant impact on its consolidated financial statements.</w:t>
      </w:r>
    </w:p>
    <w:p>
      <w:pPr>
        <w:spacing w:after="0" w:line="189" w:lineRule="exact"/>
        <w:rPr>
          <w:sz w:val="20"/>
          <w:szCs w:val="20"/>
          <w:color w:val="auto"/>
        </w:rPr>
      </w:pPr>
    </w:p>
    <w:p>
      <w:pPr>
        <w:jc w:val="both"/>
        <w:ind w:right="120" w:firstLine="518"/>
        <w:spacing w:after="0" w:line="286" w:lineRule="auto"/>
        <w:rPr>
          <w:sz w:val="20"/>
          <w:szCs w:val="20"/>
          <w:color w:val="auto"/>
        </w:rPr>
      </w:pPr>
      <w:r>
        <w:rPr>
          <w:rFonts w:ascii="Arial" w:cs="Arial" w:eastAsia="Arial" w:hAnsi="Arial"/>
          <w:sz w:val="17"/>
          <w:szCs w:val="17"/>
          <w:color w:val="auto"/>
        </w:rPr>
        <w:t>There were no other new accounting standards that had a material impact on the Company’s Consolidated Financial Statements during the fiscal year ended February 3, 2018, and there were no other new accounting standards or pronouncements that were issued but not yet effective as of February 3, 2018 that the Company expects to have a material impact on its financial position or results of operations upon becoming effective.</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Restricted Cash and Cash Equivalents</w:t>
      </w:r>
    </w:p>
    <w:p>
      <w:pPr>
        <w:spacing w:after="0" w:line="121" w:lineRule="exact"/>
        <w:rPr>
          <w:sz w:val="20"/>
          <w:szCs w:val="20"/>
          <w:color w:val="auto"/>
        </w:rPr>
      </w:pPr>
    </w:p>
    <w:p>
      <w:pPr>
        <w:jc w:val="both"/>
        <w:ind w:right="220" w:firstLine="518"/>
        <w:spacing w:after="0" w:line="264" w:lineRule="auto"/>
        <w:rPr>
          <w:sz w:val="20"/>
          <w:szCs w:val="20"/>
          <w:color w:val="auto"/>
        </w:rPr>
      </w:pPr>
      <w:r>
        <w:rPr>
          <w:rFonts w:ascii="Arial" w:cs="Arial" w:eastAsia="Arial" w:hAnsi="Arial"/>
          <w:sz w:val="18"/>
          <w:szCs w:val="18"/>
          <w:color w:val="auto"/>
        </w:rPr>
        <w:t>At February 3, 2018 and January 28, 2017, restricted cash and cash equivalents consisted of $27.8 million related to collateral for certain insurance contracts. The Company has the ability to convert the restricted cash to a letter of credit at any time, which would reduce available borrowings on the ABL Line of Credit by a like amount.</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and Equipment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Property and equipment consist of:</w:t>
      </w:r>
    </w:p>
    <w:p>
      <w:pPr>
        <w:spacing w:after="0" w:line="234" w:lineRule="exact"/>
        <w:rPr>
          <w:sz w:val="20"/>
          <w:szCs w:val="20"/>
          <w:color w:val="auto"/>
        </w:rPr>
      </w:pPr>
    </w:p>
    <w:tbl>
      <w:tblPr>
        <w:tblLayout w:type="fixed"/>
        <w:tblInd w:w="11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20" w:type="dxa"/>
            <w:vAlign w:val="bottom"/>
            <w:gridSpan w:val="6"/>
          </w:tcPr>
          <w:p>
            <w:pPr>
              <w:jc w:val="right"/>
              <w:ind w:right="840"/>
              <w:spacing w:after="0"/>
              <w:rPr>
                <w:sz w:val="20"/>
                <w:szCs w:val="20"/>
                <w:color w:val="auto"/>
              </w:rPr>
            </w:pPr>
            <w:r>
              <w:rPr>
                <w:rFonts w:ascii="Arial" w:cs="Arial" w:eastAsia="Arial" w:hAnsi="Arial"/>
                <w:sz w:val="14"/>
                <w:szCs w:val="14"/>
                <w:b w:val="1"/>
                <w:bCs w:val="1"/>
                <w:i w:val="1"/>
                <w:iCs w:val="1"/>
                <w:color w:val="auto"/>
              </w:rPr>
              <w:t>(in thousands)</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5380" w:type="dxa"/>
            <w:vAlign w:val="bottom"/>
          </w:tcPr>
          <w:p>
            <w:pPr>
              <w:spacing w:after="0"/>
              <w:rPr>
                <w:sz w:val="11"/>
                <w:szCs w:val="11"/>
                <w:color w:val="auto"/>
              </w:rPr>
            </w:pPr>
          </w:p>
        </w:tc>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Useful Lives</w:t>
            </w: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2"/>
          </w:tcPr>
          <w:p>
            <w:pPr>
              <w:jc w:val="right"/>
              <w:ind w:right="320"/>
              <w:spacing w:after="0" w:line="133" w:lineRule="exact"/>
              <w:rPr>
                <w:sz w:val="20"/>
                <w:szCs w:val="20"/>
                <w:color w:val="auto"/>
              </w:rPr>
            </w:pPr>
            <w:r>
              <w:rPr>
                <w:rFonts w:ascii="Arial" w:cs="Arial" w:eastAsia="Arial" w:hAnsi="Arial"/>
                <w:sz w:val="14"/>
                <w:szCs w:val="14"/>
                <w:b w:val="1"/>
                <w:bCs w:val="1"/>
                <w:color w:val="auto"/>
                <w:w w:val="97"/>
              </w:rPr>
              <w:t>February 3,</w:t>
            </w:r>
          </w:p>
        </w:tc>
        <w:tc>
          <w:tcPr>
            <w:tcW w:w="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right"/>
              <w:ind w:right="113"/>
              <w:spacing w:after="0" w:line="133" w:lineRule="exact"/>
              <w:rPr>
                <w:sz w:val="20"/>
                <w:szCs w:val="20"/>
                <w:color w:val="auto"/>
              </w:rPr>
            </w:pPr>
            <w:r>
              <w:rPr>
                <w:rFonts w:ascii="Arial" w:cs="Arial" w:eastAsia="Arial" w:hAnsi="Arial"/>
                <w:sz w:val="14"/>
                <w:szCs w:val="14"/>
                <w:b w:val="1"/>
                <w:bCs w:val="1"/>
                <w:color w:val="auto"/>
                <w:w w:val="95"/>
              </w:rPr>
              <w:t>January 28,</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380" w:type="dxa"/>
            <w:vAlign w:val="bottom"/>
            <w:tcBorders>
              <w:bottom w:val="single" w:sz="8" w:color="CFF0FC"/>
            </w:tcBorders>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Land</w:t>
            </w:r>
          </w:p>
        </w:tc>
        <w:tc>
          <w:tcPr>
            <w:tcW w:w="11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N/A</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159,465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157,272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Buildings</w:t>
            </w:r>
          </w:p>
        </w:tc>
        <w:tc>
          <w:tcPr>
            <w:tcW w:w="1160" w:type="dxa"/>
            <w:vAlign w:val="bottom"/>
          </w:tcPr>
          <w:p>
            <w:pPr>
              <w:jc w:val="center"/>
              <w:spacing w:after="0"/>
              <w:rPr>
                <w:sz w:val="20"/>
                <w:szCs w:val="20"/>
                <w:color w:val="auto"/>
              </w:rPr>
            </w:pPr>
            <w:r>
              <w:rPr>
                <w:rFonts w:ascii="Arial" w:cs="Arial" w:eastAsia="Arial" w:hAnsi="Arial"/>
                <w:sz w:val="18"/>
                <w:szCs w:val="18"/>
                <w:color w:val="auto"/>
                <w:w w:val="87"/>
              </w:rPr>
              <w:t>20 to 40 Years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465,207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452,497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Store fixtures and equipment</w:t>
            </w:r>
          </w:p>
        </w:tc>
        <w:tc>
          <w:tcPr>
            <w:tcW w:w="11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3 to 10 Years</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831,963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762,826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Software</w:t>
            </w:r>
          </w:p>
        </w:tc>
        <w:tc>
          <w:tcPr>
            <w:tcW w:w="1160" w:type="dxa"/>
            <w:vAlign w:val="bottom"/>
          </w:tcPr>
          <w:p>
            <w:pPr>
              <w:jc w:val="center"/>
              <w:spacing w:after="0"/>
              <w:rPr>
                <w:sz w:val="20"/>
                <w:szCs w:val="20"/>
                <w:color w:val="auto"/>
              </w:rPr>
            </w:pPr>
            <w:r>
              <w:rPr>
                <w:rFonts w:ascii="Arial" w:cs="Arial" w:eastAsia="Arial" w:hAnsi="Arial"/>
                <w:sz w:val="18"/>
                <w:szCs w:val="18"/>
                <w:color w:val="auto"/>
                <w:w w:val="87"/>
              </w:rPr>
              <w:t>3 to 10 Years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235,799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205,673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11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Shorter of</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FF0FC"/>
          </w:tcPr>
          <w:p>
            <w:pPr>
              <w:spacing w:after="0"/>
              <w:rPr>
                <w:sz w:val="18"/>
                <w:szCs w:val="18"/>
                <w:color w:val="auto"/>
              </w:rPr>
            </w:pPr>
          </w:p>
        </w:tc>
        <w:tc>
          <w:tcPr>
            <w:tcW w:w="11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lease term or</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80" w:type="dxa"/>
            <w:vAlign w:val="bottom"/>
            <w:shd w:val="clear" w:color="auto" w:fill="CFF0FC"/>
          </w:tcPr>
          <w:p>
            <w:pPr>
              <w:spacing w:after="0"/>
              <w:rPr>
                <w:sz w:val="20"/>
                <w:szCs w:val="20"/>
                <w:color w:val="auto"/>
              </w:rPr>
            </w:pPr>
          </w:p>
        </w:tc>
        <w:tc>
          <w:tcPr>
            <w:tcW w:w="11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7"/>
              </w:rPr>
              <w:t>useful life</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604,470</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561,371</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Construction in progress</w:t>
            </w:r>
          </w:p>
        </w:tc>
        <w:tc>
          <w:tcPr>
            <w:tcW w:w="1160" w:type="dxa"/>
            <w:vAlign w:val="bottom"/>
            <w:tcBorders>
              <w:bottom w:val="single" w:sz="8" w:color="CFF0FC"/>
            </w:tcBorders>
          </w:tcPr>
          <w:p>
            <w:pPr>
              <w:jc w:val="center"/>
              <w:spacing w:after="0"/>
              <w:rPr>
                <w:sz w:val="20"/>
                <w:szCs w:val="20"/>
                <w:color w:val="auto"/>
              </w:rPr>
            </w:pPr>
            <w:r>
              <w:rPr>
                <w:rFonts w:ascii="Arial" w:cs="Arial" w:eastAsia="Arial" w:hAnsi="Arial"/>
                <w:sz w:val="18"/>
                <w:szCs w:val="18"/>
                <w:color w:val="auto"/>
                <w:w w:val="99"/>
              </w:rPr>
              <w:t>N/A</w:t>
            </w: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28,155</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37,145</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2,325,059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2,176,784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(1,190,287)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(1,127,337)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property and equipment, net of accumulated</w:t>
            </w:r>
          </w:p>
        </w:tc>
        <w:tc>
          <w:tcPr>
            <w:tcW w:w="1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depreciation and amortization</w:t>
            </w:r>
          </w:p>
        </w:tc>
        <w:tc>
          <w:tcPr>
            <w:tcW w:w="1160" w:type="dxa"/>
            <w:vAlign w:val="bottom"/>
            <w:shd w:val="clear" w:color="auto" w:fill="CFF0FC"/>
          </w:tcPr>
          <w:p>
            <w:pPr>
              <w:spacing w:after="0"/>
              <w:rPr>
                <w:sz w:val="20"/>
                <w:szCs w:val="20"/>
                <w:color w:val="auto"/>
              </w:rPr>
            </w:pP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1,134,772</w:t>
            </w:r>
          </w:p>
        </w:tc>
        <w:tc>
          <w:tcPr>
            <w:tcW w:w="140" w:type="dxa"/>
            <w:vAlign w:val="bottom"/>
            <w:shd w:val="clear" w:color="auto" w:fill="CFF0FC"/>
          </w:tcPr>
          <w:p>
            <w:pPr>
              <w:spacing w:after="0"/>
              <w:rPr>
                <w:sz w:val="20"/>
                <w:szCs w:val="20"/>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1,049,447</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Borders>
              <w:top w:val="single" w:sz="8" w:color="CFF0FC"/>
            </w:tcBorders>
          </w:tcPr>
          <w:p>
            <w:pPr>
              <w:spacing w:after="0" w:line="20" w:lineRule="exact"/>
              <w:rPr>
                <w:sz w:val="1"/>
                <w:szCs w:val="1"/>
                <w:color w:val="auto"/>
              </w:rPr>
            </w:pPr>
          </w:p>
        </w:tc>
        <w:tc>
          <w:tcPr>
            <w:tcW w:w="1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60" w:firstLine="518"/>
        <w:spacing w:after="0" w:line="257" w:lineRule="auto"/>
        <w:rPr>
          <w:sz w:val="20"/>
          <w:szCs w:val="20"/>
          <w:color w:val="auto"/>
        </w:rPr>
      </w:pPr>
      <w:r>
        <w:rPr>
          <w:rFonts w:ascii="Arial" w:cs="Arial" w:eastAsia="Arial" w:hAnsi="Arial"/>
          <w:sz w:val="18"/>
          <w:szCs w:val="18"/>
          <w:color w:val="auto"/>
        </w:rPr>
        <w:t>As of February 3, 2018 and January 28, 2017, assets, net of accumulated amortization of $21.0 million and $18.8 million, respectively, held under capital leases amounted to approximately $19.8 million and $22.0 million, respectively, and are included in the line item “Buildings” in the foregoing table. Amortization expense related to capital leases is included in the line item “Depreciation and amortization” in the Company’s Consolidated Statements of Income. The total amount of depreciation expense during Fiscal 2017, Fiscal 2016 and Fiscal 2015 was $163.3 million, $146.3 million and $135.7 million, respectively.</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62" w:name="page63"/>
    <w:bookmarkEnd w:id="62"/>
    <w:p>
      <w:pPr>
        <w:ind w:right="200" w:firstLine="518"/>
        <w:spacing w:after="0" w:line="277" w:lineRule="auto"/>
        <w:rPr>
          <w:sz w:val="20"/>
          <w:szCs w:val="20"/>
          <w:color w:val="auto"/>
        </w:rPr>
      </w:pPr>
      <w:r>
        <w:rPr>
          <w:rFonts w:ascii="Arial" w:cs="Arial" w:eastAsia="Arial" w:hAnsi="Arial"/>
          <w:sz w:val="18"/>
          <w:szCs w:val="18"/>
          <w:color w:val="auto"/>
        </w:rPr>
        <w:t>During Fiscal 2017, Fiscal 2016 and Fiscal 2015, the Company recorded impairment charges related to property and equipment of $1.1 million, $0.8 million and $2.4 million, respectively. Refer to Note 6, “Impairment Charges,” for further discussion.</w:t>
      </w:r>
    </w:p>
    <w:p>
      <w:pPr>
        <w:spacing w:after="0" w:line="170" w:lineRule="exact"/>
        <w:rPr>
          <w:sz w:val="20"/>
          <w:szCs w:val="20"/>
          <w:color w:val="auto"/>
        </w:rPr>
      </w:pPr>
    </w:p>
    <w:p>
      <w:pPr>
        <w:ind w:right="460" w:firstLine="518"/>
        <w:spacing w:after="0" w:line="286" w:lineRule="auto"/>
        <w:rPr>
          <w:sz w:val="20"/>
          <w:szCs w:val="20"/>
          <w:color w:val="auto"/>
        </w:rPr>
      </w:pPr>
      <w:r>
        <w:rPr>
          <w:rFonts w:ascii="Arial" w:cs="Arial" w:eastAsia="Arial" w:hAnsi="Arial"/>
          <w:sz w:val="17"/>
          <w:szCs w:val="17"/>
          <w:color w:val="auto"/>
        </w:rPr>
        <w:t>Internally developed software is amortized on a straight line basis over three to five years and is recorded in the line item “Depreciation and amortization” in the Company’s Consolidated Statements of Income. Depreciation and amortization of internally developed software amounted to $18.2 million, $15.4 million and $14.6 million during Fiscal 2017, Fiscal 2016 and Fiscal 2015, respectively.</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Intangible Assets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Intangible assets at February 3, 2018 and January 28, 2017 consist primarily of tradenames and favorable lease positions as follows: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4"/>
          </w:tcPr>
          <w:p>
            <w:pPr>
              <w:jc w:val="right"/>
              <w:ind w:right="761"/>
              <w:spacing w:after="0"/>
              <w:rPr>
                <w:sz w:val="20"/>
                <w:szCs w:val="20"/>
                <w:color w:val="auto"/>
              </w:rPr>
            </w:pPr>
            <w:r>
              <w:rPr>
                <w:rFonts w:ascii="Arial" w:cs="Arial" w:eastAsia="Arial" w:hAnsi="Arial"/>
                <w:sz w:val="14"/>
                <w:szCs w:val="14"/>
                <w:b w:val="1"/>
                <w:bCs w:val="1"/>
                <w:i w:val="1"/>
                <w:iCs w:val="1"/>
                <w:color w:val="auto"/>
              </w:rPr>
              <w:t>(in thousands)</w:t>
            </w: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2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2"/>
          </w:tcPr>
          <w:p>
            <w:pPr>
              <w:jc w:val="right"/>
              <w:ind w:right="119"/>
              <w:spacing w:after="0" w:line="155" w:lineRule="exact"/>
              <w:rPr>
                <w:sz w:val="20"/>
                <w:szCs w:val="20"/>
                <w:color w:val="auto"/>
              </w:rPr>
            </w:pPr>
            <w:r>
              <w:rPr>
                <w:rFonts w:ascii="Arial" w:cs="Arial" w:eastAsia="Arial" w:hAnsi="Arial"/>
                <w:sz w:val="14"/>
                <w:szCs w:val="14"/>
                <w:b w:val="1"/>
                <w:bCs w:val="1"/>
                <w:color w:val="auto"/>
                <w:w w:val="95"/>
              </w:rPr>
              <w:t>February 3, 2018</w:t>
            </w:r>
          </w:p>
        </w:tc>
        <w:tc>
          <w:tcPr>
            <w:tcW w:w="1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3"/>
          </w:tcPr>
          <w:p>
            <w:pPr>
              <w:jc w:val="center"/>
              <w:ind w:right="220"/>
              <w:spacing w:after="0" w:line="155" w:lineRule="exact"/>
              <w:rPr>
                <w:sz w:val="20"/>
                <w:szCs w:val="20"/>
                <w:color w:val="auto"/>
              </w:rPr>
            </w:pPr>
            <w:r>
              <w:rPr>
                <w:rFonts w:ascii="Arial" w:cs="Arial" w:eastAsia="Arial" w:hAnsi="Arial"/>
                <w:sz w:val="14"/>
                <w:szCs w:val="14"/>
                <w:b w:val="1"/>
                <w:bCs w:val="1"/>
                <w:color w:val="auto"/>
                <w:w w:val="92"/>
              </w:rPr>
              <w:t>January 28, 2017</w:t>
            </w:r>
          </w:p>
        </w:tc>
        <w:tc>
          <w:tcPr>
            <w:tcW w:w="2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3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jc w:val="center"/>
              <w:ind w:right="440"/>
              <w:spacing w:after="0" w:line="133" w:lineRule="exact"/>
              <w:rPr>
                <w:sz w:val="20"/>
                <w:szCs w:val="20"/>
                <w:color w:val="auto"/>
              </w:rPr>
            </w:pPr>
            <w:r>
              <w:rPr>
                <w:rFonts w:ascii="Arial" w:cs="Arial" w:eastAsia="Arial" w:hAnsi="Arial"/>
                <w:sz w:val="14"/>
                <w:szCs w:val="14"/>
                <w:b w:val="1"/>
                <w:bCs w:val="1"/>
                <w:color w:val="auto"/>
                <w:w w:val="83"/>
              </w:rPr>
              <w:t>Gross</w:t>
            </w:r>
          </w:p>
        </w:tc>
        <w:tc>
          <w:tcPr>
            <w:tcW w:w="120" w:type="dxa"/>
            <w:vAlign w:val="bottom"/>
          </w:tcPr>
          <w:p>
            <w:pPr>
              <w:spacing w:after="0"/>
              <w:rPr>
                <w:sz w:val="11"/>
                <w:szCs w:val="11"/>
                <w:color w:val="auto"/>
              </w:rPr>
            </w:pPr>
          </w:p>
        </w:tc>
        <w:tc>
          <w:tcPr>
            <w:tcW w:w="1160" w:type="dxa"/>
            <w:vAlign w:val="bottom"/>
            <w:vMerge w:val="restart"/>
          </w:tcPr>
          <w:p>
            <w:pPr>
              <w:jc w:val="right"/>
              <w:ind w:right="219"/>
              <w:spacing w:after="0"/>
              <w:rPr>
                <w:sz w:val="20"/>
                <w:szCs w:val="20"/>
                <w:color w:val="auto"/>
              </w:rPr>
            </w:pPr>
            <w:r>
              <w:rPr>
                <w:rFonts w:ascii="Arial" w:cs="Arial" w:eastAsia="Arial" w:hAnsi="Arial"/>
                <w:sz w:val="14"/>
                <w:szCs w:val="14"/>
                <w:b w:val="1"/>
                <w:bCs w:val="1"/>
                <w:color w:val="auto"/>
                <w:w w:val="95"/>
              </w:rPr>
              <w:t>Accumulated</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vMerge w:val="restart"/>
          </w:tcPr>
          <w:p>
            <w:pPr>
              <w:jc w:val="right"/>
              <w:ind w:right="401"/>
              <w:spacing w:after="0"/>
              <w:rPr>
                <w:sz w:val="20"/>
                <w:szCs w:val="20"/>
                <w:color w:val="auto"/>
              </w:rPr>
            </w:pPr>
            <w:r>
              <w:rPr>
                <w:rFonts w:ascii="Arial" w:cs="Arial" w:eastAsia="Arial" w:hAnsi="Arial"/>
                <w:sz w:val="14"/>
                <w:szCs w:val="14"/>
                <w:b w:val="1"/>
                <w:bCs w:val="1"/>
                <w:color w:val="auto"/>
              </w:rPr>
              <w:t>Net</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jc w:val="center"/>
              <w:ind w:right="101"/>
              <w:spacing w:after="0" w:line="133" w:lineRule="exact"/>
              <w:rPr>
                <w:sz w:val="20"/>
                <w:szCs w:val="20"/>
                <w:color w:val="auto"/>
              </w:rPr>
            </w:pPr>
            <w:r>
              <w:rPr>
                <w:rFonts w:ascii="Arial" w:cs="Arial" w:eastAsia="Arial" w:hAnsi="Arial"/>
                <w:sz w:val="14"/>
                <w:szCs w:val="14"/>
                <w:b w:val="1"/>
                <w:bCs w:val="1"/>
                <w:color w:val="auto"/>
                <w:w w:val="83"/>
              </w:rPr>
              <w:t>Gross</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1"/>
                <w:szCs w:val="11"/>
                <w:color w:val="auto"/>
              </w:rPr>
            </w:pPr>
          </w:p>
        </w:tc>
        <w:tc>
          <w:tcPr>
            <w:tcW w:w="10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center"/>
              <w:ind w:right="101"/>
              <w:spacing w:after="0" w:line="149" w:lineRule="exact"/>
              <w:rPr>
                <w:sz w:val="20"/>
                <w:szCs w:val="20"/>
                <w:color w:val="auto"/>
              </w:rPr>
            </w:pPr>
            <w:r>
              <w:rPr>
                <w:rFonts w:ascii="Arial" w:cs="Arial" w:eastAsia="Arial" w:hAnsi="Arial"/>
                <w:sz w:val="14"/>
                <w:szCs w:val="14"/>
                <w:b w:val="1"/>
                <w:bCs w:val="1"/>
                <w:color w:val="auto"/>
              </w:rPr>
              <w:t>Carrying</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4"/>
                <w:szCs w:val="14"/>
                <w:color w:val="auto"/>
              </w:rPr>
            </w:pPr>
          </w:p>
        </w:tc>
        <w:tc>
          <w:tcPr>
            <w:tcW w:w="1160" w:type="dxa"/>
            <w:vAlign w:val="bottom"/>
          </w:tcPr>
          <w:p>
            <w:pPr>
              <w:jc w:val="right"/>
              <w:ind w:right="219"/>
              <w:spacing w:after="0"/>
              <w:rPr>
                <w:sz w:val="20"/>
                <w:szCs w:val="20"/>
                <w:color w:val="auto"/>
              </w:rPr>
            </w:pPr>
            <w:r>
              <w:rPr>
                <w:rFonts w:ascii="Arial" w:cs="Arial" w:eastAsia="Arial" w:hAnsi="Arial"/>
                <w:sz w:val="14"/>
                <w:szCs w:val="14"/>
                <w:b w:val="1"/>
                <w:bCs w:val="1"/>
                <w:color w:val="auto"/>
                <w:w w:val="98"/>
              </w:rPr>
              <w:t>Amortization</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ind w:right="241"/>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center"/>
              <w:ind w:right="101"/>
              <w:spacing w:after="0"/>
              <w:rPr>
                <w:sz w:val="20"/>
                <w:szCs w:val="20"/>
                <w:color w:val="auto"/>
              </w:rPr>
            </w:pPr>
            <w:r>
              <w:rPr>
                <w:rFonts w:ascii="Arial" w:cs="Arial" w:eastAsia="Arial" w:hAnsi="Arial"/>
                <w:sz w:val="14"/>
                <w:szCs w:val="14"/>
                <w:b w:val="1"/>
                <w:bCs w:val="1"/>
                <w:color w:val="auto"/>
                <w:w w:val="94"/>
              </w:rPr>
              <w:t>Amount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Amortization</w:t>
            </w:r>
          </w:p>
        </w:tc>
        <w:tc>
          <w:tcPr>
            <w:tcW w:w="200" w:type="dxa"/>
            <w:vAlign w:val="bottom"/>
          </w:tcPr>
          <w:p>
            <w:pPr>
              <w:spacing w:after="0"/>
              <w:rPr>
                <w:sz w:val="14"/>
                <w:szCs w:val="14"/>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23"/>
        </w:trPr>
        <w:tc>
          <w:tcPr>
            <w:tcW w:w="32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Tradenames</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ind w:right="41"/>
              <w:spacing w:after="0"/>
              <w:rPr>
                <w:sz w:val="20"/>
                <w:szCs w:val="20"/>
                <w:color w:val="auto"/>
              </w:rPr>
            </w:pPr>
            <w:r>
              <w:rPr>
                <w:rFonts w:ascii="Arial" w:cs="Arial" w:eastAsia="Arial" w:hAnsi="Arial"/>
                <w:sz w:val="18"/>
                <w:szCs w:val="18"/>
                <w:color w:val="auto"/>
              </w:rPr>
              <w:t>238,000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238,000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238,000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238,000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0" w:type="dxa"/>
            <w:vAlign w:val="bottom"/>
            <w:vMerge w:val="restart"/>
          </w:tcPr>
          <w:p>
            <w:pPr>
              <w:spacing w:after="0"/>
              <w:rPr>
                <w:sz w:val="20"/>
                <w:szCs w:val="20"/>
                <w:color w:val="auto"/>
              </w:rPr>
            </w:pPr>
            <w:r>
              <w:rPr>
                <w:rFonts w:ascii="Arial" w:cs="Arial" w:eastAsia="Arial" w:hAnsi="Arial"/>
                <w:sz w:val="18"/>
                <w:szCs w:val="18"/>
                <w:color w:val="auto"/>
              </w:rPr>
              <w:t>Favorable leases</w:t>
            </w: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0" w:type="dxa"/>
            <w:vAlign w:val="bottom"/>
            <w:vMerge w:val="continue"/>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8"/>
                <w:szCs w:val="18"/>
                <w:color w:val="auto"/>
              </w:rPr>
              <w:t>442,322</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(253,375)</w:t>
            </w: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188,947</w:t>
            </w:r>
          </w:p>
        </w:tc>
        <w:tc>
          <w:tcPr>
            <w:tcW w:w="2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456,389</w:t>
            </w:r>
          </w:p>
        </w:tc>
        <w:tc>
          <w:tcPr>
            <w:tcW w:w="2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(243,209)</w:t>
            </w:r>
          </w:p>
        </w:tc>
        <w:tc>
          <w:tcPr>
            <w:tcW w:w="2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213,180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Favorable Leases</w:t>
      </w:r>
    </w:p>
    <w:p>
      <w:pPr>
        <w:spacing w:after="0" w:line="117" w:lineRule="exact"/>
        <w:rPr>
          <w:sz w:val="20"/>
          <w:szCs w:val="20"/>
          <w:color w:val="auto"/>
        </w:rPr>
      </w:pPr>
    </w:p>
    <w:p>
      <w:pPr>
        <w:ind w:right="140" w:firstLine="518"/>
        <w:spacing w:after="0" w:line="312" w:lineRule="auto"/>
        <w:rPr>
          <w:sz w:val="20"/>
          <w:szCs w:val="20"/>
          <w:color w:val="auto"/>
        </w:rPr>
      </w:pPr>
      <w:r>
        <w:rPr>
          <w:rFonts w:ascii="Arial" w:cs="Arial" w:eastAsia="Arial" w:hAnsi="Arial"/>
          <w:sz w:val="16"/>
          <w:szCs w:val="16"/>
          <w:color w:val="auto"/>
        </w:rPr>
        <w:t>The decrease in the gross carrying amount of the Company’s favorable leases from January 28, 2017 to February 3, 2018 reflects a reduction of $</w:t>
      </w:r>
      <w:r>
        <w:rPr>
          <w:rFonts w:ascii="Arial" w:cs="Arial" w:eastAsia="Arial" w:hAnsi="Arial"/>
          <w:sz w:val="15"/>
          <w:szCs w:val="15"/>
          <w:color w:val="auto"/>
        </w:rPr>
        <w:t>13.2</w:t>
      </w:r>
      <w:r>
        <w:rPr>
          <w:rFonts w:ascii="Arial" w:cs="Arial" w:eastAsia="Arial" w:hAnsi="Arial"/>
          <w:sz w:val="16"/>
          <w:szCs w:val="16"/>
          <w:color w:val="auto"/>
        </w:rPr>
        <w:t xml:space="preserve"> million during Fiscal 2017 from the write-off of certain favorable leases becoming fully amortized during the period, as well as $0.8 million related to the impairment of two stores. Refer to Note 6, “Impairment Charges,” for further discussion related to impairment charges of favorable leases.</w:t>
      </w:r>
    </w:p>
    <w:p>
      <w:pPr>
        <w:spacing w:after="0" w:line="147"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Accumulated amortization of favorable leases as of February 3, 2018 reflects Fiscal 2017 amortization expense of $</w:t>
      </w:r>
      <w:r>
        <w:rPr>
          <w:rFonts w:ascii="Arial" w:cs="Arial" w:eastAsia="Arial" w:hAnsi="Arial"/>
          <w:sz w:val="17"/>
          <w:szCs w:val="17"/>
          <w:color w:val="auto"/>
        </w:rPr>
        <w:t>23.3</w:t>
      </w:r>
      <w:r>
        <w:rPr>
          <w:rFonts w:ascii="Arial" w:cs="Arial" w:eastAsia="Arial" w:hAnsi="Arial"/>
          <w:sz w:val="18"/>
          <w:szCs w:val="18"/>
          <w:color w:val="auto"/>
        </w:rPr>
        <w:t xml:space="preserve"> million, partially offset by a decrease of $</w:t>
      </w:r>
      <w:r>
        <w:rPr>
          <w:rFonts w:ascii="Arial" w:cs="Arial" w:eastAsia="Arial" w:hAnsi="Arial"/>
          <w:sz w:val="17"/>
          <w:szCs w:val="17"/>
          <w:color w:val="auto"/>
        </w:rPr>
        <w:t>13.2</w:t>
      </w:r>
      <w:r>
        <w:rPr>
          <w:rFonts w:ascii="Arial" w:cs="Arial" w:eastAsia="Arial" w:hAnsi="Arial"/>
          <w:sz w:val="18"/>
          <w:szCs w:val="18"/>
          <w:color w:val="auto"/>
        </w:rPr>
        <w:t xml:space="preserve"> million related to the write-off of fully amortized leases, as discussed above.</w:t>
      </w:r>
    </w:p>
    <w:p>
      <w:pPr>
        <w:spacing w:after="0" w:line="170"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color w:val="auto"/>
        </w:rPr>
        <w:t xml:space="preserve">The weighted average amortization period remaining for the Company’s favorable leases is </w:t>
      </w:r>
      <w:r>
        <w:rPr>
          <w:rFonts w:ascii="Arial" w:cs="Arial" w:eastAsia="Arial" w:hAnsi="Arial"/>
          <w:sz w:val="17"/>
          <w:szCs w:val="17"/>
          <w:color w:val="auto"/>
        </w:rPr>
        <w:t>12.5</w:t>
      </w:r>
      <w:r>
        <w:rPr>
          <w:rFonts w:ascii="Arial" w:cs="Arial" w:eastAsia="Arial" w:hAnsi="Arial"/>
          <w:sz w:val="18"/>
          <w:szCs w:val="18"/>
          <w:color w:val="auto"/>
        </w:rPr>
        <w:t xml:space="preserve"> years. Amortization expense of favorable leases for each of the next five fiscal years and thereafter is estimated to be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60" w:type="dxa"/>
            <w:vAlign w:val="bottom"/>
            <w:gridSpan w:val="2"/>
          </w:tcPr>
          <w:p>
            <w:pPr>
              <w:ind w:left="2300"/>
              <w:spacing w:after="0"/>
              <w:rPr>
                <w:sz w:val="20"/>
                <w:szCs w:val="20"/>
                <w:color w:val="auto"/>
              </w:rPr>
            </w:pPr>
            <w:r>
              <w:rPr>
                <w:rFonts w:ascii="Arial" w:cs="Arial" w:eastAsia="Arial" w:hAnsi="Arial"/>
                <w:sz w:val="14"/>
                <w:szCs w:val="14"/>
                <w:b w:val="1"/>
                <w:bCs w:val="1"/>
                <w:color w:val="auto"/>
              </w:rPr>
              <w:t>Fiscal Years:</w:t>
            </w:r>
          </w:p>
        </w:tc>
        <w:tc>
          <w:tcPr>
            <w:tcW w:w="3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right"/>
              <w:ind w:right="152"/>
              <w:spacing w:after="0"/>
              <w:rPr>
                <w:sz w:val="20"/>
                <w:szCs w:val="20"/>
                <w:color w:val="auto"/>
              </w:rPr>
            </w:pPr>
            <w:r>
              <w:rPr>
                <w:rFonts w:ascii="Arial" w:cs="Arial" w:eastAsia="Arial" w:hAnsi="Arial"/>
                <w:sz w:val="14"/>
                <w:szCs w:val="14"/>
                <w:b w:val="1"/>
                <w:bCs w:val="1"/>
                <w:i w:val="1"/>
                <w:iCs w:val="1"/>
                <w:color w:val="auto"/>
                <w:w w:val="91"/>
              </w:rPr>
              <w:t>(in thousands)</w:t>
            </w: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20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2018</w:t>
            </w:r>
          </w:p>
        </w:tc>
        <w:tc>
          <w:tcPr>
            <w:tcW w:w="34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20,733</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2019</w:t>
            </w:r>
          </w:p>
        </w:tc>
        <w:tc>
          <w:tcPr>
            <w:tcW w:w="3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20,255</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206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3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19,010</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2021</w:t>
            </w:r>
          </w:p>
        </w:tc>
        <w:tc>
          <w:tcPr>
            <w:tcW w:w="3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18,501</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206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3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16,668</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20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34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93,780</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20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34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188,947</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400" w:type="dxa"/>
            <w:vAlign w:val="bottom"/>
            <w:vMerge w:val="restart"/>
          </w:tcPr>
          <w:p>
            <w:pPr>
              <w:jc w:val="right"/>
              <w:ind w:right="1870"/>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8"/>
        </w:trPr>
        <w:tc>
          <w:tcPr>
            <w:tcW w:w="23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4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300" w:type="dxa"/>
            <w:vAlign w:val="bottom"/>
            <w:tcBorders>
              <w:bottom w:val="single" w:sz="8" w:color="9A9A9A"/>
            </w:tcBorders>
          </w:tcPr>
          <w:p>
            <w:pPr>
              <w:spacing w:after="0"/>
              <w:rPr>
                <w:sz w:val="10"/>
                <w:szCs w:val="10"/>
                <w:color w:val="auto"/>
              </w:rPr>
            </w:pPr>
          </w:p>
        </w:tc>
        <w:tc>
          <w:tcPr>
            <w:tcW w:w="2060" w:type="dxa"/>
            <w:vAlign w:val="bottom"/>
            <w:tcBorders>
              <w:bottom w:val="single" w:sz="8" w:color="9A9A9A"/>
            </w:tcBorders>
          </w:tcPr>
          <w:p>
            <w:pPr>
              <w:spacing w:after="0"/>
              <w:rPr>
                <w:sz w:val="10"/>
                <w:szCs w:val="10"/>
                <w:color w:val="auto"/>
              </w:rPr>
            </w:pPr>
          </w:p>
        </w:tc>
        <w:tc>
          <w:tcPr>
            <w:tcW w:w="34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3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6. Impairment Charges</w:t>
      </w:r>
    </w:p>
    <w:p>
      <w:pPr>
        <w:spacing w:after="0" w:line="121" w:lineRule="exact"/>
        <w:rPr>
          <w:sz w:val="20"/>
          <w:szCs w:val="20"/>
          <w:color w:val="auto"/>
        </w:rPr>
      </w:pPr>
    </w:p>
    <w:p>
      <w:pPr>
        <w:jc w:val="both"/>
        <w:ind w:right="220" w:firstLine="518"/>
        <w:spacing w:after="0" w:line="312" w:lineRule="auto"/>
        <w:rPr>
          <w:sz w:val="20"/>
          <w:szCs w:val="20"/>
          <w:color w:val="auto"/>
        </w:rPr>
      </w:pPr>
      <w:r>
        <w:rPr>
          <w:rFonts w:ascii="Arial" w:cs="Arial" w:eastAsia="Arial" w:hAnsi="Arial"/>
          <w:sz w:val="16"/>
          <w:szCs w:val="16"/>
          <w:color w:val="auto"/>
        </w:rPr>
        <w:t xml:space="preserve">Impairment charges recorded during Fiscal 2017, Fiscal 2016 and Fiscal 2015 amounted to $2.1 </w:t>
      </w:r>
      <w:r>
        <w:rPr>
          <w:rFonts w:ascii="Arial" w:cs="Arial" w:eastAsia="Arial" w:hAnsi="Arial"/>
          <w:sz w:val="15"/>
          <w:szCs w:val="15"/>
          <w:color w:val="auto"/>
        </w:rPr>
        <w:t>million,</w:t>
      </w:r>
      <w:r>
        <w:rPr>
          <w:rFonts w:ascii="Arial" w:cs="Arial" w:eastAsia="Arial" w:hAnsi="Arial"/>
          <w:sz w:val="16"/>
          <w:szCs w:val="16"/>
          <w:color w:val="auto"/>
        </w:rPr>
        <w:t xml:space="preserve"> $2.5 million and $6.1 million, respectively, and are primarily related to declines in revenues and operating results of the respective stores. Additionally, during Fiscal 2017, a portion of the impairment related to a decline in the appraised fair value of one of the Company’s owned stores. Impairment charges during these periods related to the following:</w:t>
      </w:r>
    </w:p>
    <w:p>
      <w:pPr>
        <w:spacing w:after="0" w:line="223" w:lineRule="exact"/>
        <w:rPr>
          <w:sz w:val="20"/>
          <w:szCs w:val="20"/>
          <w:color w:val="auto"/>
        </w:rPr>
      </w:pPr>
    </w:p>
    <w:tbl>
      <w:tblPr>
        <w:tblLayout w:type="fixed"/>
        <w:tblInd w:w="11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i w:val="1"/>
                <w:iCs w:val="1"/>
                <w:color w:val="auto"/>
                <w:w w:val="89"/>
              </w:rPr>
              <w:t>(in thousands)</w:t>
            </w: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4"/>
          </w:tcPr>
          <w:p>
            <w:pPr>
              <w:jc w:val="center"/>
              <w:ind w:right="20"/>
              <w:spacing w:after="0" w:line="155" w:lineRule="exact"/>
              <w:rPr>
                <w:sz w:val="20"/>
                <w:szCs w:val="20"/>
                <w:color w:val="auto"/>
              </w:rPr>
            </w:pPr>
            <w:r>
              <w:rPr>
                <w:rFonts w:ascii="Arial" w:cs="Arial" w:eastAsia="Arial" w:hAnsi="Arial"/>
                <w:sz w:val="14"/>
                <w:szCs w:val="14"/>
                <w:b w:val="1"/>
                <w:bCs w:val="1"/>
                <w:color w:val="auto"/>
                <w:w w:val="90"/>
              </w:rPr>
              <w:t>Fiscal Years Ended</w:t>
            </w:r>
          </w:p>
        </w:tc>
        <w:tc>
          <w:tcPr>
            <w:tcW w:w="1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5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Asset Categories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right"/>
              <w:ind w:right="94"/>
              <w:spacing w:after="0" w:line="133" w:lineRule="exact"/>
              <w:rPr>
                <w:sz w:val="20"/>
                <w:szCs w:val="20"/>
                <w:color w:val="auto"/>
              </w:rPr>
            </w:pPr>
            <w:r>
              <w:rPr>
                <w:rFonts w:ascii="Arial" w:cs="Arial" w:eastAsia="Arial" w:hAnsi="Arial"/>
                <w:sz w:val="14"/>
                <w:szCs w:val="14"/>
                <w:b w:val="1"/>
                <w:bCs w:val="1"/>
                <w:color w:val="auto"/>
              </w:rPr>
              <w:t>February 3,</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jc w:val="center"/>
              <w:ind w:right="320"/>
              <w:spacing w:after="0" w:line="133" w:lineRule="exact"/>
              <w:rPr>
                <w:sz w:val="20"/>
                <w:szCs w:val="20"/>
                <w:color w:val="auto"/>
              </w:rPr>
            </w:pPr>
            <w:r>
              <w:rPr>
                <w:rFonts w:ascii="Arial" w:cs="Arial" w:eastAsia="Arial" w:hAnsi="Arial"/>
                <w:sz w:val="14"/>
                <w:szCs w:val="14"/>
                <w:b w:val="1"/>
                <w:bCs w:val="1"/>
                <w:color w:val="auto"/>
                <w:w w:val="93"/>
              </w:rPr>
              <w:t>January 28,</w:t>
            </w:r>
          </w:p>
        </w:tc>
        <w:tc>
          <w:tcPr>
            <w:tcW w:w="120" w:type="dxa"/>
            <w:vAlign w:val="bottom"/>
          </w:tcPr>
          <w:p>
            <w:pPr>
              <w:spacing w:after="0"/>
              <w:rPr>
                <w:sz w:val="11"/>
                <w:szCs w:val="11"/>
                <w:color w:val="auto"/>
              </w:rPr>
            </w:pPr>
          </w:p>
        </w:tc>
        <w:tc>
          <w:tcPr>
            <w:tcW w:w="960" w:type="dxa"/>
            <w:vAlign w:val="bottom"/>
          </w:tcPr>
          <w:p>
            <w:pPr>
              <w:jc w:val="right"/>
              <w:ind w:right="114"/>
              <w:spacing w:after="0" w:line="133" w:lineRule="exact"/>
              <w:rPr>
                <w:sz w:val="20"/>
                <w:szCs w:val="20"/>
                <w:color w:val="auto"/>
              </w:rPr>
            </w:pPr>
            <w:r>
              <w:rPr>
                <w:rFonts w:ascii="Arial" w:cs="Arial" w:eastAsia="Arial" w:hAnsi="Arial"/>
                <w:sz w:val="14"/>
                <w:szCs w:val="14"/>
                <w:b w:val="1"/>
                <w:bCs w:val="1"/>
                <w:color w:val="auto"/>
                <w:w w:val="95"/>
              </w:rPr>
              <w:t>January 30,</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2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ind w:right="314"/>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ind w:right="15"/>
              <w:spacing w:after="0"/>
              <w:rPr>
                <w:sz w:val="20"/>
                <w:szCs w:val="20"/>
                <w:color w:val="auto"/>
              </w:rPr>
            </w:pPr>
            <w:r>
              <w:rPr>
                <w:rFonts w:ascii="Arial" w:cs="Arial" w:eastAsia="Arial" w:hAnsi="Arial"/>
                <w:sz w:val="14"/>
                <w:szCs w:val="14"/>
                <w:b w:val="1"/>
                <w:bCs w:val="1"/>
                <w:color w:val="auto"/>
                <w:w w:val="89"/>
              </w:rPr>
              <w:t>2017</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ind w:right="334"/>
              <w:spacing w:after="0"/>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Favorable leases</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836</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1,550</w:t>
            </w:r>
          </w:p>
        </w:tc>
        <w:tc>
          <w:tcPr>
            <w:tcW w:w="220" w:type="dxa"/>
            <w:vAlign w:val="bottom"/>
            <w:tcBorders>
              <w:right w:val="single" w:sz="8" w:color="CFF0FC"/>
            </w:tcBorders>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3,318</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Store fixtures and equipment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1,146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387</w:t>
            </w:r>
          </w:p>
        </w:tc>
        <w:tc>
          <w:tcPr>
            <w:tcW w:w="22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73</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Software</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Buildings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Land</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Pr>
          <w:p>
            <w:pPr>
              <w:ind w:left="24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2,127</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2,450</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6,111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 xml:space="preserve">The Company recorded impairment charges related to store-level assets for four </w:t>
      </w:r>
      <w:r>
        <w:rPr>
          <w:rFonts w:ascii="Arial" w:cs="Arial" w:eastAsia="Arial" w:hAnsi="Arial"/>
          <w:sz w:val="17"/>
          <w:szCs w:val="17"/>
          <w:color w:val="auto"/>
        </w:rPr>
        <w:t>stores during</w:t>
      </w:r>
      <w:r>
        <w:rPr>
          <w:rFonts w:ascii="Arial" w:cs="Arial" w:eastAsia="Arial" w:hAnsi="Arial"/>
          <w:sz w:val="18"/>
          <w:szCs w:val="18"/>
          <w:color w:val="auto"/>
        </w:rPr>
        <w:t xml:space="preserve"> Fiscal 2017</w:t>
      </w:r>
      <w:r>
        <w:rPr>
          <w:rFonts w:ascii="Arial" w:cs="Arial" w:eastAsia="Arial" w:hAnsi="Arial"/>
          <w:sz w:val="17"/>
          <w:szCs w:val="17"/>
          <w:color w:val="auto"/>
        </w:rPr>
        <w:t>,</w:t>
      </w:r>
      <w:r>
        <w:rPr>
          <w:rFonts w:ascii="Arial" w:cs="Arial" w:eastAsia="Arial" w:hAnsi="Arial"/>
          <w:sz w:val="18"/>
          <w:szCs w:val="18"/>
          <w:color w:val="auto"/>
        </w:rPr>
        <w:t xml:space="preserve"> five stores during Fiscal 2016 and five stores during Fiscal 2015. During Fiscal 2016 and Fiscal 2015, the Company also recorded impairment charges for capital expenditures for previously impaired stores.</w:t>
      </w:r>
    </w:p>
    <w:p>
      <w:pPr>
        <w:spacing w:after="0" w:line="181" w:lineRule="exact"/>
        <w:rPr>
          <w:sz w:val="20"/>
          <w:szCs w:val="20"/>
          <w:color w:val="auto"/>
        </w:rPr>
      </w:pPr>
    </w:p>
    <w:p>
      <w:pPr>
        <w:ind w:right="100" w:firstLine="518"/>
        <w:spacing w:after="0" w:line="255" w:lineRule="auto"/>
        <w:rPr>
          <w:sz w:val="20"/>
          <w:szCs w:val="20"/>
          <w:color w:val="auto"/>
        </w:rPr>
      </w:pPr>
      <w:r>
        <w:rPr>
          <w:rFonts w:ascii="Arial" w:cs="Arial" w:eastAsia="Arial" w:hAnsi="Arial"/>
          <w:sz w:val="18"/>
          <w:szCs w:val="18"/>
          <w:color w:val="auto"/>
        </w:rPr>
        <w:t>Long-lived assets are measured at fair value on a non-recurring basis for purposes of calculating impairment using the fair value hierarchy of ASC Topic No. 820 “Fair Value Measurements” (Topic No. 820). Refer to Note 16, “Fair Value of Financial Instruments,” for further discussion of the Company’s fair value hierarchy. The fair value of the Company’s long-lived assets is generally calculated using discounted cash flows. Two of the impaired stores were fully impaired during Fiscal 2017. They had zero fair value as of February 3, 2018. The remaining two impaired stores were partially impaired during Fiscal 2017. The table below sets forth, by level within the fair value hierarchy, the fair value of the partially-impaired stores, subsequent to impairment charges as of February 3, 2018:</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4"/>
                <w:szCs w:val="14"/>
                <w:b w:val="1"/>
                <w:bCs w:val="1"/>
                <w:i w:val="1"/>
                <w:iCs w:val="1"/>
                <w:color w:val="auto"/>
                <w:w w:val="89"/>
              </w:rPr>
              <w:t>(in thousands)</w:t>
            </w: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300" w:type="dxa"/>
            <w:vAlign w:val="bottom"/>
          </w:tcPr>
          <w:p>
            <w:pPr>
              <w:spacing w:after="0"/>
              <w:rPr>
                <w:sz w:val="11"/>
                <w:szCs w:val="11"/>
                <w:color w:val="auto"/>
              </w:rPr>
            </w:pPr>
          </w:p>
        </w:tc>
        <w:tc>
          <w:tcPr>
            <w:tcW w:w="1240" w:type="dxa"/>
            <w:vAlign w:val="bottom"/>
            <w:gridSpan w:val="3"/>
          </w:tcPr>
          <w:p>
            <w:pPr>
              <w:jc w:val="center"/>
              <w:ind w:right="220"/>
              <w:spacing w:after="0" w:line="133" w:lineRule="exact"/>
              <w:rPr>
                <w:sz w:val="20"/>
                <w:szCs w:val="20"/>
                <w:color w:val="auto"/>
              </w:rPr>
            </w:pPr>
            <w:r>
              <w:rPr>
                <w:rFonts w:ascii="Arial" w:cs="Arial" w:eastAsia="Arial" w:hAnsi="Arial"/>
                <w:sz w:val="14"/>
                <w:szCs w:val="14"/>
                <w:b w:val="1"/>
                <w:bCs w:val="1"/>
                <w:color w:val="auto"/>
                <w:w w:val="90"/>
              </w:rPr>
              <w:t>Quoted Prices</w:t>
            </w:r>
          </w:p>
        </w:tc>
        <w:tc>
          <w:tcPr>
            <w:tcW w:w="120" w:type="dxa"/>
            <w:vAlign w:val="bottom"/>
          </w:tcPr>
          <w:p>
            <w:pPr>
              <w:spacing w:after="0"/>
              <w:rPr>
                <w:sz w:val="11"/>
                <w:szCs w:val="11"/>
                <w:color w:val="auto"/>
              </w:rPr>
            </w:pPr>
          </w:p>
        </w:tc>
        <w:tc>
          <w:tcPr>
            <w:tcW w:w="920" w:type="dxa"/>
            <w:vAlign w:val="bottom"/>
          </w:tcPr>
          <w:p>
            <w:pPr>
              <w:jc w:val="center"/>
              <w:ind w:right="57"/>
              <w:spacing w:after="0" w:line="133" w:lineRule="exact"/>
              <w:rPr>
                <w:sz w:val="20"/>
                <w:szCs w:val="20"/>
                <w:color w:val="auto"/>
              </w:rPr>
            </w:pPr>
            <w:r>
              <w:rPr>
                <w:rFonts w:ascii="Arial" w:cs="Arial" w:eastAsia="Arial" w:hAnsi="Arial"/>
                <w:sz w:val="14"/>
                <w:szCs w:val="14"/>
                <w:b w:val="1"/>
                <w:bCs w:val="1"/>
                <w:color w:val="auto"/>
                <w:w w:val="92"/>
              </w:rPr>
              <w:t>Significant</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2"/>
              </w:rPr>
              <w:t>Significant</w:t>
            </w: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in Active</w:t>
            </w:r>
          </w:p>
        </w:tc>
        <w:tc>
          <w:tcPr>
            <w:tcW w:w="120" w:type="dxa"/>
            <w:vAlign w:val="bottom"/>
          </w:tcPr>
          <w:p>
            <w:pPr>
              <w:spacing w:after="0"/>
              <w:rPr>
                <w:sz w:val="12"/>
                <w:szCs w:val="12"/>
                <w:color w:val="auto"/>
              </w:rPr>
            </w:pPr>
          </w:p>
        </w:tc>
        <w:tc>
          <w:tcPr>
            <w:tcW w:w="92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Un-</w:t>
            </w: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8"/>
              </w:rPr>
              <w:t>Markets for</w:t>
            </w:r>
          </w:p>
        </w:tc>
        <w:tc>
          <w:tcPr>
            <w:tcW w:w="120" w:type="dxa"/>
            <w:vAlign w:val="bottom"/>
          </w:tcPr>
          <w:p>
            <w:pPr>
              <w:spacing w:after="0"/>
              <w:rPr>
                <w:sz w:val="12"/>
                <w:szCs w:val="12"/>
                <w:color w:val="auto"/>
              </w:rPr>
            </w:pPr>
          </w:p>
        </w:tc>
        <w:tc>
          <w:tcPr>
            <w:tcW w:w="92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1"/>
              </w:rPr>
              <w:t>Observable</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Observable</w:t>
            </w: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00" w:type="dxa"/>
            <w:vAlign w:val="bottom"/>
          </w:tcPr>
          <w:p>
            <w:pPr>
              <w:spacing w:after="0"/>
              <w:rPr>
                <w:sz w:val="12"/>
                <w:szCs w:val="12"/>
                <w:color w:val="auto"/>
              </w:rPr>
            </w:pPr>
          </w:p>
        </w:tc>
        <w:tc>
          <w:tcPr>
            <w:tcW w:w="12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Identical Assets</w:t>
            </w:r>
          </w:p>
        </w:tc>
        <w:tc>
          <w:tcPr>
            <w:tcW w:w="120" w:type="dxa"/>
            <w:vAlign w:val="bottom"/>
          </w:tcPr>
          <w:p>
            <w:pPr>
              <w:spacing w:after="0"/>
              <w:rPr>
                <w:sz w:val="12"/>
                <w:szCs w:val="12"/>
                <w:color w:val="auto"/>
              </w:rPr>
            </w:pPr>
          </w:p>
        </w:tc>
        <w:tc>
          <w:tcPr>
            <w:tcW w:w="92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95"/>
              </w:rPr>
              <w:t>Inputs</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Inputs</w:t>
            </w:r>
          </w:p>
        </w:tc>
        <w:tc>
          <w:tcPr>
            <w:tcW w:w="220" w:type="dxa"/>
            <w:vAlign w:val="bottom"/>
          </w:tcPr>
          <w:p>
            <w:pPr>
              <w:spacing w:after="0"/>
              <w:rPr>
                <w:sz w:val="12"/>
                <w:szCs w:val="12"/>
                <w:color w:val="auto"/>
              </w:rPr>
            </w:pPr>
          </w:p>
        </w:tc>
        <w:tc>
          <w:tcPr>
            <w:tcW w:w="82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8"/>
              </w:rPr>
              <w:t>Impairment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(Level 1)</w:t>
            </w:r>
          </w:p>
        </w:tc>
        <w:tc>
          <w:tcPr>
            <w:tcW w:w="120" w:type="dxa"/>
            <w:vAlign w:val="bottom"/>
          </w:tcPr>
          <w:p>
            <w:pPr>
              <w:spacing w:after="0"/>
              <w:rPr>
                <w:sz w:val="14"/>
                <w:szCs w:val="14"/>
                <w:color w:val="auto"/>
              </w:rPr>
            </w:pPr>
          </w:p>
        </w:tc>
        <w:tc>
          <w:tcPr>
            <w:tcW w:w="920" w:type="dxa"/>
            <w:vAlign w:val="bottom"/>
          </w:tcPr>
          <w:p>
            <w:pPr>
              <w:jc w:val="center"/>
              <w:ind w:right="57"/>
              <w:spacing w:after="0"/>
              <w:rPr>
                <w:sz w:val="20"/>
                <w:szCs w:val="20"/>
                <w:color w:val="auto"/>
              </w:rPr>
            </w:pPr>
            <w:r>
              <w:rPr>
                <w:rFonts w:ascii="Arial" w:cs="Arial" w:eastAsia="Arial" w:hAnsi="Arial"/>
                <w:sz w:val="14"/>
                <w:szCs w:val="14"/>
                <w:b w:val="1"/>
                <w:bCs w:val="1"/>
                <w:color w:val="auto"/>
                <w:w w:val="94"/>
              </w:rPr>
              <w:t>(Level 2)</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(Level 3)</w:t>
            </w:r>
          </w:p>
        </w:tc>
        <w:tc>
          <w:tcPr>
            <w:tcW w:w="2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2"/>
              </w:rPr>
              <w:t>Losses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Land</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ind w:left="72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ind w:left="72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470</w:t>
            </w:r>
          </w:p>
        </w:tc>
        <w:tc>
          <w:tcPr>
            <w:tcW w:w="2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470</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tcPr>
          <w:p>
            <w:pPr>
              <w:spacing w:after="0"/>
              <w:rPr>
                <w:sz w:val="20"/>
                <w:szCs w:val="20"/>
                <w:color w:val="auto"/>
              </w:rPr>
            </w:pPr>
            <w:r>
              <w:rPr>
                <w:rFonts w:ascii="Arial" w:cs="Arial" w:eastAsia="Arial" w:hAnsi="Arial"/>
                <w:sz w:val="18"/>
                <w:szCs w:val="18"/>
                <w:color w:val="auto"/>
              </w:rPr>
              <w:t>Buildings</w:t>
            </w:r>
          </w:p>
        </w:tc>
        <w:tc>
          <w:tcPr>
            <w:tcW w:w="120" w:type="dxa"/>
            <w:vAlign w:val="bottom"/>
          </w:tcPr>
          <w:p>
            <w:pPr>
              <w:spacing w:after="0"/>
              <w:rPr>
                <w:sz w:val="19"/>
                <w:szCs w:val="19"/>
                <w:color w:val="auto"/>
              </w:rPr>
            </w:pPr>
          </w:p>
        </w:tc>
        <w:tc>
          <w:tcPr>
            <w:tcW w:w="11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20" w:type="dxa"/>
            <w:vAlign w:val="bottom"/>
          </w:tcPr>
          <w:p>
            <w:pPr>
              <w:ind w:left="72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333</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Store fixtures and equipment</w:t>
            </w: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ind w:left="7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ind w:left="72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20" w:type="dxa"/>
            <w:vAlign w:val="bottom"/>
          </w:tcPr>
          <w:p>
            <w:pPr>
              <w:spacing w:after="0"/>
              <w:rPr>
                <w:sz w:val="19"/>
                <w:szCs w:val="19"/>
                <w:color w:val="auto"/>
              </w:rPr>
            </w:pPr>
          </w:p>
        </w:tc>
        <w:tc>
          <w:tcPr>
            <w:tcW w:w="11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20" w:type="dxa"/>
            <w:vAlign w:val="bottom"/>
          </w:tcPr>
          <w:p>
            <w:pPr>
              <w:ind w:left="72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84</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Favorable leases</w:t>
            </w: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ind w:left="7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ind w:left="72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tcPr>
          <w:p>
            <w:pPr>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19"/>
                <w:szCs w:val="19"/>
                <w:color w:val="auto"/>
              </w:rPr>
            </w:pPr>
          </w:p>
        </w:tc>
        <w:tc>
          <w:tcPr>
            <w:tcW w:w="11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20" w:type="dxa"/>
            <w:vAlign w:val="bottom"/>
          </w:tcPr>
          <w:p>
            <w:pPr>
              <w:ind w:left="72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ind w:left="72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ind w:left="72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958</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8"/>
        </w:trPr>
        <w:tc>
          <w:tcPr>
            <w:tcW w:w="5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ind w:left="200"/>
              <w:spacing w:after="0"/>
              <w:rPr>
                <w:sz w:val="20"/>
                <w:szCs w:val="20"/>
                <w:color w:val="auto"/>
              </w:rPr>
            </w:pPr>
            <w:r>
              <w:rPr>
                <w:rFonts w:ascii="Arial" w:cs="Arial" w:eastAsia="Arial" w:hAnsi="Arial"/>
                <w:sz w:val="18"/>
                <w:szCs w:val="18"/>
                <w:color w:val="auto"/>
              </w:rPr>
              <w:t>62</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3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7. Long Term Debt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Long term debt consists of:</w:t>
      </w:r>
    </w:p>
    <w:p>
      <w:pPr>
        <w:spacing w:after="0" w:line="234" w:lineRule="exact"/>
        <w:rPr>
          <w:sz w:val="20"/>
          <w:szCs w:val="20"/>
          <w:color w:val="auto"/>
        </w:rPr>
      </w:pPr>
    </w:p>
    <w:tbl>
      <w:tblPr>
        <w:tblLayout w:type="fixed"/>
        <w:tblInd w:w="11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60" w:type="dxa"/>
            <w:vAlign w:val="bottom"/>
            <w:gridSpan w:val="6"/>
          </w:tcPr>
          <w:p>
            <w:pPr>
              <w:jc w:val="right"/>
              <w:ind w:right="1040"/>
              <w:spacing w:after="0"/>
              <w:rPr>
                <w:sz w:val="20"/>
                <w:szCs w:val="20"/>
                <w:color w:val="auto"/>
              </w:rPr>
            </w:pPr>
            <w:r>
              <w:rPr>
                <w:rFonts w:ascii="Arial" w:cs="Arial" w:eastAsia="Arial" w:hAnsi="Arial"/>
                <w:sz w:val="14"/>
                <w:szCs w:val="14"/>
                <w:b w:val="1"/>
                <w:bCs w:val="1"/>
                <w:i w:val="1"/>
                <w:iCs w:val="1"/>
                <w:color w:val="auto"/>
              </w:rPr>
              <w:t>(in thousands)</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gridSpan w:val="2"/>
          </w:tcPr>
          <w:p>
            <w:pPr>
              <w:jc w:val="right"/>
              <w:ind w:right="420"/>
              <w:spacing w:after="0" w:line="147" w:lineRule="exact"/>
              <w:rPr>
                <w:sz w:val="20"/>
                <w:szCs w:val="20"/>
                <w:color w:val="auto"/>
              </w:rPr>
            </w:pPr>
            <w:r>
              <w:rPr>
                <w:rFonts w:ascii="Arial" w:cs="Arial" w:eastAsia="Arial" w:hAnsi="Arial"/>
                <w:sz w:val="14"/>
                <w:szCs w:val="14"/>
                <w:b w:val="1"/>
                <w:bCs w:val="1"/>
                <w:color w:val="auto"/>
              </w:rPr>
              <w:t>February 3,</w:t>
            </w:r>
          </w:p>
        </w:tc>
        <w:tc>
          <w:tcPr>
            <w:tcW w:w="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right"/>
              <w:ind w:right="194"/>
              <w:spacing w:after="0" w:line="147" w:lineRule="exact"/>
              <w:rPr>
                <w:sz w:val="20"/>
                <w:szCs w:val="20"/>
                <w:color w:val="auto"/>
              </w:rPr>
            </w:pPr>
            <w:r>
              <w:rPr>
                <w:rFonts w:ascii="Arial" w:cs="Arial" w:eastAsia="Arial" w:hAnsi="Arial"/>
                <w:sz w:val="14"/>
                <w:szCs w:val="14"/>
                <w:b w:val="1"/>
                <w:bCs w:val="1"/>
                <w:color w:val="auto"/>
              </w:rPr>
              <w:t>January 28,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200" w:type="dxa"/>
            <w:vAlign w:val="bottom"/>
            <w:gridSpan w:val="2"/>
            <w:vMerge w:val="restart"/>
          </w:tcPr>
          <w:p>
            <w:pPr>
              <w:spacing w:after="0"/>
              <w:rPr>
                <w:sz w:val="20"/>
                <w:szCs w:val="20"/>
                <w:color w:val="auto"/>
              </w:rPr>
            </w:pPr>
            <w:r>
              <w:rPr>
                <w:rFonts w:ascii="Arial" w:cs="Arial" w:eastAsia="Arial" w:hAnsi="Arial"/>
                <w:sz w:val="18"/>
                <w:szCs w:val="18"/>
                <w:color w:val="auto"/>
                <w:w w:val="94"/>
              </w:rPr>
              <w:t>$1,200,000 senior secured term loan facility (Term B-5 Loans), LIBOR (with a floor</w:t>
            </w: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2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00" w:type="dxa"/>
            <w:vAlign w:val="bottom"/>
            <w:gridSpan w:val="2"/>
          </w:tcPr>
          <w:p>
            <w:pPr>
              <w:spacing w:after="0"/>
              <w:rPr>
                <w:sz w:val="20"/>
                <w:szCs w:val="20"/>
                <w:color w:val="auto"/>
              </w:rPr>
            </w:pPr>
            <w:r>
              <w:rPr>
                <w:rFonts w:ascii="Arial" w:cs="Arial" w:eastAsia="Arial" w:hAnsi="Arial"/>
                <w:sz w:val="18"/>
                <w:szCs w:val="18"/>
                <w:color w:val="auto"/>
              </w:rPr>
              <w:t>of 0.75%) plus 2.50%, matures on November 17, 2024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1,108,913</w:t>
            </w:r>
          </w:p>
        </w:tc>
        <w:tc>
          <w:tcPr>
            <w:tcW w:w="140" w:type="dxa"/>
            <w:vAlign w:val="bottom"/>
          </w:tcPr>
          <w:p>
            <w:pPr>
              <w:spacing w:after="0"/>
              <w:rPr>
                <w:sz w:val="20"/>
                <w:szCs w:val="20"/>
                <w:color w:val="auto"/>
              </w:rPr>
            </w:pP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80" w:type="dxa"/>
            <w:vAlign w:val="bottom"/>
            <w:shd w:val="clear" w:color="auto" w:fill="CFF0FC"/>
          </w:tcPr>
          <w:p>
            <w:pPr>
              <w:spacing w:after="0"/>
              <w:rPr>
                <w:sz w:val="20"/>
                <w:szCs w:val="20"/>
                <w:color w:val="auto"/>
              </w:rPr>
            </w:pPr>
            <w:r>
              <w:rPr>
                <w:rFonts w:ascii="Arial" w:cs="Arial" w:eastAsia="Arial" w:hAnsi="Arial"/>
                <w:sz w:val="18"/>
                <w:szCs w:val="18"/>
                <w:color w:val="auto"/>
                <w:w w:val="93"/>
              </w:rPr>
              <w:t>$1,200,000 senior secured term loan facility (Term B-4 Loans), LIBOR (with a floor</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80" w:type="dxa"/>
            <w:vAlign w:val="bottom"/>
            <w:shd w:val="clear" w:color="auto" w:fill="CFF0FC"/>
          </w:tcPr>
          <w:p>
            <w:pPr>
              <w:spacing w:after="0"/>
              <w:rPr>
                <w:sz w:val="20"/>
                <w:szCs w:val="20"/>
                <w:color w:val="auto"/>
              </w:rPr>
            </w:pPr>
            <w:r>
              <w:rPr>
                <w:rFonts w:ascii="Arial" w:cs="Arial" w:eastAsia="Arial" w:hAnsi="Arial"/>
                <w:sz w:val="18"/>
                <w:szCs w:val="18"/>
                <w:color w:val="auto"/>
              </w:rPr>
              <w:t>of 0.75%) plus 2.75%, matures on August 13, 2021</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1,112,044</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$600,000 ABL senior secured revolving facility, LIBOR plus spread based on</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00" w:type="dxa"/>
            <w:vAlign w:val="bottom"/>
            <w:gridSpan w:val="2"/>
          </w:tcPr>
          <w:p>
            <w:pPr>
              <w:spacing w:after="0"/>
              <w:rPr>
                <w:sz w:val="20"/>
                <w:szCs w:val="20"/>
                <w:color w:val="auto"/>
              </w:rPr>
            </w:pPr>
            <w:r>
              <w:rPr>
                <w:rFonts w:ascii="Arial" w:cs="Arial" w:eastAsia="Arial" w:hAnsi="Arial"/>
                <w:sz w:val="18"/>
                <w:szCs w:val="18"/>
                <w:color w:val="auto"/>
              </w:rPr>
              <w:t>average outstanding balance, matures on August 13, 2019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80" w:type="dxa"/>
            <w:vAlign w:val="bottom"/>
            <w:shd w:val="clear" w:color="auto" w:fill="CFF0FC"/>
          </w:tcPr>
          <w:p>
            <w:pPr>
              <w:spacing w:after="0"/>
              <w:rPr>
                <w:sz w:val="20"/>
                <w:szCs w:val="20"/>
                <w:color w:val="auto"/>
              </w:rPr>
            </w:pPr>
            <w:r>
              <w:rPr>
                <w:rFonts w:ascii="Arial" w:cs="Arial" w:eastAsia="Arial" w:hAnsi="Arial"/>
                <w:sz w:val="18"/>
                <w:szCs w:val="18"/>
                <w:color w:val="auto"/>
              </w:rPr>
              <w:t>Capital lease obligations</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21,931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23,643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Unamortized deferred financing costs</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(3,872)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(5,206)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debt</w:t>
            </w: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1,126,972</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1,130,481</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Less: current maturities</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(13,164)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(1,638)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Long term debt, net of current maturities</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1,113,808</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1,128,843</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 Facility</w:t>
      </w:r>
    </w:p>
    <w:p>
      <w:pPr>
        <w:spacing w:after="0" w:line="117"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On February 24, 2011, the Company entered into a $1.0 billion senior secured term loan facility (the Term Loan Facility). The Term Loan Facility was issued pursuant to a credit agreement (Term Loan Credit Agreement), dated February 24, 2011, among BCFWC, the guarantors signatory thereto, and JPMorgan Chase Bank, N.A., as administrative agent and as collateral agent, the lenders party thereto, J.P. Morgan Securities LLC and Goldman Sachs Lending Partners LLC, as joint bookrunners, and J.P. Morgan Securities LLC, Goldman Sachs Lending Partners LLC, Merrill Lynch, Pierce, Fenner &amp; Smith Incorporated and Wells Fargo Securities, LLC, as joint arrangers, governing the terms of the Term Loan Facility.</w:t>
      </w:r>
    </w:p>
    <w:p>
      <w:pPr>
        <w:spacing w:after="0" w:line="173"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color w:val="auto"/>
        </w:rPr>
        <w:t>During Fiscal 2015, the Company prepaid $50.0 million on the Term Loan Facility. In accordance with ASC Topic No. 470-50, “Debt Modifications and Extinguishments” (Topic No. 470), the Company recognized losses on the extinguishment of debt of $0.6 million, which was recorded in the line item “Loss on extinguishment of debt” in the Company’s Consolidated Statements of Income.</w:t>
      </w:r>
    </w:p>
    <w:p>
      <w:pPr>
        <w:spacing w:after="0" w:line="181" w:lineRule="exact"/>
        <w:rPr>
          <w:sz w:val="20"/>
          <w:szCs w:val="20"/>
          <w:color w:val="auto"/>
        </w:rPr>
      </w:pPr>
    </w:p>
    <w:p>
      <w:pPr>
        <w:ind w:firstLine="518"/>
        <w:spacing w:after="0" w:line="253" w:lineRule="auto"/>
        <w:rPr>
          <w:sz w:val="20"/>
          <w:szCs w:val="20"/>
          <w:color w:val="auto"/>
        </w:rPr>
      </w:pPr>
      <w:r>
        <w:rPr>
          <w:rFonts w:ascii="Arial" w:cs="Arial" w:eastAsia="Arial" w:hAnsi="Arial"/>
          <w:sz w:val="18"/>
          <w:szCs w:val="18"/>
          <w:color w:val="auto"/>
        </w:rPr>
        <w:t>On July 29, 2016, BCFWC entered into Amendment No. 5 (the Fifth Amendment) to the Term Loan Credit Agreement governing its Term Loan Facility. The Fifth Amendment, among other things, reduced the interest rate margins applicable to the Term Loan Facility from 2.25% to 1.75% in the case of prime rate loans, and from 3.25% to 2.75% in the case of LIBOR loans, with the LIBOR floor being reduced from 1.00% to 0.75%. The Fifth Amendment was accomplished by replacing the outstanding $1,117.0 million principal amount of Term B-3 Loans with a like aggregate principal amount of Term B-4 Loans. The Term B-4 Loans outstanding under the Term Loan Facility mature on August 13, 2021. In accordance with Topic No. 470, the Company recognized a non-cash loss on the extinguishment of debt of $3.8 million, representing the write-off of $2.5 million and $1.3 million in deferred financing costs and unamortized original issue discount, respectively, which was recorded in the line item “Loss on extinguishment of debt” in the Company’s Consolidated Statements of Income. Also in connection with the Fifth Amendment, the Company incurred fees of $1.3 million, primarily related to legal and placement fees, which were recorded in the line item “Costs related to debt amendments and secondary offering” in the Company’s Consolidated Statements of Income.</w:t>
      </w:r>
    </w:p>
    <w:p>
      <w:pPr>
        <w:spacing w:after="0" w:line="195" w:lineRule="exact"/>
        <w:rPr>
          <w:sz w:val="20"/>
          <w:szCs w:val="20"/>
          <w:color w:val="auto"/>
        </w:rPr>
      </w:pPr>
    </w:p>
    <w:p>
      <w:pPr>
        <w:ind w:right="40" w:firstLine="518"/>
        <w:spacing w:after="0" w:line="253" w:lineRule="auto"/>
        <w:rPr>
          <w:sz w:val="20"/>
          <w:szCs w:val="20"/>
          <w:color w:val="auto"/>
        </w:rPr>
      </w:pPr>
      <w:r>
        <w:rPr>
          <w:rFonts w:ascii="Arial" w:cs="Arial" w:eastAsia="Arial" w:hAnsi="Arial"/>
          <w:sz w:val="18"/>
          <w:szCs w:val="18"/>
          <w:color w:val="auto"/>
        </w:rPr>
        <w:t>On November 17, 2017, BCFWC entered into Amendment No. 6 (the Sixth Amendment) to the Term Loan Credit Agreement governing its Term Loan Facility. The Sixth Amendment, among other things, reduced the interest rate margins applicable to the Term Loan Facility from 1.75% to 1.50% in the case of prime rate loans, and from 2.75% to 2.50% in the case of LIBOR loans, with the LIBOR floor continuing to be 0.75%. The Sixth Amendment also extended the maturity date from August 13, 2021 to November 17, 2024. The Sixth Amendment was accomplished by replacing the outstanding $1,117.0 million principal amount of Term B-4 Loans with a like aggregate principal amount of Term B-5 Loans. In accordance with Topic No. 470, the Company recognized a non-cash loss on the extinguishment of debt of $2.9 million, representing the write-off of $1.5 million and $1.4 million in deferred financing costs and unamortized original issue discount, respectively, which was recorded in the line item “Loss on extinguishment of debt” in the Company’s Consolidated Statements of Income. Also in connection with the Sixth Amendment, the Company incurred fees of $2.3 million, primarily related to legal and placement fees, which were recorded in the line item “Costs related to debt amendments and secondary offering” in the Company’s Consolidated Statements of Income.</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65" w:name="page66"/>
    <w:bookmarkEnd w:id="65"/>
    <w:p>
      <w:pPr>
        <w:ind w:right="60" w:firstLine="518"/>
        <w:spacing w:after="0" w:line="271" w:lineRule="auto"/>
        <w:rPr>
          <w:sz w:val="20"/>
          <w:szCs w:val="20"/>
          <w:color w:val="auto"/>
        </w:rPr>
      </w:pPr>
      <w:r>
        <w:rPr>
          <w:rFonts w:ascii="Arial" w:cs="Arial" w:eastAsia="Arial" w:hAnsi="Arial"/>
          <w:sz w:val="17"/>
          <w:szCs w:val="17"/>
          <w:color w:val="auto"/>
        </w:rPr>
        <w:t>The Term Loan Facility is collateralized by a first lien on our favorable leases, real estate and property &amp; equipment and a second lien on our inventory and receivables. Interest rates for the Term Loan Facility are based on: (i) for LIBOR rate loans for any interest period, at a rate per annum equal to the greater of (x) the LIBOR rate, as determined by the Term Loan Facility Administrative Agent, for such interest period multiplied by the Statutory Reserve Rate (as defined in the Term Loan Credit Agreement), and (y) 0.75% (the Term Loan Adjusted LIBOR Rate), plus an applicable margin; and (ii) for prime rate loans, a rate per annum equal to the highest of (a) the variable annual rate of interest then announced by JPMorgan Chase Bank, N.A. at its head office as its “prime rate,” (b) the federal reserve bank of New York rate in effect on such date plus 0.50% per annum, and (c) the Term Loan Adjusted LIBOR Rate for the applicable class of term loans for one-month plus 1.00%, plus, in each case, an applicable margin. As of February 3, 2018, the Company’s borrowing rate related to the Term Loan Facility was 4.06%.</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ABL Line of Credit</w:t>
      </w:r>
    </w:p>
    <w:p>
      <w:pPr>
        <w:spacing w:after="0" w:line="225" w:lineRule="exact"/>
        <w:rPr>
          <w:sz w:val="20"/>
          <w:szCs w:val="20"/>
          <w:color w:val="auto"/>
        </w:rPr>
      </w:pPr>
    </w:p>
    <w:p>
      <w:pPr>
        <w:ind w:right="240" w:firstLine="518"/>
        <w:spacing w:after="0" w:line="293" w:lineRule="auto"/>
        <w:rPr>
          <w:sz w:val="20"/>
          <w:szCs w:val="20"/>
          <w:color w:val="auto"/>
        </w:rPr>
      </w:pPr>
      <w:r>
        <w:rPr>
          <w:rFonts w:ascii="Arial" w:cs="Arial" w:eastAsia="Arial" w:hAnsi="Arial"/>
          <w:sz w:val="16"/>
          <w:szCs w:val="16"/>
          <w:color w:val="auto"/>
        </w:rPr>
        <w:t>The ABL Line of Credit matures on August 13, 2019. The aggregate amount of commitments under the Second Amended and Restated Credit Agreement (as amended, supplemented and otherwise modified, the Amended ABL Credit Agreement) is $600.0 million (subject to a borrowing base limitation) and, subject to the satisfaction of certain conditions, the Company can increase the aggregate amount of commitments up to $900.0 million. The interest rate margin applicable under the Amended ABL Credit Agreement in the case of loans drawn at LIBOR is 1.25% - 1.50% (based on total commitments or borrowing base availability), and the fee on the average daily balance of unused loan commitments is 0.25%. The ABL Line of Credit is collateralized by a first lien on the Company’s inventory and receivables and a second lien on the Company’s real estate and property and equipment.</w:t>
      </w:r>
    </w:p>
    <w:p>
      <w:pPr>
        <w:spacing w:after="0" w:line="165" w:lineRule="exact"/>
        <w:rPr>
          <w:sz w:val="20"/>
          <w:szCs w:val="20"/>
          <w:color w:val="auto"/>
        </w:rPr>
      </w:pPr>
    </w:p>
    <w:p>
      <w:pPr>
        <w:ind w:right="200" w:firstLine="518"/>
        <w:spacing w:after="0" w:line="286" w:lineRule="auto"/>
        <w:rPr>
          <w:sz w:val="20"/>
          <w:szCs w:val="20"/>
          <w:color w:val="auto"/>
        </w:rPr>
      </w:pPr>
      <w:r>
        <w:rPr>
          <w:rFonts w:ascii="Arial" w:cs="Arial" w:eastAsia="Arial" w:hAnsi="Arial"/>
          <w:sz w:val="17"/>
          <w:szCs w:val="17"/>
          <w:color w:val="auto"/>
        </w:rPr>
        <w:t>The Company believes that the Amended ABL Credit Agreement provides the liquidity and flexibility to meet its operating and capital requirements over the remaining term of the ABL Line of Credit. Further, the calculation of the borrowing base under the Amended ABL Credit Agreement has been amended to allow for increased availability, particularly during the September 1st through December 15th period of each year.</w:t>
      </w:r>
    </w:p>
    <w:p>
      <w:pPr>
        <w:spacing w:after="0" w:line="193" w:lineRule="exact"/>
        <w:rPr>
          <w:sz w:val="20"/>
          <w:szCs w:val="20"/>
          <w:color w:val="auto"/>
        </w:rPr>
      </w:pPr>
    </w:p>
    <w:p>
      <w:pPr>
        <w:ind w:right="60" w:firstLine="518"/>
        <w:spacing w:after="0" w:line="342" w:lineRule="auto"/>
        <w:rPr>
          <w:sz w:val="20"/>
          <w:szCs w:val="20"/>
          <w:color w:val="auto"/>
        </w:rPr>
      </w:pPr>
      <w:r>
        <w:rPr>
          <w:rFonts w:ascii="Arial" w:cs="Arial" w:eastAsia="Arial" w:hAnsi="Arial"/>
          <w:sz w:val="16"/>
          <w:szCs w:val="16"/>
          <w:color w:val="auto"/>
        </w:rPr>
        <w:t>At February 3, 2018, the Company had $455.8 million available under the Amended ABL Line of Credit. The maximum borrowings under the facility during Fiscal 2017 amounted to $235.5 million. Average borrowings during Fiscal 2017 amounted to $71.0 million at an average interest rate of 2.7%.</w:t>
      </w:r>
    </w:p>
    <w:p>
      <w:pPr>
        <w:spacing w:after="0" w:line="124"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color w:val="auto"/>
        </w:rPr>
        <w:t>At January 28, 2017, the Company had $427.8 million available under the Amended ABL Line of Credit and no outstanding borrowings. The maximum borrowings under the facility during Fiscal 2016 amounted to $350.0 million. Average borrowings during Fiscal 2016 amounted to $173.9 million at an average interest rate of 1.8%.</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Financing Costs</w:t>
      </w:r>
    </w:p>
    <w:p>
      <w:pPr>
        <w:spacing w:after="0" w:line="117" w:lineRule="exact"/>
        <w:rPr>
          <w:sz w:val="20"/>
          <w:szCs w:val="20"/>
          <w:color w:val="auto"/>
        </w:rPr>
      </w:pPr>
    </w:p>
    <w:p>
      <w:pPr>
        <w:ind w:right="20" w:firstLine="518"/>
        <w:spacing w:after="0" w:line="279" w:lineRule="auto"/>
        <w:rPr>
          <w:sz w:val="20"/>
          <w:szCs w:val="20"/>
          <w:color w:val="auto"/>
        </w:rPr>
      </w:pPr>
      <w:r>
        <w:rPr>
          <w:rFonts w:ascii="Arial" w:cs="Arial" w:eastAsia="Arial" w:hAnsi="Arial"/>
          <w:sz w:val="17"/>
          <w:szCs w:val="17"/>
          <w:color w:val="auto"/>
        </w:rPr>
        <w:t xml:space="preserve">The Company had $2.1 </w:t>
      </w:r>
      <w:r>
        <w:rPr>
          <w:rFonts w:ascii="Arial" w:cs="Arial" w:eastAsia="Arial" w:hAnsi="Arial"/>
          <w:sz w:val="16"/>
          <w:szCs w:val="16"/>
          <w:color w:val="auto"/>
        </w:rPr>
        <w:t>million and</w:t>
      </w:r>
      <w:r>
        <w:rPr>
          <w:rFonts w:ascii="Arial" w:cs="Arial" w:eastAsia="Arial" w:hAnsi="Arial"/>
          <w:sz w:val="17"/>
          <w:szCs w:val="17"/>
          <w:color w:val="auto"/>
        </w:rPr>
        <w:t xml:space="preserve"> $3.6 million in deferred financing costs associated with its ABL Line of Credit and interest rate cap contracts recorded in the line item “Other assets” in the Company’s Consolidated Balance Sheets as of February 3, 2018 and January 28, 2017, respectively. In addition, The Company had $3.9 </w:t>
      </w:r>
      <w:r>
        <w:rPr>
          <w:rFonts w:ascii="Arial" w:cs="Arial" w:eastAsia="Arial" w:hAnsi="Arial"/>
          <w:sz w:val="16"/>
          <w:szCs w:val="16"/>
          <w:color w:val="auto"/>
        </w:rPr>
        <w:t>million and $5.2</w:t>
      </w:r>
      <w:r>
        <w:rPr>
          <w:rFonts w:ascii="Arial" w:cs="Arial" w:eastAsia="Arial" w:hAnsi="Arial"/>
          <w:sz w:val="17"/>
          <w:szCs w:val="17"/>
          <w:color w:val="auto"/>
        </w:rPr>
        <w:t xml:space="preserve"> million of deferred financing costs associated with its Term Loan Facility recorded in the line item “Long term debt” in the Company’s Consolidated Balance Sheets as of February 3, 2018 and January 28, 2017, respectively.</w:t>
      </w:r>
    </w:p>
    <w:p>
      <w:pPr>
        <w:spacing w:after="0" w:line="63" w:lineRule="exact"/>
        <w:rPr>
          <w:sz w:val="20"/>
          <w:szCs w:val="20"/>
          <w:color w:val="auto"/>
        </w:rPr>
      </w:pPr>
    </w:p>
    <w:p>
      <w:pPr>
        <w:ind w:right="100" w:firstLine="518"/>
        <w:spacing w:after="0" w:line="312" w:lineRule="auto"/>
        <w:rPr>
          <w:sz w:val="20"/>
          <w:szCs w:val="20"/>
          <w:color w:val="auto"/>
        </w:rPr>
      </w:pPr>
      <w:r>
        <w:rPr>
          <w:rFonts w:ascii="Arial" w:cs="Arial" w:eastAsia="Arial" w:hAnsi="Arial"/>
          <w:sz w:val="16"/>
          <w:szCs w:val="16"/>
          <w:color w:val="auto"/>
        </w:rPr>
        <w:t xml:space="preserve">Amortization of deferred financing costs amounted to $2.5 </w:t>
      </w:r>
      <w:r>
        <w:rPr>
          <w:rFonts w:ascii="Arial" w:cs="Arial" w:eastAsia="Arial" w:hAnsi="Arial"/>
          <w:sz w:val="15"/>
          <w:szCs w:val="15"/>
          <w:color w:val="auto"/>
        </w:rPr>
        <w:t>million,</w:t>
      </w:r>
      <w:r>
        <w:rPr>
          <w:rFonts w:ascii="Arial" w:cs="Arial" w:eastAsia="Arial" w:hAnsi="Arial"/>
          <w:sz w:val="16"/>
          <w:szCs w:val="16"/>
          <w:color w:val="auto"/>
        </w:rPr>
        <w:t xml:space="preserve"> $2.7 million and $2.9 million during Fiscal 2017, Fiscal 2016 and Fiscal 2015, respectively, which was included in the line item “Interest expense” in the Company’s Consolidated Statements of Income. During Fiscal 2017, the Company incurred new deferred financing costs of $1.2 million and wrote-off $1.5 million of deferred financing costs as a result of the Sixth Amendment.</w:t>
      </w:r>
    </w:p>
    <w:p>
      <w:pPr>
        <w:spacing w:after="0" w:line="147" w:lineRule="exact"/>
        <w:rPr>
          <w:sz w:val="20"/>
          <w:szCs w:val="20"/>
          <w:color w:val="auto"/>
        </w:rPr>
      </w:pPr>
    </w:p>
    <w:p>
      <w:pPr>
        <w:ind w:right="140" w:firstLine="518"/>
        <w:spacing w:after="0" w:line="277" w:lineRule="auto"/>
        <w:rPr>
          <w:sz w:val="20"/>
          <w:szCs w:val="20"/>
          <w:color w:val="auto"/>
        </w:rPr>
      </w:pPr>
      <w:r>
        <w:rPr>
          <w:rFonts w:ascii="Arial" w:cs="Arial" w:eastAsia="Arial" w:hAnsi="Arial"/>
          <w:sz w:val="18"/>
          <w:szCs w:val="18"/>
          <w:color w:val="auto"/>
        </w:rPr>
        <w:t>Amortization expense related to the deferred financing costs as of February 3, 2018 for each of the next five fiscal years and thereafter is estimated to be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40" w:type="dxa"/>
            <w:vAlign w:val="bottom"/>
            <w:gridSpan w:val="2"/>
          </w:tcPr>
          <w:p>
            <w:pPr>
              <w:ind w:left="2300"/>
              <w:spacing w:after="0"/>
              <w:rPr>
                <w:sz w:val="20"/>
                <w:szCs w:val="20"/>
                <w:color w:val="auto"/>
              </w:rPr>
            </w:pPr>
            <w:r>
              <w:rPr>
                <w:rFonts w:ascii="Arial" w:cs="Arial" w:eastAsia="Arial" w:hAnsi="Arial"/>
                <w:sz w:val="14"/>
                <w:szCs w:val="14"/>
                <w:b w:val="1"/>
                <w:bCs w:val="1"/>
                <w:color w:val="auto"/>
              </w:rPr>
              <w:t>Fiscal Years</w:t>
            </w:r>
          </w:p>
        </w:tc>
        <w:tc>
          <w:tcPr>
            <w:tcW w:w="3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right"/>
              <w:ind w:right="152"/>
              <w:spacing w:after="0"/>
              <w:rPr>
                <w:sz w:val="20"/>
                <w:szCs w:val="20"/>
                <w:color w:val="auto"/>
              </w:rPr>
            </w:pPr>
            <w:r>
              <w:rPr>
                <w:rFonts w:ascii="Arial" w:cs="Arial" w:eastAsia="Arial" w:hAnsi="Arial"/>
                <w:sz w:val="14"/>
                <w:szCs w:val="14"/>
                <w:b w:val="1"/>
                <w:bCs w:val="1"/>
                <w:i w:val="1"/>
                <w:iCs w:val="1"/>
                <w:color w:val="auto"/>
                <w:w w:val="91"/>
              </w:rPr>
              <w:t>(in thousands)</w:t>
            </w: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20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2018</w:t>
            </w:r>
          </w:p>
        </w:tc>
        <w:tc>
          <w:tcPr>
            <w:tcW w:w="34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2,004</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2019</w:t>
            </w:r>
          </w:p>
        </w:tc>
        <w:tc>
          <w:tcPr>
            <w:tcW w:w="3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1,316</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204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3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574</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2021</w:t>
            </w:r>
          </w:p>
        </w:tc>
        <w:tc>
          <w:tcPr>
            <w:tcW w:w="3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568</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204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3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562</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2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34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1,003</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20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w:t>
            </w:r>
          </w:p>
        </w:tc>
        <w:tc>
          <w:tcPr>
            <w:tcW w:w="34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6,027</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420" w:type="dxa"/>
            <w:vAlign w:val="bottom"/>
            <w:vMerge w:val="restart"/>
          </w:tcPr>
          <w:p>
            <w:pPr>
              <w:jc w:val="right"/>
              <w:ind w:right="1870"/>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3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4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300" w:type="dxa"/>
            <w:vAlign w:val="bottom"/>
            <w:tcBorders>
              <w:bottom w:val="single" w:sz="8" w:color="9A9A9A"/>
            </w:tcBorders>
          </w:tcPr>
          <w:p>
            <w:pPr>
              <w:spacing w:after="0"/>
              <w:rPr>
                <w:sz w:val="10"/>
                <w:szCs w:val="10"/>
                <w:color w:val="auto"/>
              </w:rPr>
            </w:pPr>
          </w:p>
        </w:tc>
        <w:tc>
          <w:tcPr>
            <w:tcW w:w="2040" w:type="dxa"/>
            <w:vAlign w:val="bottom"/>
            <w:tcBorders>
              <w:bottom w:val="single" w:sz="8" w:color="9A9A9A"/>
            </w:tcBorders>
          </w:tcPr>
          <w:p>
            <w:pPr>
              <w:spacing w:after="0"/>
              <w:rPr>
                <w:sz w:val="10"/>
                <w:szCs w:val="10"/>
                <w:color w:val="auto"/>
              </w:rPr>
            </w:pPr>
          </w:p>
        </w:tc>
        <w:tc>
          <w:tcPr>
            <w:tcW w:w="34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3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66" w:name="page67"/>
    <w:bookmarkEnd w:id="66"/>
    <w:p>
      <w:pPr>
        <w:ind w:left="520"/>
        <w:spacing w:after="0"/>
        <w:rPr>
          <w:sz w:val="20"/>
          <w:szCs w:val="20"/>
          <w:color w:val="auto"/>
        </w:rPr>
      </w:pPr>
      <w:r>
        <w:rPr>
          <w:rFonts w:ascii="Arial" w:cs="Arial" w:eastAsia="Arial" w:hAnsi="Arial"/>
          <w:sz w:val="18"/>
          <w:szCs w:val="18"/>
          <w:color w:val="auto"/>
        </w:rPr>
        <w:t>Deferred financing costs have a weighted average amortization period of approximately 4.9 years.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Scheduled Maturities</w:t>
      </w:r>
    </w:p>
    <w:p>
      <w:pPr>
        <w:spacing w:after="0" w:line="117"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Scheduled maturities of the Company’s long term debt and capital lease obligations, as they exist as of February 3, 2018, in each of the next five fiscal years and thereafter are as follows:</w:t>
      </w:r>
    </w:p>
    <w:p>
      <w:pPr>
        <w:spacing w:after="0" w:line="247" w:lineRule="exact"/>
        <w:rPr>
          <w:sz w:val="20"/>
          <w:szCs w:val="20"/>
          <w:color w:val="auto"/>
        </w:rPr>
      </w:pPr>
    </w:p>
    <w:tbl>
      <w:tblPr>
        <w:tblLayout w:type="fixed"/>
        <w:tblInd w:w="11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i w:val="1"/>
                <w:iCs w:val="1"/>
                <w:color w:val="auto"/>
                <w:w w:val="89"/>
              </w:rPr>
              <w:t>(in thousands)</w:t>
            </w: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3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w w:val="97"/>
              </w:rPr>
              <w:t>Long-</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jc w:val="center"/>
              <w:ind w:right="320"/>
              <w:spacing w:after="0" w:line="133" w:lineRule="exact"/>
              <w:rPr>
                <w:sz w:val="20"/>
                <w:szCs w:val="20"/>
                <w:color w:val="auto"/>
              </w:rPr>
            </w:pPr>
            <w:r>
              <w:rPr>
                <w:rFonts w:ascii="Arial" w:cs="Arial" w:eastAsia="Arial" w:hAnsi="Arial"/>
                <w:sz w:val="14"/>
                <w:szCs w:val="14"/>
                <w:b w:val="1"/>
                <w:bCs w:val="1"/>
                <w:color w:val="auto"/>
                <w:w w:val="98"/>
              </w:rPr>
              <w:t>Capital</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9"/>
              </w:rPr>
              <w:t>Term</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Lease</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3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Fiscal Years:</w:t>
            </w: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Debt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Obligations</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380" w:type="dxa"/>
            <w:vAlign w:val="bottom"/>
            <w:gridSpan w:val="2"/>
            <w:vMerge w:val="continue"/>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2018</w:t>
            </w:r>
          </w:p>
        </w:tc>
        <w:tc>
          <w:tcPr>
            <w:tcW w:w="124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11,170</w:t>
            </w:r>
          </w:p>
        </w:tc>
        <w:tc>
          <w:tcPr>
            <w:tcW w:w="12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1,994</w:t>
            </w:r>
          </w:p>
        </w:tc>
        <w:tc>
          <w:tcPr>
            <w:tcW w:w="20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13,164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60" w:type="dxa"/>
            <w:vAlign w:val="bottom"/>
          </w:tcPr>
          <w:p>
            <w:pPr>
              <w:ind w:left="240"/>
              <w:spacing w:after="0"/>
              <w:rPr>
                <w:sz w:val="20"/>
                <w:szCs w:val="20"/>
                <w:color w:val="auto"/>
              </w:rPr>
            </w:pPr>
            <w:r>
              <w:rPr>
                <w:rFonts w:ascii="Arial" w:cs="Arial" w:eastAsia="Arial" w:hAnsi="Arial"/>
                <w:sz w:val="18"/>
                <w:szCs w:val="18"/>
                <w:color w:val="auto"/>
              </w:rPr>
              <w:t>2019</w:t>
            </w: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11,170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2,139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13,309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2020</w:t>
            </w: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11,170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2,179</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13,349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60" w:type="dxa"/>
            <w:vAlign w:val="bottom"/>
          </w:tcPr>
          <w:p>
            <w:pPr>
              <w:ind w:left="240"/>
              <w:spacing w:after="0"/>
              <w:rPr>
                <w:sz w:val="20"/>
                <w:szCs w:val="20"/>
                <w:color w:val="auto"/>
              </w:rPr>
            </w:pPr>
            <w:r>
              <w:rPr>
                <w:rFonts w:ascii="Arial" w:cs="Arial" w:eastAsia="Arial" w:hAnsi="Arial"/>
                <w:sz w:val="18"/>
                <w:szCs w:val="18"/>
                <w:color w:val="auto"/>
              </w:rPr>
              <w:t>2021</w:t>
            </w: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11,170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2,607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13,777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2022</w:t>
            </w: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11,170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3,008</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14,178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Thereafter</w:t>
            </w:r>
          </w:p>
        </w:tc>
        <w:tc>
          <w:tcPr>
            <w:tcW w:w="10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1,058,358</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10,004</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1,068,362</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shd w:val="clear" w:color="auto" w:fill="CFF0FC"/>
          </w:tcPr>
          <w:p>
            <w:pPr>
              <w:ind w:left="240"/>
              <w:spacing w:after="0"/>
              <w:rPr>
                <w:sz w:val="20"/>
                <w:szCs w:val="20"/>
                <w:color w:val="auto"/>
              </w:rPr>
            </w:pPr>
            <w:r>
              <w:rPr>
                <w:rFonts w:ascii="Arial" w:cs="Arial" w:eastAsia="Arial" w:hAnsi="Arial"/>
                <w:sz w:val="18"/>
                <w:szCs w:val="18"/>
                <w:b w:val="1"/>
                <w:bCs w:val="1"/>
                <w:color w:val="auto"/>
              </w:rPr>
              <w:t>Total</w:t>
            </w: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1,114,208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21,931</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1,136,139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60" w:type="dxa"/>
            <w:vAlign w:val="bottom"/>
          </w:tcPr>
          <w:p>
            <w:pPr>
              <w:ind w:left="240"/>
              <w:spacing w:after="0"/>
              <w:rPr>
                <w:sz w:val="20"/>
                <w:szCs w:val="20"/>
                <w:color w:val="auto"/>
              </w:rPr>
            </w:pPr>
            <w:r>
              <w:rPr>
                <w:rFonts w:ascii="Arial" w:cs="Arial" w:eastAsia="Arial" w:hAnsi="Arial"/>
                <w:sz w:val="18"/>
                <w:szCs w:val="18"/>
                <w:color w:val="auto"/>
              </w:rPr>
              <w:t>Less: unamortized discount</w:t>
            </w: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(5,295)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(5,295)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Less: unamortized deferred financing costs</w:t>
            </w: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(3,872)</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(3,872)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tcPr>
          <w:p>
            <w:pPr>
              <w:ind w:left="240"/>
              <w:spacing w:after="0"/>
              <w:rPr>
                <w:sz w:val="20"/>
                <w:szCs w:val="20"/>
                <w:color w:val="auto"/>
              </w:rPr>
            </w:pPr>
            <w:r>
              <w:rPr>
                <w:rFonts w:ascii="Arial" w:cs="Arial" w:eastAsia="Arial" w:hAnsi="Arial"/>
                <w:sz w:val="18"/>
                <w:szCs w:val="18"/>
                <w:color w:val="auto"/>
              </w:rPr>
              <w:t>Total</w:t>
            </w:r>
          </w:p>
        </w:tc>
        <w:tc>
          <w:tcPr>
            <w:tcW w:w="10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1,105,041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21,931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1,126,972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Less: current portion</w:t>
            </w: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(11,170)</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(1,994)</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(13,164)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tcPr>
          <w:p>
            <w:pPr>
              <w:ind w:left="240"/>
              <w:spacing w:after="0"/>
              <w:rPr>
                <w:sz w:val="20"/>
                <w:szCs w:val="20"/>
                <w:color w:val="auto"/>
              </w:rPr>
            </w:pPr>
            <w:r>
              <w:rPr>
                <w:rFonts w:ascii="Arial" w:cs="Arial" w:eastAsia="Arial" w:hAnsi="Arial"/>
                <w:sz w:val="18"/>
                <w:szCs w:val="18"/>
                <w:color w:val="auto"/>
              </w:rPr>
              <w:t>Long term debt</w:t>
            </w:r>
          </w:p>
        </w:tc>
        <w:tc>
          <w:tcPr>
            <w:tcW w:w="10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1,093,871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19,937</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1,113,808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capital lease obligations noted above are exclusive of interest charges of $2.0 million, $1.9 million, $1.5 million, $1.4 million, $1.1 million and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$1.7 million for the fiscal years ending February 2, 2019, February 1, 2020, January 30, 2021, January 29, 2022, February 4, 2023 and thereafter, respectively.</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Derivative Instruments and Hedging Activities</w:t>
      </w:r>
    </w:p>
    <w:p>
      <w:pPr>
        <w:spacing w:after="0" w:line="121"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The Company accounts for derivatives and hedging activities in accordance with ASC Topic No. 815 “Derivatives and Hedging” (Topic No. 815). Topic No. 815 provides the disclosure requirements for derivatives and hedging activities with the intent to provide users of financial statements with an enhanced understanding of: (i) how and why an entity uses derivative instruments, (ii) how the entity accounts for derivative instruments and related hedged items, and (iii) how derivative instruments and related hedged items affect an entity’s financial position, financial performance, and cash flows. Further, qualitative disclosures are required that explain the Company’s objectives and strategies for using derivatives, as well as quantitative disclosures about the fair value of gains and losses on derivative instruments, and disclosures about credit-risk-related contingent features in derivative instruments.</w:t>
      </w:r>
    </w:p>
    <w:p>
      <w:pPr>
        <w:spacing w:after="0" w:line="165"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As required by Topic No. 815, the Company records all derivatives on the balance sheet at fair value and adjusts them to market on a quarterly</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basis. The accounting for changes in the fair value of derivatives depends on the intended use of the derivative, whether the Company has elected to designate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 derivative in a hedging relationship and apply hedge accounting, and whether the hedging relationship has satisfied the criteria necessary to apply hedge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accounting. Derivatives designated and qualifying as a hedge of the exposure to variability in expected future cash flows, or other types of forecasted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transactions, are considered cash flow hedges. Hedge accounting generally provides for the matching of the timing of gain or loss recognition on the hedging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instrument with the earnings effect of the hedged forecasted transactions in a cash flow hedge. The Company may enter into derivative contracts that are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intended to economically hedge certain of its risk, even though hedge accounting does not apply or the Company elects not to apply hedge accounting.</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82" w:right="259" w:bottom="1440" w:gutter="0" w:footer="0" w:header="0"/>
        </w:sectPr>
      </w:pPr>
    </w:p>
    <w:bookmarkStart w:id="67" w:name="page68"/>
    <w:bookmarkEnd w:id="67"/>
    <w:p>
      <w:pPr>
        <w:ind w:right="60" w:firstLine="518"/>
        <w:spacing w:after="0" w:line="290" w:lineRule="auto"/>
        <w:rPr>
          <w:sz w:val="20"/>
          <w:szCs w:val="20"/>
          <w:color w:val="auto"/>
        </w:rPr>
      </w:pPr>
      <w:r>
        <w:rPr>
          <w:rFonts w:ascii="Arial" w:cs="Arial" w:eastAsia="Arial" w:hAnsi="Arial"/>
          <w:sz w:val="16"/>
          <w:szCs w:val="16"/>
          <w:color w:val="auto"/>
        </w:rPr>
        <w:t>The Company uses interest rate cap contracts to manage interest rate risk. The fair value of the Company’s interest rate cap contracts is determined using the market standard methodology of discounted future variable cash flows. The variable cash flows are determined using the market standard methodology of discounting the future expected cash receipts that would occur if variable interest rates rise above the strike rate of the caps in conjunction with the cash payments related to financing the premium of the interest rate caps. The variable interest rates used in the calculation of projected receipts on the cap are based on an expectation of future interest rates derived from observable market interest rate curves and volatilities. In addition, to comply with the provisions of Topic No. 820, credit valuation adjustments, which consider the impact of any credit enhancements to the contracts, are incorporated in the fair values to account for potential nonperformance risk. In adjusting the fair value of its derivative contracts for the effect of nonperformance risk, the Company has considered any applicable credit enhancements such as collateral postings, thresholds, mutual puts, and guarantees.</w:t>
      </w:r>
    </w:p>
    <w:p>
      <w:pPr>
        <w:spacing w:after="0" w:line="166" w:lineRule="exact"/>
        <w:rPr>
          <w:sz w:val="20"/>
          <w:szCs w:val="20"/>
          <w:color w:val="auto"/>
        </w:rPr>
      </w:pPr>
    </w:p>
    <w:p>
      <w:pPr>
        <w:jc w:val="both"/>
        <w:ind w:right="200" w:firstLine="518"/>
        <w:spacing w:after="0" w:line="286" w:lineRule="auto"/>
        <w:rPr>
          <w:sz w:val="20"/>
          <w:szCs w:val="20"/>
          <w:color w:val="auto"/>
        </w:rPr>
      </w:pPr>
      <w:r>
        <w:rPr>
          <w:rFonts w:ascii="Arial" w:cs="Arial" w:eastAsia="Arial" w:hAnsi="Arial"/>
          <w:sz w:val="17"/>
          <w:szCs w:val="17"/>
          <w:color w:val="auto"/>
        </w:rPr>
        <w:t>In accordance with Topic No. 820, the Company made an accounting policy election to measure the credit risk of its derivative financial instruments that are subject to master netting agreements on a net basis by counterparty portfolio. There is no impact of netting because the Company’s only derivatives are interest rate cap contracts that are with separate counterparties and are under separate master netting agreements.</w:t>
      </w:r>
    </w:p>
    <w:p>
      <w:pPr>
        <w:spacing w:after="0" w:line="166" w:lineRule="exact"/>
        <w:rPr>
          <w:sz w:val="20"/>
          <w:szCs w:val="20"/>
          <w:color w:val="auto"/>
        </w:rPr>
      </w:pPr>
    </w:p>
    <w:p>
      <w:pPr>
        <w:ind w:right="240" w:firstLine="518"/>
        <w:spacing w:after="0" w:line="255" w:lineRule="auto"/>
        <w:rPr>
          <w:sz w:val="20"/>
          <w:szCs w:val="20"/>
          <w:color w:val="auto"/>
        </w:rPr>
      </w:pPr>
      <w:r>
        <w:rPr>
          <w:rFonts w:ascii="Arial" w:cs="Arial" w:eastAsia="Arial" w:hAnsi="Arial"/>
          <w:sz w:val="18"/>
          <w:szCs w:val="18"/>
          <w:color w:val="auto"/>
        </w:rPr>
        <w:t>Although the Company has determined that the majority of the inputs used to value its derivatives fall within Level 2 of the fair value hierarchy, the credit valuation adjustments associated with its derivatives utilize Level 3 inputs, such as estimates of current credit spreads to evaluate the likelihood of default by the Company and its counterparties. However, as of February 3, 2018 and January 28, 2017, the Company has assessed the significance of the impact of the credit valuation adjustments on the overall valuation of its derivative positions and has determined that the credit valuation adjustment is not significant to the overall valuation of its derivative portfolios. As a result, the Company classifies its derivative valuations in Level 2 of the fair value hierarchy.</w:t>
      </w:r>
    </w:p>
    <w:p>
      <w:pPr>
        <w:spacing w:after="0" w:line="193"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The Company is exposed to certain risks arising from both its business operations and economic conditions. The Company principally manages its exposures to a wide variety of business and operational risks through management of its core business activities. The Company manages economic risks, including interest rate, liquidity, and credit risk primarily by managing the amount, sources, and duration of its debt funding and the use of derivative financial instruments. Specifically, the Company enters into derivative financial instruments to manage exposures that arise from business activities that result in the payment of future known and uncertain cash amounts, the value of which are determined by interest rates. The Company uses derivative financial instruments to manage differences in the amount, timing, and duration of the Company’s known or expected cash payments principally related to the Company’s borrowings.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Hedges of Interest Rate Risk</w:t>
      </w:r>
    </w:p>
    <w:p>
      <w:pPr>
        <w:spacing w:after="0" w:line="117" w:lineRule="exact"/>
        <w:rPr>
          <w:sz w:val="20"/>
          <w:szCs w:val="20"/>
          <w:color w:val="auto"/>
        </w:rPr>
      </w:pPr>
    </w:p>
    <w:p>
      <w:pPr>
        <w:ind w:right="200" w:firstLine="518"/>
        <w:spacing w:after="0" w:line="286" w:lineRule="auto"/>
        <w:rPr>
          <w:sz w:val="20"/>
          <w:szCs w:val="20"/>
          <w:color w:val="auto"/>
        </w:rPr>
      </w:pPr>
      <w:r>
        <w:rPr>
          <w:rFonts w:ascii="Arial" w:cs="Arial" w:eastAsia="Arial" w:hAnsi="Arial"/>
          <w:sz w:val="17"/>
          <w:szCs w:val="17"/>
          <w:color w:val="auto"/>
        </w:rPr>
        <w:t>The Company uses interest rate derivatives to add stability to interest expense and to manage its exposure to interest rate movements. To accomplish this objective, the Company primarily uses interest rate caps as part of its interest rate risk management strategy. Interest rate caps designated as cash flow hedges involve the receipt of variable amounts from a counterparty if interest rates rise above the strike rate on the contract.</w:t>
      </w:r>
    </w:p>
    <w:p>
      <w:pPr>
        <w:spacing w:after="0" w:line="166" w:lineRule="exact"/>
        <w:rPr>
          <w:sz w:val="20"/>
          <w:szCs w:val="20"/>
          <w:color w:val="auto"/>
        </w:rPr>
      </w:pPr>
    </w:p>
    <w:p>
      <w:pPr>
        <w:ind w:right="180" w:firstLine="563"/>
        <w:spacing w:after="0" w:line="286" w:lineRule="auto"/>
        <w:rPr>
          <w:sz w:val="20"/>
          <w:szCs w:val="20"/>
          <w:color w:val="auto"/>
        </w:rPr>
      </w:pPr>
      <w:r>
        <w:rPr>
          <w:rFonts w:ascii="Arial" w:cs="Arial" w:eastAsia="Arial" w:hAnsi="Arial"/>
          <w:sz w:val="17"/>
          <w:szCs w:val="17"/>
          <w:color w:val="auto"/>
        </w:rPr>
        <w:t>In April 2015, the Company terminated and sold four interest rate cap contracts, which were designated as cash flow hedges. As a result, the Company recorded a $2.0 million unrealized loss, which was recorded in accumulated other comprehensive loss. The Company will amortize this loss from accumulated other comprehensive loss into interest expense over the original life of each respective cap through April 2019.</w:t>
      </w:r>
    </w:p>
    <w:p>
      <w:pPr>
        <w:spacing w:after="0" w:line="166"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Also on April 24, 2015, the Company entered into two new interest rate cap contracts, which were designated as cash flow hedges. The Company financed the cost of these interest rate cap contracts, which will be amortized through the life of the caps. During Fiscal 2017, Fiscal 2016 and Fiscal 2015, the Company paid $4.3 million, $4.9 million and $3.5 million, respectively, related to the financing of these interest rate cap contracts, which was included in the line item “Other” in the financing section of the Company’s Consolidated Statements of Cash Flows.</w:t>
      </w:r>
    </w:p>
    <w:p>
      <w:pPr>
        <w:spacing w:after="0" w:line="187" w:lineRule="exact"/>
        <w:rPr>
          <w:sz w:val="20"/>
          <w:szCs w:val="20"/>
          <w:color w:val="auto"/>
        </w:rPr>
      </w:pPr>
    </w:p>
    <w:p>
      <w:pPr>
        <w:ind w:right="100" w:firstLine="518"/>
        <w:spacing w:after="0" w:line="273" w:lineRule="auto"/>
        <w:rPr>
          <w:sz w:val="20"/>
          <w:szCs w:val="20"/>
          <w:color w:val="auto"/>
        </w:rPr>
      </w:pPr>
      <w:r>
        <w:rPr>
          <w:rFonts w:ascii="Arial" w:cs="Arial" w:eastAsia="Arial" w:hAnsi="Arial"/>
          <w:sz w:val="17"/>
          <w:szCs w:val="17"/>
          <w:color w:val="auto"/>
        </w:rPr>
        <w:t>During Fiscal 2017, the Company’s derivatives were used to hedge the variable cash flows associated with existing (or anticipated) variable-rate debt. The effective portion of changes in the fair value of derivatives designated and that qualify as cash flow hedges are recorded in the line item “Accumulated other comprehensive loss” on the Company’s Consolidated Balance Sheets and are subsequently reclassified into earnings in the period that the hedged forecasted transaction affects earnings. Amounts reported in accumulated other comprehensive loss related to the Company’s interest rate cap contracts will be reclassified to interest expense as interest payments are made on the Company’s variable-rate debt. As of February 3, 2018, the Company estimates that approximately $2.8 million will be reclassified into interest expense during the next twelve months.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8" w:name="page69"/>
    <w:bookmarkEnd w:id="68"/>
    <w:p>
      <w:pPr>
        <w:ind w:right="660" w:firstLine="518"/>
        <w:spacing w:after="0" w:line="277" w:lineRule="auto"/>
        <w:rPr>
          <w:sz w:val="20"/>
          <w:szCs w:val="20"/>
          <w:color w:val="auto"/>
        </w:rPr>
      </w:pPr>
      <w:r>
        <w:rPr>
          <w:rFonts w:ascii="Arial" w:cs="Arial" w:eastAsia="Arial" w:hAnsi="Arial"/>
          <w:sz w:val="18"/>
          <w:szCs w:val="18"/>
          <w:color w:val="auto"/>
        </w:rPr>
        <w:t>The ineffective portion of the change in fair value of the derivatives is recognized directly in earnings. The Company did not record any hedge ineffectiveness in its earnings during Fiscal 2017, Fiscal 2016 or Fiscal 2015.</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As of February 3, 2018, the Company had the following outstanding interest rate derivatives that were designated as cash flow hedges of interest rate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risk:</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Interest Rate Derivative</w:t>
            </w:r>
          </w:p>
        </w:tc>
        <w:tc>
          <w:tcPr>
            <w:tcW w:w="20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Number of</w:t>
            </w:r>
          </w:p>
        </w:tc>
        <w:tc>
          <w:tcPr>
            <w:tcW w:w="2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Notional Aggregate</w:t>
            </w:r>
          </w:p>
        </w:tc>
        <w:tc>
          <w:tcPr>
            <w:tcW w:w="2000" w:type="dxa"/>
            <w:vAlign w:val="bottom"/>
            <w:gridSpan w:val="2"/>
          </w:tcPr>
          <w:p>
            <w:pPr>
              <w:jc w:val="right"/>
              <w:ind w:right="920"/>
              <w:spacing w:after="0"/>
              <w:rPr>
                <w:sz w:val="20"/>
                <w:szCs w:val="20"/>
                <w:color w:val="auto"/>
              </w:rPr>
            </w:pPr>
            <w:r>
              <w:rPr>
                <w:rFonts w:ascii="Arial" w:cs="Arial" w:eastAsia="Arial" w:hAnsi="Arial"/>
                <w:sz w:val="14"/>
                <w:szCs w:val="14"/>
                <w:b w:val="1"/>
                <w:bCs w:val="1"/>
                <w:color w:val="auto"/>
              </w:rPr>
              <w:t>Interest</w:t>
            </w:r>
          </w:p>
        </w:tc>
        <w:tc>
          <w:tcPr>
            <w:tcW w:w="18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Maturity Date</w:t>
            </w:r>
          </w:p>
        </w:tc>
        <w:tc>
          <w:tcPr>
            <w:tcW w:w="0" w:type="dxa"/>
            <w:vAlign w:val="bottom"/>
          </w:tcPr>
          <w:p>
            <w:pPr>
              <w:spacing w:after="0"/>
              <w:rPr>
                <w:sz w:val="1"/>
                <w:szCs w:val="1"/>
                <w:color w:val="auto"/>
              </w:rPr>
            </w:pPr>
          </w:p>
        </w:tc>
      </w:tr>
      <w:tr>
        <w:trPr>
          <w:trHeight w:val="171"/>
        </w:trPr>
        <w:tc>
          <w:tcPr>
            <w:tcW w:w="3540" w:type="dxa"/>
            <w:vAlign w:val="bottom"/>
            <w:gridSpan w:val="2"/>
            <w:vMerge w:val="continue"/>
          </w:tcPr>
          <w:p>
            <w:pPr>
              <w:spacing w:after="0"/>
              <w:rPr>
                <w:sz w:val="14"/>
                <w:szCs w:val="14"/>
                <w:color w:val="auto"/>
              </w:rPr>
            </w:pPr>
          </w:p>
        </w:tc>
        <w:tc>
          <w:tcPr>
            <w:tcW w:w="2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Instruments</w:t>
            </w:r>
          </w:p>
        </w:tc>
        <w:tc>
          <w:tcPr>
            <w:tcW w:w="2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Principal Amount</w:t>
            </w:r>
          </w:p>
        </w:tc>
        <w:tc>
          <w:tcPr>
            <w:tcW w:w="2000" w:type="dxa"/>
            <w:vAlign w:val="bottom"/>
            <w:gridSpan w:val="2"/>
          </w:tcPr>
          <w:p>
            <w:pPr>
              <w:ind w:left="560"/>
              <w:spacing w:after="0"/>
              <w:rPr>
                <w:sz w:val="20"/>
                <w:szCs w:val="20"/>
                <w:color w:val="auto"/>
              </w:rPr>
            </w:pPr>
            <w:r>
              <w:rPr>
                <w:rFonts w:ascii="Arial" w:cs="Arial" w:eastAsia="Arial" w:hAnsi="Arial"/>
                <w:sz w:val="14"/>
                <w:szCs w:val="14"/>
                <w:b w:val="1"/>
                <w:bCs w:val="1"/>
                <w:color w:val="auto"/>
              </w:rPr>
              <w:t>Cap Rate</w:t>
            </w:r>
          </w:p>
        </w:tc>
        <w:tc>
          <w:tcPr>
            <w:tcW w:w="1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3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Interest rate cap contracts</w:t>
            </w:r>
          </w:p>
        </w:tc>
        <w:tc>
          <w:tcPr>
            <w:tcW w:w="180" w:type="dxa"/>
            <w:vAlign w:val="bottom"/>
            <w:tcBorders>
              <w:top w:val="single" w:sz="8" w:color="CFF0FC"/>
            </w:tcBorders>
            <w:shd w:val="clear" w:color="auto" w:fill="CFF0FC"/>
          </w:tcPr>
          <w:p>
            <w:pPr>
              <w:spacing w:after="0"/>
              <w:rPr>
                <w:sz w:val="19"/>
                <w:szCs w:val="19"/>
                <w:color w:val="auto"/>
              </w:rPr>
            </w:pPr>
          </w:p>
        </w:tc>
        <w:tc>
          <w:tcPr>
            <w:tcW w:w="19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3"/>
              </w:rPr>
              <w:t>Two</w:t>
            </w:r>
          </w:p>
        </w:tc>
        <w:tc>
          <w:tcPr>
            <w:tcW w:w="180" w:type="dxa"/>
            <w:vAlign w:val="bottom"/>
            <w:tcBorders>
              <w:top w:val="single" w:sz="8" w:color="CFF0FC"/>
            </w:tcBorders>
            <w:shd w:val="clear" w:color="auto" w:fill="CFF0FC"/>
          </w:tcPr>
          <w:p>
            <w:pPr>
              <w:spacing w:after="0"/>
              <w:rPr>
                <w:sz w:val="19"/>
                <w:szCs w:val="19"/>
                <w:color w:val="auto"/>
              </w:rPr>
            </w:pPr>
          </w:p>
        </w:tc>
        <w:tc>
          <w:tcPr>
            <w:tcW w:w="18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4"/>
              </w:rPr>
              <w:t>$ 800.0 million</w:t>
            </w:r>
          </w:p>
        </w:tc>
        <w:tc>
          <w:tcPr>
            <w:tcW w:w="180" w:type="dxa"/>
            <w:vAlign w:val="bottom"/>
            <w:tcBorders>
              <w:top w:val="single" w:sz="8" w:color="CFF0FC"/>
            </w:tcBorders>
            <w:shd w:val="clear" w:color="auto" w:fill="CFF0FC"/>
          </w:tcPr>
          <w:p>
            <w:pPr>
              <w:spacing w:after="0"/>
              <w:rPr>
                <w:sz w:val="19"/>
                <w:szCs w:val="19"/>
                <w:color w:val="auto"/>
              </w:rPr>
            </w:pPr>
          </w:p>
        </w:tc>
        <w:tc>
          <w:tcPr>
            <w:tcW w:w="1700" w:type="dxa"/>
            <w:vAlign w:val="bottom"/>
            <w:tcBorders>
              <w:top w:val="single" w:sz="8" w:color="auto"/>
            </w:tcBorders>
            <w:shd w:val="clear" w:color="auto" w:fill="CFF0FC"/>
          </w:tcPr>
          <w:p>
            <w:pPr>
              <w:jc w:val="right"/>
              <w:ind w:right="542"/>
              <w:spacing w:after="0"/>
              <w:rPr>
                <w:sz w:val="20"/>
                <w:szCs w:val="20"/>
                <w:color w:val="auto"/>
              </w:rPr>
            </w:pPr>
            <w:r>
              <w:rPr>
                <w:rFonts w:ascii="Arial" w:cs="Arial" w:eastAsia="Arial" w:hAnsi="Arial"/>
                <w:sz w:val="18"/>
                <w:szCs w:val="18"/>
                <w:color w:val="auto"/>
              </w:rPr>
              <w:t>1.0%</w:t>
            </w:r>
          </w:p>
        </w:tc>
        <w:tc>
          <w:tcPr>
            <w:tcW w:w="300" w:type="dxa"/>
            <w:vAlign w:val="bottom"/>
            <w:tcBorders>
              <w:top w:val="single" w:sz="8" w:color="CFF0FC"/>
            </w:tcBorders>
            <w:shd w:val="clear" w:color="auto" w:fill="CFF0FC"/>
          </w:tcPr>
          <w:p>
            <w:pPr>
              <w:spacing w:after="0"/>
              <w:rPr>
                <w:sz w:val="19"/>
                <w:szCs w:val="19"/>
                <w:color w:val="auto"/>
              </w:rPr>
            </w:pPr>
          </w:p>
        </w:tc>
        <w:tc>
          <w:tcPr>
            <w:tcW w:w="18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3"/>
              </w:rPr>
              <w:t>May 31, 2019</w:t>
            </w: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Tabular Disclosure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tables below present the fair value of the Company’s derivative financial instruments on a gross basis, as well as their classification on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Company’s Consolidated Balance Sheets: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3"/>
          </w:tcPr>
          <w:p>
            <w:pPr>
              <w:jc w:val="center"/>
              <w:ind w:right="564"/>
              <w:spacing w:after="0"/>
              <w:rPr>
                <w:sz w:val="20"/>
                <w:szCs w:val="20"/>
                <w:color w:val="auto"/>
              </w:rPr>
            </w:pPr>
            <w:r>
              <w:rPr>
                <w:rFonts w:ascii="Arial" w:cs="Arial" w:eastAsia="Arial" w:hAnsi="Arial"/>
                <w:sz w:val="14"/>
                <w:szCs w:val="14"/>
                <w:b w:val="1"/>
                <w:bCs w:val="1"/>
                <w:i w:val="1"/>
                <w:iCs w:val="1"/>
                <w:color w:val="auto"/>
                <w:w w:val="89"/>
              </w:rPr>
              <w:t>(in thousands)</w:t>
            </w:r>
          </w:p>
        </w:tc>
        <w:tc>
          <w:tcPr>
            <w:tcW w:w="1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660" w:type="dxa"/>
            <w:vAlign w:val="bottom"/>
            <w:tcBorders>
              <w:bottom w:val="single" w:sz="8" w:color="auto"/>
            </w:tcBorders>
            <w:gridSpan w:val="4"/>
          </w:tcPr>
          <w:p>
            <w:pPr>
              <w:jc w:val="center"/>
              <w:ind w:right="184"/>
              <w:spacing w:after="0" w:line="155" w:lineRule="exact"/>
              <w:rPr>
                <w:sz w:val="20"/>
                <w:szCs w:val="20"/>
                <w:color w:val="auto"/>
              </w:rPr>
            </w:pPr>
            <w:r>
              <w:rPr>
                <w:rFonts w:ascii="Arial" w:cs="Arial" w:eastAsia="Arial" w:hAnsi="Arial"/>
                <w:sz w:val="14"/>
                <w:szCs w:val="14"/>
                <w:b w:val="1"/>
                <w:bCs w:val="1"/>
                <w:color w:val="auto"/>
                <w:w w:val="94"/>
              </w:rPr>
              <w:t>Fair Values of Derivative Instruments</w:t>
            </w:r>
          </w:p>
        </w:tc>
        <w:tc>
          <w:tcPr>
            <w:tcW w:w="1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300" w:type="dxa"/>
            <w:vAlign w:val="bottom"/>
            <w:tcBorders>
              <w:bottom w:val="single" w:sz="8" w:color="auto"/>
            </w:tcBorders>
            <w:gridSpan w:val="3"/>
          </w:tcPr>
          <w:p>
            <w:pPr>
              <w:jc w:val="center"/>
              <w:ind w:right="564"/>
              <w:spacing w:after="0" w:line="155" w:lineRule="exact"/>
              <w:rPr>
                <w:sz w:val="20"/>
                <w:szCs w:val="20"/>
                <w:color w:val="auto"/>
              </w:rPr>
            </w:pPr>
            <w:r>
              <w:rPr>
                <w:rFonts w:ascii="Arial" w:cs="Arial" w:eastAsia="Arial" w:hAnsi="Arial"/>
                <w:sz w:val="14"/>
                <w:szCs w:val="14"/>
                <w:b w:val="1"/>
                <w:bCs w:val="1"/>
                <w:color w:val="auto"/>
                <w:w w:val="90"/>
              </w:rPr>
              <w:t>Asset Derivatives</w:t>
            </w:r>
          </w:p>
        </w:tc>
        <w:tc>
          <w:tcPr>
            <w:tcW w:w="1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0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rPr>
              <w:t>February 3, 2018</w:t>
            </w:r>
          </w:p>
        </w:tc>
        <w:tc>
          <w:tcPr>
            <w:tcW w:w="78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80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rPr>
              <w:t>January 28, 2017</w:t>
            </w:r>
          </w:p>
        </w:tc>
        <w:tc>
          <w:tcPr>
            <w:tcW w:w="7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5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gridSpan w:val="2"/>
          </w:tcPr>
          <w:p>
            <w:pPr>
              <w:jc w:val="center"/>
              <w:ind w:right="140"/>
              <w:spacing w:after="0" w:line="133" w:lineRule="exact"/>
              <w:rPr>
                <w:sz w:val="20"/>
                <w:szCs w:val="20"/>
                <w:color w:val="auto"/>
              </w:rPr>
            </w:pPr>
            <w:r>
              <w:rPr>
                <w:rFonts w:ascii="Arial" w:cs="Arial" w:eastAsia="Arial" w:hAnsi="Arial"/>
                <w:sz w:val="14"/>
                <w:szCs w:val="14"/>
                <w:b w:val="1"/>
                <w:bCs w:val="1"/>
                <w:color w:val="auto"/>
                <w:w w:val="89"/>
              </w:rPr>
              <w:t>Balance</w:t>
            </w:r>
          </w:p>
        </w:tc>
        <w:tc>
          <w:tcPr>
            <w:tcW w:w="360" w:type="dxa"/>
            <w:vAlign w:val="bottom"/>
          </w:tcPr>
          <w:p>
            <w:pPr>
              <w:spacing w:after="0"/>
              <w:rPr>
                <w:sz w:val="11"/>
                <w:szCs w:val="11"/>
                <w:color w:val="auto"/>
              </w:rPr>
            </w:pPr>
          </w:p>
        </w:tc>
        <w:tc>
          <w:tcPr>
            <w:tcW w:w="1020" w:type="dxa"/>
            <w:vAlign w:val="bottom"/>
            <w:gridSpan w:val="2"/>
            <w:vMerge w:val="restart"/>
          </w:tcPr>
          <w:p>
            <w:pPr>
              <w:jc w:val="center"/>
              <w:ind w:right="600"/>
              <w:spacing w:after="0"/>
              <w:rPr>
                <w:sz w:val="20"/>
                <w:szCs w:val="20"/>
                <w:color w:val="auto"/>
              </w:rPr>
            </w:pPr>
            <w:r>
              <w:rPr>
                <w:rFonts w:ascii="Arial" w:cs="Arial" w:eastAsia="Arial" w:hAnsi="Arial"/>
                <w:sz w:val="14"/>
                <w:szCs w:val="14"/>
                <w:b w:val="1"/>
                <w:bCs w:val="1"/>
                <w:color w:val="auto"/>
              </w:rPr>
              <w:t>Fair</w:t>
            </w:r>
          </w:p>
        </w:tc>
        <w:tc>
          <w:tcPr>
            <w:tcW w:w="12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89"/>
              </w:rPr>
              <w:t>Balance</w:t>
            </w: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gridSpan w:val="2"/>
            <w:vMerge w:val="restart"/>
          </w:tcPr>
          <w:p>
            <w:pPr>
              <w:jc w:val="center"/>
              <w:ind w:right="54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5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Derivatives Designated as Hedging Instruments</w:t>
            </w:r>
          </w:p>
        </w:tc>
        <w:tc>
          <w:tcPr>
            <w:tcW w:w="15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Sheet</w:t>
            </w:r>
          </w:p>
        </w:tc>
        <w:tc>
          <w:tcPr>
            <w:tcW w:w="3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Sheet</w:t>
            </w: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20" w:type="dxa"/>
            <w:vAlign w:val="bottom"/>
            <w:gridSpan w:val="2"/>
            <w:vMerge w:val="continue"/>
          </w:tcPr>
          <w:p>
            <w:pPr>
              <w:spacing w:after="0"/>
              <w:rPr>
                <w:sz w:val="14"/>
                <w:szCs w:val="14"/>
                <w:color w:val="auto"/>
              </w:rPr>
            </w:pPr>
          </w:p>
        </w:tc>
        <w:tc>
          <w:tcPr>
            <w:tcW w:w="15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Location</w:t>
            </w:r>
          </w:p>
        </w:tc>
        <w:tc>
          <w:tcPr>
            <w:tcW w:w="360" w:type="dxa"/>
            <w:vAlign w:val="bottom"/>
          </w:tcPr>
          <w:p>
            <w:pPr>
              <w:spacing w:after="0"/>
              <w:rPr>
                <w:sz w:val="14"/>
                <w:szCs w:val="14"/>
                <w:color w:val="auto"/>
              </w:rPr>
            </w:pPr>
          </w:p>
        </w:tc>
        <w:tc>
          <w:tcPr>
            <w:tcW w:w="102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0"/>
              </w:rPr>
              <w:t>Value</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2"/>
              </w:rPr>
              <w:t>Location</w:t>
            </w: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23"/>
        </w:trPr>
        <w:tc>
          <w:tcPr>
            <w:tcW w:w="5700" w:type="dxa"/>
            <w:vAlign w:val="bottom"/>
            <w:tcBorders>
              <w:top w:val="single" w:sz="8" w:color="auto"/>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Interest rate cap contracts</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42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6"/>
              </w:rPr>
              <w:t>Other assets</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179"/>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4,543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8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9"/>
              </w:rPr>
              <w:t>N/A</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3"/>
        </w:trPr>
        <w:tc>
          <w:tcPr>
            <w:tcW w:w="5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3"/>
          </w:tcPr>
          <w:p>
            <w:pPr>
              <w:jc w:val="center"/>
              <w:ind w:right="564"/>
              <w:spacing w:after="0"/>
              <w:rPr>
                <w:sz w:val="20"/>
                <w:szCs w:val="20"/>
                <w:color w:val="auto"/>
              </w:rPr>
            </w:pPr>
            <w:r>
              <w:rPr>
                <w:rFonts w:ascii="Arial" w:cs="Arial" w:eastAsia="Arial" w:hAnsi="Arial"/>
                <w:sz w:val="14"/>
                <w:szCs w:val="14"/>
                <w:b w:val="1"/>
                <w:bCs w:val="1"/>
                <w:i w:val="1"/>
                <w:iCs w:val="1"/>
                <w:color w:val="auto"/>
                <w:w w:val="89"/>
              </w:rPr>
              <w:t>(in thousands)</w:t>
            </w:r>
          </w:p>
        </w:tc>
        <w:tc>
          <w:tcPr>
            <w:tcW w:w="1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5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660" w:type="dxa"/>
            <w:vAlign w:val="bottom"/>
            <w:tcBorders>
              <w:bottom w:val="single" w:sz="8" w:color="auto"/>
            </w:tcBorders>
            <w:gridSpan w:val="4"/>
          </w:tcPr>
          <w:p>
            <w:pPr>
              <w:jc w:val="center"/>
              <w:ind w:right="184"/>
              <w:spacing w:after="0" w:line="155" w:lineRule="exact"/>
              <w:rPr>
                <w:sz w:val="20"/>
                <w:szCs w:val="20"/>
                <w:color w:val="auto"/>
              </w:rPr>
            </w:pPr>
            <w:r>
              <w:rPr>
                <w:rFonts w:ascii="Arial" w:cs="Arial" w:eastAsia="Arial" w:hAnsi="Arial"/>
                <w:sz w:val="14"/>
                <w:szCs w:val="14"/>
                <w:b w:val="1"/>
                <w:bCs w:val="1"/>
                <w:color w:val="auto"/>
                <w:w w:val="94"/>
              </w:rPr>
              <w:t>Fair Values of Derivative Instruments</w:t>
            </w:r>
          </w:p>
        </w:tc>
        <w:tc>
          <w:tcPr>
            <w:tcW w:w="1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300" w:type="dxa"/>
            <w:vAlign w:val="bottom"/>
            <w:tcBorders>
              <w:bottom w:val="single" w:sz="8" w:color="auto"/>
            </w:tcBorders>
            <w:gridSpan w:val="3"/>
          </w:tcPr>
          <w:p>
            <w:pPr>
              <w:jc w:val="center"/>
              <w:ind w:right="564"/>
              <w:spacing w:after="0" w:line="155" w:lineRule="exact"/>
              <w:rPr>
                <w:sz w:val="20"/>
                <w:szCs w:val="20"/>
                <w:color w:val="auto"/>
              </w:rPr>
            </w:pPr>
            <w:r>
              <w:rPr>
                <w:rFonts w:ascii="Arial" w:cs="Arial" w:eastAsia="Arial" w:hAnsi="Arial"/>
                <w:sz w:val="14"/>
                <w:szCs w:val="14"/>
                <w:b w:val="1"/>
                <w:bCs w:val="1"/>
                <w:color w:val="auto"/>
                <w:w w:val="95"/>
              </w:rPr>
              <w:t>Liability Derivatives</w:t>
            </w:r>
          </w:p>
        </w:tc>
        <w:tc>
          <w:tcPr>
            <w:tcW w:w="1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0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rPr>
              <w:t>February 3, 2018</w:t>
            </w:r>
          </w:p>
        </w:tc>
        <w:tc>
          <w:tcPr>
            <w:tcW w:w="78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80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rPr>
              <w:t>January 28, 2017</w:t>
            </w:r>
          </w:p>
        </w:tc>
        <w:tc>
          <w:tcPr>
            <w:tcW w:w="7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5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gridSpan w:val="2"/>
          </w:tcPr>
          <w:p>
            <w:pPr>
              <w:jc w:val="center"/>
              <w:ind w:right="140"/>
              <w:spacing w:after="0" w:line="133" w:lineRule="exact"/>
              <w:rPr>
                <w:sz w:val="20"/>
                <w:szCs w:val="20"/>
                <w:color w:val="auto"/>
              </w:rPr>
            </w:pPr>
            <w:r>
              <w:rPr>
                <w:rFonts w:ascii="Arial" w:cs="Arial" w:eastAsia="Arial" w:hAnsi="Arial"/>
                <w:sz w:val="14"/>
                <w:szCs w:val="14"/>
                <w:b w:val="1"/>
                <w:bCs w:val="1"/>
                <w:color w:val="auto"/>
                <w:w w:val="89"/>
              </w:rPr>
              <w:t>Balance</w:t>
            </w:r>
          </w:p>
        </w:tc>
        <w:tc>
          <w:tcPr>
            <w:tcW w:w="360" w:type="dxa"/>
            <w:vAlign w:val="bottom"/>
          </w:tcPr>
          <w:p>
            <w:pPr>
              <w:spacing w:after="0"/>
              <w:rPr>
                <w:sz w:val="11"/>
                <w:szCs w:val="11"/>
                <w:color w:val="auto"/>
              </w:rPr>
            </w:pPr>
          </w:p>
        </w:tc>
        <w:tc>
          <w:tcPr>
            <w:tcW w:w="1020" w:type="dxa"/>
            <w:vAlign w:val="bottom"/>
            <w:gridSpan w:val="2"/>
            <w:vMerge w:val="restart"/>
          </w:tcPr>
          <w:p>
            <w:pPr>
              <w:jc w:val="center"/>
              <w:ind w:right="600"/>
              <w:spacing w:after="0"/>
              <w:rPr>
                <w:sz w:val="20"/>
                <w:szCs w:val="20"/>
                <w:color w:val="auto"/>
              </w:rPr>
            </w:pPr>
            <w:r>
              <w:rPr>
                <w:rFonts w:ascii="Arial" w:cs="Arial" w:eastAsia="Arial" w:hAnsi="Arial"/>
                <w:sz w:val="14"/>
                <w:szCs w:val="14"/>
                <w:b w:val="1"/>
                <w:bCs w:val="1"/>
                <w:color w:val="auto"/>
              </w:rPr>
              <w:t>Fair</w:t>
            </w:r>
          </w:p>
        </w:tc>
        <w:tc>
          <w:tcPr>
            <w:tcW w:w="12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89"/>
              </w:rPr>
              <w:t>Balance</w:t>
            </w: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gridSpan w:val="2"/>
            <w:vMerge w:val="restart"/>
          </w:tcPr>
          <w:p>
            <w:pPr>
              <w:jc w:val="center"/>
              <w:ind w:right="54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5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Derivatives Designated as Hedging Instruments</w:t>
            </w:r>
          </w:p>
        </w:tc>
        <w:tc>
          <w:tcPr>
            <w:tcW w:w="15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Sheet</w:t>
            </w:r>
          </w:p>
        </w:tc>
        <w:tc>
          <w:tcPr>
            <w:tcW w:w="3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Sheet</w:t>
            </w: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20" w:type="dxa"/>
            <w:vAlign w:val="bottom"/>
            <w:gridSpan w:val="2"/>
            <w:vMerge w:val="continue"/>
          </w:tcPr>
          <w:p>
            <w:pPr>
              <w:spacing w:after="0"/>
              <w:rPr>
                <w:sz w:val="14"/>
                <w:szCs w:val="14"/>
                <w:color w:val="auto"/>
              </w:rPr>
            </w:pPr>
          </w:p>
        </w:tc>
        <w:tc>
          <w:tcPr>
            <w:tcW w:w="15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Location</w:t>
            </w:r>
          </w:p>
        </w:tc>
        <w:tc>
          <w:tcPr>
            <w:tcW w:w="360" w:type="dxa"/>
            <w:vAlign w:val="bottom"/>
          </w:tcPr>
          <w:p>
            <w:pPr>
              <w:spacing w:after="0"/>
              <w:rPr>
                <w:sz w:val="14"/>
                <w:szCs w:val="14"/>
                <w:color w:val="auto"/>
              </w:rPr>
            </w:pPr>
          </w:p>
        </w:tc>
        <w:tc>
          <w:tcPr>
            <w:tcW w:w="102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0"/>
              </w:rPr>
              <w:t>Value</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2"/>
              </w:rPr>
              <w:t>Location</w:t>
            </w: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23"/>
        </w:trPr>
        <w:tc>
          <w:tcPr>
            <w:tcW w:w="5700" w:type="dxa"/>
            <w:vAlign w:val="bottom"/>
            <w:tcBorders>
              <w:top w:val="single" w:sz="8" w:color="auto"/>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Interest rate cap contracts</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42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rPr>
              <w:t>N/A</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179"/>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8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4"/>
              </w:rPr>
              <w:t>Other liabilities</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3,183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The following table presents the unrealized gains (losses) deferred to accumulated other comprehensive loss resulting from the Company’s derivative instruments designated as cash flow hedging instruments for each of the reporting periods.</w:t>
      </w:r>
    </w:p>
    <w:p>
      <w:pPr>
        <w:spacing w:after="0" w:line="247" w:lineRule="exact"/>
        <w:rPr>
          <w:sz w:val="20"/>
          <w:szCs w:val="20"/>
          <w:color w:val="auto"/>
        </w:rPr>
      </w:pPr>
    </w:p>
    <w:tbl>
      <w:tblPr>
        <w:tblLayout w:type="fixed"/>
        <w:tblInd w:w="580" w:type="dxa"/>
        <w:tblCellMar>
          <w:top w:w="0" w:type="dxa"/>
          <w:left w:w="0" w:type="dxa"/>
          <w:bottom w:w="0" w:type="dxa"/>
          <w:right w:w="0" w:type="dxa"/>
        </w:tblCellMar>
      </w:tblPr>
      <w:tr>
        <w:trPr>
          <w:trHeight w:val="167"/>
        </w:trPr>
        <w:tc>
          <w:tcPr>
            <w:tcW w:w="4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i w:val="1"/>
                <w:iCs w:val="1"/>
                <w:color w:val="auto"/>
                <w:w w:val="89"/>
              </w:rPr>
              <w:t>(in thousands)</w:t>
            </w: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560" w:type="dxa"/>
            <w:vAlign w:val="bottom"/>
            <w:vMerge w:val="restart"/>
          </w:tcPr>
          <w:p>
            <w:pPr>
              <w:spacing w:after="0"/>
              <w:rPr>
                <w:sz w:val="20"/>
                <w:szCs w:val="20"/>
                <w:color w:val="auto"/>
              </w:rPr>
            </w:pPr>
            <w:r>
              <w:rPr>
                <w:rFonts w:ascii="Arial" w:cs="Arial" w:eastAsia="Arial" w:hAnsi="Arial"/>
                <w:sz w:val="14"/>
                <w:szCs w:val="14"/>
                <w:b w:val="1"/>
                <w:bCs w:val="1"/>
                <w:color w:val="auto"/>
              </w:rPr>
              <w:t>Interest Rate Cap Contracts:</w:t>
            </w:r>
          </w:p>
        </w:tc>
        <w:tc>
          <w:tcPr>
            <w:tcW w:w="2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2"/>
          </w:tcPr>
          <w:p>
            <w:pPr>
              <w:jc w:val="center"/>
              <w:ind w:right="360"/>
              <w:spacing w:after="0" w:line="155" w:lineRule="exact"/>
              <w:rPr>
                <w:sz w:val="20"/>
                <w:szCs w:val="20"/>
                <w:color w:val="auto"/>
              </w:rPr>
            </w:pPr>
            <w:r>
              <w:rPr>
                <w:rFonts w:ascii="Arial" w:cs="Arial" w:eastAsia="Arial" w:hAnsi="Arial"/>
                <w:sz w:val="14"/>
                <w:szCs w:val="14"/>
                <w:b w:val="1"/>
                <w:bCs w:val="1"/>
                <w:color w:val="auto"/>
                <w:w w:val="91"/>
              </w:rPr>
              <w:t>Fiscal Year Ended</w:t>
            </w: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56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80" w:type="dxa"/>
            <w:vAlign w:val="bottom"/>
            <w:gridSpan w:val="2"/>
          </w:tcPr>
          <w:p>
            <w:pPr>
              <w:jc w:val="right"/>
              <w:ind w:right="440"/>
              <w:spacing w:after="0" w:line="155" w:lineRule="exact"/>
              <w:rPr>
                <w:sz w:val="20"/>
                <w:szCs w:val="20"/>
                <w:color w:val="auto"/>
              </w:rPr>
            </w:pPr>
            <w:r>
              <w:rPr>
                <w:rFonts w:ascii="Arial" w:cs="Arial" w:eastAsia="Arial" w:hAnsi="Arial"/>
                <w:sz w:val="14"/>
                <w:szCs w:val="14"/>
                <w:b w:val="1"/>
                <w:bCs w:val="1"/>
                <w:color w:val="auto"/>
              </w:rPr>
              <w:t>February 3, 2018</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20" w:type="dxa"/>
            <w:vAlign w:val="bottom"/>
            <w:gridSpan w:val="2"/>
          </w:tcPr>
          <w:p>
            <w:pPr>
              <w:jc w:val="center"/>
              <w:ind w:right="380"/>
              <w:spacing w:after="0" w:line="155" w:lineRule="exact"/>
              <w:rPr>
                <w:sz w:val="20"/>
                <w:szCs w:val="20"/>
                <w:color w:val="auto"/>
              </w:rPr>
            </w:pPr>
            <w:r>
              <w:rPr>
                <w:rFonts w:ascii="Arial" w:cs="Arial" w:eastAsia="Arial" w:hAnsi="Arial"/>
                <w:sz w:val="14"/>
                <w:szCs w:val="14"/>
                <w:b w:val="1"/>
                <w:bCs w:val="1"/>
                <w:color w:val="auto"/>
                <w:w w:val="92"/>
              </w:rPr>
              <w:t>January 28, 2017</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tcPr>
          <w:p>
            <w:pPr>
              <w:jc w:val="right"/>
              <w:ind w:right="194"/>
              <w:spacing w:after="0" w:line="155" w:lineRule="exact"/>
              <w:rPr>
                <w:sz w:val="20"/>
                <w:szCs w:val="20"/>
                <w:color w:val="auto"/>
              </w:rPr>
            </w:pPr>
            <w:r>
              <w:rPr>
                <w:rFonts w:ascii="Arial" w:cs="Arial" w:eastAsia="Arial" w:hAnsi="Arial"/>
                <w:sz w:val="14"/>
                <w:szCs w:val="14"/>
                <w:b w:val="1"/>
                <w:bCs w:val="1"/>
                <w:color w:val="auto"/>
                <w:w w:val="99"/>
              </w:rPr>
              <w:t>January 30, 2016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5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Unrealized gains (losses), before taxes</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3,460</w:t>
            </w:r>
          </w:p>
        </w:tc>
        <w:tc>
          <w:tcPr>
            <w:tcW w:w="1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365</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(12,367)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(1,718)</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4,947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6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Unrealized gains (losses), net of taxes</w:t>
            </w:r>
          </w:p>
        </w:tc>
        <w:tc>
          <w:tcPr>
            <w:tcW w:w="38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1,742</w:t>
            </w:r>
          </w:p>
        </w:tc>
        <w:tc>
          <w:tcPr>
            <w:tcW w:w="160" w:type="dxa"/>
            <w:vAlign w:val="bottom"/>
            <w:shd w:val="clear" w:color="auto" w:fill="CFF0FC"/>
          </w:tcPr>
          <w:p>
            <w:pPr>
              <w:spacing w:after="0"/>
              <w:rPr>
                <w:sz w:val="20"/>
                <w:szCs w:val="20"/>
                <w:color w:val="auto"/>
              </w:rPr>
            </w:pPr>
          </w:p>
        </w:tc>
        <w:tc>
          <w:tcPr>
            <w:tcW w:w="30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w:t>
            </w:r>
          </w:p>
        </w:tc>
        <w:tc>
          <w:tcPr>
            <w:tcW w:w="180" w:type="dxa"/>
            <w:vAlign w:val="bottom"/>
            <w:shd w:val="clear" w:color="auto" w:fill="CFF0FC"/>
          </w:tcPr>
          <w:p>
            <w:pPr>
              <w:spacing w:after="0"/>
              <w:rPr>
                <w:sz w:val="20"/>
                <w:szCs w:val="20"/>
                <w:color w:val="auto"/>
              </w:rPr>
            </w:pPr>
          </w:p>
        </w:tc>
        <w:tc>
          <w:tcPr>
            <w:tcW w:w="30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(7,420)</w:t>
            </w:r>
          </w:p>
        </w:tc>
        <w:tc>
          <w:tcPr>
            <w:tcW w:w="0" w:type="dxa"/>
            <w:vAlign w:val="bottom"/>
          </w:tcPr>
          <w:p>
            <w:pPr>
              <w:spacing w:after="0"/>
              <w:rPr>
                <w:sz w:val="1"/>
                <w:szCs w:val="1"/>
                <w:color w:val="auto"/>
              </w:rPr>
            </w:pPr>
          </w:p>
        </w:tc>
      </w:tr>
      <w:tr>
        <w:trPr>
          <w:trHeight w:val="20"/>
        </w:trPr>
        <w:tc>
          <w:tcPr>
            <w:tcW w:w="45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60" w:firstLine="518"/>
        <w:spacing w:after="0" w:line="277" w:lineRule="auto"/>
        <w:rPr>
          <w:sz w:val="20"/>
          <w:szCs w:val="20"/>
          <w:color w:val="auto"/>
        </w:rPr>
      </w:pPr>
      <w:r>
        <w:rPr>
          <w:rFonts w:ascii="Arial" w:cs="Arial" w:eastAsia="Arial" w:hAnsi="Arial"/>
          <w:sz w:val="18"/>
          <w:szCs w:val="18"/>
          <w:color w:val="auto"/>
        </w:rPr>
        <w:t>The following table presents information about the reclassification of losses from accumulated other comprehensive loss into earnings related to the Company’s derivative instruments designated as cash flow hedging instruments for each of the reporting periods.</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16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i w:val="1"/>
                <w:iCs w:val="1"/>
                <w:color w:val="auto"/>
                <w:w w:val="89"/>
              </w:rPr>
              <w:t>(in thousands)</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237"/>
        </w:trPr>
        <w:tc>
          <w:tcPr>
            <w:tcW w:w="116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Fiscal Year Ended</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37"/>
        </w:trPr>
        <w:tc>
          <w:tcPr>
            <w:tcW w:w="5220" w:type="dxa"/>
            <w:vAlign w:val="bottom"/>
            <w:gridSpan w:val="2"/>
          </w:tcPr>
          <w:p>
            <w:pPr>
              <w:ind w:left="1140"/>
              <w:spacing w:after="0"/>
              <w:rPr>
                <w:sz w:val="20"/>
                <w:szCs w:val="20"/>
                <w:color w:val="auto"/>
              </w:rPr>
            </w:pPr>
            <w:r>
              <w:rPr>
                <w:rFonts w:ascii="Arial" w:cs="Arial" w:eastAsia="Arial" w:hAnsi="Arial"/>
                <w:sz w:val="14"/>
                <w:szCs w:val="14"/>
                <w:b w:val="1"/>
                <w:bCs w:val="1"/>
                <w:color w:val="auto"/>
              </w:rPr>
              <w:t>Component of Earnings:</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7"/>
              </w:rPr>
              <w:t>February 3, 2018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January 28, 2017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6"/>
              </w:rPr>
              <w:t>January 30, 2016</w:t>
            </w:r>
          </w:p>
        </w:tc>
        <w:tc>
          <w:tcPr>
            <w:tcW w:w="1160" w:type="dxa"/>
            <w:vAlign w:val="bottom"/>
          </w:tcPr>
          <w:p>
            <w:pPr>
              <w:spacing w:after="0"/>
              <w:rPr>
                <w:sz w:val="20"/>
                <w:szCs w:val="20"/>
                <w:color w:val="auto"/>
              </w:rPr>
            </w:pPr>
          </w:p>
        </w:tc>
      </w:tr>
      <w:tr>
        <w:trPr>
          <w:trHeight w:val="223"/>
        </w:trPr>
        <w:tc>
          <w:tcPr>
            <w:tcW w:w="1160" w:type="dxa"/>
            <w:vAlign w:val="bottom"/>
          </w:tcPr>
          <w:p>
            <w:pPr>
              <w:spacing w:after="0"/>
              <w:rPr>
                <w:sz w:val="19"/>
                <w:szCs w:val="19"/>
                <w:color w:val="auto"/>
              </w:rPr>
            </w:pPr>
          </w:p>
        </w:tc>
        <w:tc>
          <w:tcPr>
            <w:tcW w:w="40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5,931</w:t>
            </w: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2,622</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287</w:t>
            </w:r>
          </w:p>
        </w:tc>
        <w:tc>
          <w:tcPr>
            <w:tcW w:w="80" w:type="dxa"/>
            <w:vAlign w:val="bottom"/>
            <w:tcBorders>
              <w:top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Income tax expense</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(2,369)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(1,041)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(115)</w:t>
            </w:r>
          </w:p>
        </w:tc>
        <w:tc>
          <w:tcPr>
            <w:tcW w:w="116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406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37"/>
        </w:trPr>
        <w:tc>
          <w:tcPr>
            <w:tcW w:w="1160" w:type="dxa"/>
            <w:vAlign w:val="bottom"/>
          </w:tcPr>
          <w:p>
            <w:pPr>
              <w:spacing w:after="0"/>
              <w:rPr>
                <w:sz w:val="20"/>
                <w:szCs w:val="20"/>
                <w:color w:val="auto"/>
              </w:rPr>
            </w:pPr>
          </w:p>
        </w:tc>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3,562</w:t>
            </w:r>
          </w:p>
        </w:tc>
        <w:tc>
          <w:tcPr>
            <w:tcW w:w="140" w:type="dxa"/>
            <w:vAlign w:val="bottom"/>
            <w:shd w:val="clear" w:color="auto" w:fill="CFF0FC"/>
          </w:tcPr>
          <w:p>
            <w:pPr>
              <w:spacing w:after="0"/>
              <w:rPr>
                <w:sz w:val="20"/>
                <w:szCs w:val="20"/>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1,581</w:t>
            </w:r>
          </w:p>
        </w:tc>
        <w:tc>
          <w:tcPr>
            <w:tcW w:w="160" w:type="dxa"/>
            <w:vAlign w:val="bottom"/>
            <w:shd w:val="clear" w:color="auto" w:fill="CFF0FC"/>
          </w:tcPr>
          <w:p>
            <w:pPr>
              <w:spacing w:after="0"/>
              <w:rPr>
                <w:sz w:val="20"/>
                <w:szCs w:val="20"/>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w:t>
            </w:r>
          </w:p>
        </w:tc>
        <w:tc>
          <w:tcPr>
            <w:tcW w:w="80" w:type="dxa"/>
            <w:vAlign w:val="bottom"/>
            <w:shd w:val="clear" w:color="auto" w:fill="CFF0FC"/>
          </w:tcPr>
          <w:p>
            <w:pPr>
              <w:spacing w:after="0"/>
              <w:rPr>
                <w:sz w:val="20"/>
                <w:szCs w:val="20"/>
                <w:color w:val="auto"/>
              </w:rPr>
            </w:pPr>
          </w:p>
        </w:tc>
        <w:tc>
          <w:tcPr>
            <w:tcW w:w="1160" w:type="dxa"/>
            <w:vAlign w:val="bottom"/>
          </w:tcPr>
          <w:p>
            <w:pPr>
              <w:spacing w:after="0"/>
              <w:rPr>
                <w:sz w:val="20"/>
                <w:szCs w:val="20"/>
                <w:color w:val="auto"/>
              </w:rPr>
            </w:pPr>
          </w:p>
        </w:tc>
      </w:tr>
      <w:tr>
        <w:trPr>
          <w:trHeight w:val="20"/>
        </w:trPr>
        <w:tc>
          <w:tcPr>
            <w:tcW w:w="1160" w:type="dxa"/>
            <w:vAlign w:val="bottom"/>
          </w:tcPr>
          <w:p>
            <w:pPr>
              <w:spacing w:after="0" w:line="20" w:lineRule="exact"/>
              <w:rPr>
                <w:sz w:val="1"/>
                <w:szCs w:val="1"/>
                <w:color w:val="auto"/>
              </w:rPr>
            </w:pPr>
          </w:p>
        </w:tc>
        <w:tc>
          <w:tcPr>
            <w:tcW w:w="40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818"/>
        </w:trPr>
        <w:tc>
          <w:tcPr>
            <w:tcW w:w="116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jc w:val="right"/>
              <w:ind w:right="934"/>
              <w:spacing w:after="0"/>
              <w:rPr>
                <w:sz w:val="20"/>
                <w:szCs w:val="20"/>
                <w:color w:val="auto"/>
              </w:rPr>
            </w:pPr>
            <w:r>
              <w:rPr>
                <w:rFonts w:ascii="Arial" w:cs="Arial" w:eastAsia="Arial" w:hAnsi="Arial"/>
                <w:sz w:val="18"/>
                <w:szCs w:val="18"/>
                <w:color w:val="auto"/>
              </w:rPr>
              <w:t>67</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40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9. Accumulated Other Comprehensive Loss</w:t>
      </w:r>
    </w:p>
    <w:p>
      <w:pPr>
        <w:spacing w:after="0" w:line="121"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color w:val="auto"/>
        </w:rPr>
        <w:t>Amounts included in accumulated other comprehensive loss are recorded net of the related income tax effects. The table below details the changes in accumulated other comprehensive loss for Fiscal 2017 and Fiscal 2016.</w:t>
      </w:r>
    </w:p>
    <w:p>
      <w:pPr>
        <w:spacing w:after="0" w:line="180" w:lineRule="exact"/>
        <w:rPr>
          <w:sz w:val="20"/>
          <w:szCs w:val="20"/>
          <w:color w:val="auto"/>
        </w:rPr>
      </w:pPr>
    </w:p>
    <w:tbl>
      <w:tblPr>
        <w:tblLayout w:type="fixed"/>
        <w:tblInd w:w="1720" w:type="dxa"/>
        <w:tblCellMar>
          <w:top w:w="0" w:type="dxa"/>
          <w:left w:w="0" w:type="dxa"/>
          <w:bottom w:w="0" w:type="dxa"/>
          <w:right w:w="0" w:type="dxa"/>
        </w:tblCellMar>
      </w:tblPr>
      <w:tr>
        <w:trPr>
          <w:trHeight w:val="167"/>
        </w:trPr>
        <w:tc>
          <w:tcPr>
            <w:tcW w:w="6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i w:val="1"/>
                <w:iCs w:val="1"/>
                <w:color w:val="auto"/>
                <w:w w:val="89"/>
              </w:rPr>
              <w:t>(in thousands)</w:t>
            </w:r>
          </w:p>
        </w:tc>
      </w:tr>
      <w:tr>
        <w:trPr>
          <w:trHeight w:val="133"/>
        </w:trPr>
        <w:tc>
          <w:tcPr>
            <w:tcW w:w="65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jc w:val="center"/>
              <w:ind w:right="95"/>
              <w:spacing w:after="0" w:line="133" w:lineRule="exact"/>
              <w:rPr>
                <w:sz w:val="20"/>
                <w:szCs w:val="20"/>
                <w:color w:val="auto"/>
              </w:rPr>
            </w:pPr>
            <w:r>
              <w:rPr>
                <w:rFonts w:ascii="Arial" w:cs="Arial" w:eastAsia="Arial" w:hAnsi="Arial"/>
                <w:sz w:val="14"/>
                <w:szCs w:val="14"/>
                <w:b w:val="1"/>
                <w:bCs w:val="1"/>
                <w:color w:val="auto"/>
                <w:w w:val="95"/>
              </w:rPr>
              <w:t>Derivative</w:t>
            </w:r>
          </w:p>
        </w:tc>
        <w:tc>
          <w:tcPr>
            <w:tcW w:w="80" w:type="dxa"/>
            <w:vAlign w:val="bottom"/>
          </w:tcPr>
          <w:p>
            <w:pPr>
              <w:spacing w:after="0"/>
              <w:rPr>
                <w:sz w:val="11"/>
                <w:szCs w:val="11"/>
                <w:color w:val="auto"/>
              </w:rPr>
            </w:pPr>
          </w:p>
        </w:tc>
      </w:tr>
      <w:tr>
        <w:trPr>
          <w:trHeight w:val="171"/>
        </w:trPr>
        <w:tc>
          <w:tcPr>
            <w:tcW w:w="6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Instruments</w:t>
            </w:r>
          </w:p>
        </w:tc>
      </w:tr>
      <w:tr>
        <w:trPr>
          <w:trHeight w:val="223"/>
        </w:trPr>
        <w:tc>
          <w:tcPr>
            <w:tcW w:w="6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at January 30, 2016</w:t>
            </w: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(8,992)</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Unrealized losses, net of related taxes of $0.1 million</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220</w:t>
            </w:r>
          </w:p>
        </w:tc>
        <w:tc>
          <w:tcPr>
            <w:tcW w:w="80" w:type="dxa"/>
            <w:vAlign w:val="bottom"/>
          </w:tcPr>
          <w:p>
            <w:pPr>
              <w:spacing w:after="0"/>
              <w:rPr>
                <w:sz w:val="19"/>
                <w:szCs w:val="19"/>
                <w:color w:val="auto"/>
              </w:rPr>
            </w:pPr>
          </w:p>
        </w:tc>
      </w:tr>
      <w:tr>
        <w:trPr>
          <w:trHeight w:val="230"/>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Amount reclassified into earnings, net of related taxes of $1.0 million</w:t>
            </w:r>
          </w:p>
        </w:tc>
        <w:tc>
          <w:tcPr>
            <w:tcW w:w="1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1,581</w:t>
            </w:r>
          </w:p>
        </w:tc>
        <w:tc>
          <w:tcPr>
            <w:tcW w:w="80" w:type="dxa"/>
            <w:vAlign w:val="bottom"/>
            <w:shd w:val="clear" w:color="auto" w:fill="CFF0FC"/>
          </w:tcPr>
          <w:p>
            <w:pPr>
              <w:spacing w:after="0"/>
              <w:rPr>
                <w:sz w:val="19"/>
                <w:szCs w:val="19"/>
                <w:color w:val="auto"/>
              </w:rPr>
            </w:pPr>
          </w:p>
        </w:tc>
      </w:tr>
      <w:tr>
        <w:trPr>
          <w:trHeight w:val="223"/>
        </w:trPr>
        <w:tc>
          <w:tcPr>
            <w:tcW w:w="6520" w:type="dxa"/>
            <w:vAlign w:val="bottom"/>
          </w:tcPr>
          <w:p>
            <w:pPr>
              <w:spacing w:after="0"/>
              <w:rPr>
                <w:sz w:val="20"/>
                <w:szCs w:val="20"/>
                <w:color w:val="auto"/>
              </w:rPr>
            </w:pPr>
            <w:r>
              <w:rPr>
                <w:rFonts w:ascii="Arial" w:cs="Arial" w:eastAsia="Arial" w:hAnsi="Arial"/>
                <w:sz w:val="18"/>
                <w:szCs w:val="18"/>
                <w:b w:val="1"/>
                <w:bCs w:val="1"/>
                <w:color w:val="auto"/>
              </w:rPr>
              <w:t>Balance at January 28, 2017</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(7,191)</w:t>
            </w:r>
          </w:p>
        </w:tc>
        <w:tc>
          <w:tcPr>
            <w:tcW w:w="80" w:type="dxa"/>
            <w:vAlign w:val="bottom"/>
          </w:tcPr>
          <w:p>
            <w:pPr>
              <w:spacing w:after="0"/>
              <w:rPr>
                <w:sz w:val="19"/>
                <w:szCs w:val="19"/>
                <w:color w:val="auto"/>
              </w:rPr>
            </w:pPr>
          </w:p>
        </w:tc>
      </w:tr>
      <w:tr>
        <w:trPr>
          <w:trHeight w:val="230"/>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Unrealized gains, net of related taxes of $1.4 million</w:t>
            </w:r>
          </w:p>
        </w:tc>
        <w:tc>
          <w:tcPr>
            <w:tcW w:w="1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1,742</w:t>
            </w:r>
          </w:p>
        </w:tc>
        <w:tc>
          <w:tcPr>
            <w:tcW w:w="80" w:type="dxa"/>
            <w:vAlign w:val="bottom"/>
            <w:shd w:val="clear" w:color="auto" w:fill="CFF0FC"/>
          </w:tcPr>
          <w:p>
            <w:pPr>
              <w:spacing w:after="0"/>
              <w:rPr>
                <w:sz w:val="19"/>
                <w:szCs w:val="19"/>
                <w:color w:val="auto"/>
              </w:rPr>
            </w:pPr>
          </w:p>
        </w:tc>
      </w:tr>
      <w:tr>
        <w:trPr>
          <w:trHeight w:val="230"/>
        </w:trPr>
        <w:tc>
          <w:tcPr>
            <w:tcW w:w="6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Amount reclassified into earnings, net of related taxes of $2.4 million</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3,562</w:t>
            </w:r>
          </w:p>
        </w:tc>
        <w:tc>
          <w:tcPr>
            <w:tcW w:w="80" w:type="dxa"/>
            <w:vAlign w:val="bottom"/>
            <w:tcBorders>
              <w:bottom w:val="single" w:sz="8" w:color="CFF0FC"/>
            </w:tcBorders>
          </w:tcPr>
          <w:p>
            <w:pPr>
              <w:spacing w:after="0"/>
              <w:rPr>
                <w:sz w:val="19"/>
                <w:szCs w:val="19"/>
                <w:color w:val="auto"/>
              </w:rPr>
            </w:pPr>
          </w:p>
        </w:tc>
      </w:tr>
      <w:tr>
        <w:trPr>
          <w:trHeight w:val="223"/>
        </w:trPr>
        <w:tc>
          <w:tcPr>
            <w:tcW w:w="65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at February 3, 2018</w:t>
            </w: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(1,887)</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6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Capital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w:t>
      </w:r>
    </w:p>
    <w:p>
      <w:pPr>
        <w:spacing w:after="0" w:line="117" w:lineRule="exact"/>
        <w:rPr>
          <w:sz w:val="20"/>
          <w:szCs w:val="20"/>
          <w:color w:val="auto"/>
        </w:rPr>
      </w:pPr>
    </w:p>
    <w:p>
      <w:pPr>
        <w:ind w:right="400" w:firstLine="518"/>
        <w:spacing w:after="0" w:line="277" w:lineRule="auto"/>
        <w:rPr>
          <w:sz w:val="20"/>
          <w:szCs w:val="20"/>
          <w:color w:val="auto"/>
        </w:rPr>
      </w:pPr>
      <w:r>
        <w:rPr>
          <w:rFonts w:ascii="Arial" w:cs="Arial" w:eastAsia="Arial" w:hAnsi="Arial"/>
          <w:sz w:val="18"/>
          <w:szCs w:val="18"/>
          <w:color w:val="auto"/>
        </w:rPr>
        <w:t>As of February 3, 2018, the total amount of the Company’s authorized capital stock consisted of 500,000,000 shares of common stock, par value $0.0001 per share, and 50,000,000 shares of undesignated preferred stock, par value of $0.0001 per share.</w:t>
      </w:r>
    </w:p>
    <w:p>
      <w:pPr>
        <w:spacing w:after="0" w:line="170"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The Company’s common stock is not entitled to preemptive or other similar subscription rights to purchase any of the Company’s securities. The Company’s common stock is neither convertible nor redeemable. Unless the Company’s Board of Directors determines otherwise, the Company will issue all of the Company’s capital stock in uncertificated form.</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Stock</w:t>
      </w:r>
    </w:p>
    <w:p>
      <w:pPr>
        <w:spacing w:after="0" w:line="117" w:lineRule="exact"/>
        <w:rPr>
          <w:sz w:val="20"/>
          <w:szCs w:val="20"/>
          <w:color w:val="auto"/>
        </w:rPr>
      </w:pPr>
    </w:p>
    <w:p>
      <w:pPr>
        <w:ind w:right="20" w:firstLine="518"/>
        <w:spacing w:after="0" w:line="291" w:lineRule="auto"/>
        <w:rPr>
          <w:sz w:val="20"/>
          <w:szCs w:val="20"/>
          <w:color w:val="auto"/>
        </w:rPr>
      </w:pPr>
      <w:r>
        <w:rPr>
          <w:rFonts w:ascii="Arial" w:cs="Arial" w:eastAsia="Arial" w:hAnsi="Arial"/>
          <w:sz w:val="16"/>
          <w:szCs w:val="16"/>
          <w:color w:val="auto"/>
        </w:rPr>
        <w:t>The Company does not have any shares of preferred stock issued or outstanding. The Company’s Board of Directors has the authority to issue shares of preferred stock from time to time on terms it may determine, to divide shares of preferred stock into one or more series and to fix the designations, preferences, privileges, and restrictions of preferred stock, including dividend rights, conversion rights, voting rights, terms of redemption, liquidation preference, sinking fund terms, and the number of shares constituting any series or the designation of any series to the fullest extent permitted by the General Corporation Law of the State of Delaware. The issuance of the Company’s preferred stock could have the effect of decreasing the trading price of the Company’s common stock, restricting dividends on the Company’s capital stock, diluting the voting power of the Company’s common stock, impairing the liquidation rights of the Company’s capital stock, or delaying or preventing a change in control of the Company.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Rights</w:t>
      </w:r>
    </w:p>
    <w:p>
      <w:pPr>
        <w:spacing w:after="0" w:line="117" w:lineRule="exact"/>
        <w:rPr>
          <w:sz w:val="20"/>
          <w:szCs w:val="20"/>
          <w:color w:val="auto"/>
        </w:rPr>
      </w:pPr>
    </w:p>
    <w:p>
      <w:pPr>
        <w:ind w:right="260" w:firstLine="518"/>
        <w:spacing w:after="0" w:line="286" w:lineRule="auto"/>
        <w:rPr>
          <w:sz w:val="20"/>
          <w:szCs w:val="20"/>
          <w:color w:val="auto"/>
        </w:rPr>
      </w:pPr>
      <w:r>
        <w:rPr>
          <w:rFonts w:ascii="Arial" w:cs="Arial" w:eastAsia="Arial" w:hAnsi="Arial"/>
          <w:sz w:val="17"/>
          <w:szCs w:val="17"/>
          <w:color w:val="auto"/>
        </w:rPr>
        <w:t>Each holder of shares of the Company’s capital stock will be entitled to receive such dividends and other distributions in cash, stock or property as may be declared by the Company’s Board of Directors from time to time out of the Company’s assets or funds legally available for dividends or other distributions. These rights are subject to the preferential rights of any other class or series of the Company’s preferred stock.</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Treasury Stock</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accounts for treasury stock under the cost method.</w:t>
      </w:r>
    </w:p>
    <w:p>
      <w:pPr>
        <w:spacing w:after="0" w:line="225" w:lineRule="exact"/>
        <w:rPr>
          <w:sz w:val="20"/>
          <w:szCs w:val="20"/>
          <w:color w:val="auto"/>
        </w:rPr>
      </w:pPr>
    </w:p>
    <w:p>
      <w:pPr>
        <w:ind w:right="80" w:firstLine="518"/>
        <w:spacing w:after="0" w:line="309" w:lineRule="auto"/>
        <w:rPr>
          <w:sz w:val="20"/>
          <w:szCs w:val="20"/>
          <w:color w:val="auto"/>
        </w:rPr>
      </w:pPr>
      <w:r>
        <w:rPr>
          <w:rFonts w:ascii="Arial" w:cs="Arial" w:eastAsia="Arial" w:hAnsi="Arial"/>
          <w:sz w:val="18"/>
          <w:szCs w:val="18"/>
          <w:color w:val="auto"/>
        </w:rPr>
        <w:t>During Fiscal 2017, the Company acquired 70,291 shares of common stock from employees for approximately $7.3 million to satisfy their minimum statutory tax withholdings related to the vesting of restricted stock awards.</w:t>
      </w:r>
    </w:p>
    <w:p>
      <w:pPr>
        <w:spacing w:after="0" w:line="14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337" w:right="31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i w:val="1"/>
          <w:iCs w:val="1"/>
          <w:color w:val="auto"/>
        </w:rPr>
        <w:t>Share Repurchase Programs</w:t>
      </w:r>
    </w:p>
    <w:p>
      <w:pPr>
        <w:spacing w:after="0" w:line="225" w:lineRule="exact"/>
        <w:rPr>
          <w:sz w:val="20"/>
          <w:szCs w:val="20"/>
          <w:color w:val="auto"/>
        </w:rPr>
      </w:pPr>
    </w:p>
    <w:p>
      <w:pPr>
        <w:ind w:right="80" w:firstLine="518"/>
        <w:spacing w:after="0" w:line="272" w:lineRule="auto"/>
        <w:rPr>
          <w:sz w:val="20"/>
          <w:szCs w:val="20"/>
          <w:color w:val="auto"/>
        </w:rPr>
      </w:pPr>
      <w:r>
        <w:rPr>
          <w:rFonts w:ascii="Arial" w:cs="Arial" w:eastAsia="Arial" w:hAnsi="Arial"/>
          <w:sz w:val="17"/>
          <w:szCs w:val="17"/>
          <w:color w:val="auto"/>
        </w:rPr>
        <w:t>On November 24, 2015, the Company announced that its Board of Directors had authorized the repurchase of up to $200 million of the Company’s common stock, which the Company completed during Fiscal 2016. On November 15, 2016, the Company’s Board of Directors authorized the repurchase of up to an additional $200 million of the Company’s common stock, which the Company completed during the third quarter of Fiscal 2017. On August 16, 2017, the Company’s Board of Directors approved the repurchase of up to an additional $300 million of the Company’s common stock. This new repurchase program is authorized to be executed through August 2019 and is funded using the Company’s available cash and borrowings on the ABL Line of Credit. During Fiscal 2017, the Company repurchased 3,006,720 shares of common stock for $282.5 million under its share repurchase programs. As of February 3, 2018, the Company had $217.2 million available for purchase under its share repurchase program.</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Net Income Per Share</w:t>
      </w:r>
    </w:p>
    <w:p>
      <w:pPr>
        <w:spacing w:after="0" w:line="121"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Basic net income per share is calculated by dividing net income by the weighted-average number of common shares outstanding. Dilutive net income per share is calculated by dividing net income by the weighted-average number of common shares and potentially dilutive securities outstanding during the period using the treasury stock method.</w:t>
      </w:r>
    </w:p>
    <w:p>
      <w:pPr>
        <w:spacing w:after="0" w:line="217" w:lineRule="exact"/>
        <w:rPr>
          <w:sz w:val="20"/>
          <w:szCs w:val="20"/>
          <w:color w:val="auto"/>
        </w:rPr>
      </w:pPr>
    </w:p>
    <w:tbl>
      <w:tblPr>
        <w:tblLayout w:type="fixed"/>
        <w:tblInd w:w="114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5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0" w:type="dxa"/>
            <w:vAlign w:val="bottom"/>
            <w:gridSpan w:val="8"/>
          </w:tcPr>
          <w:p>
            <w:pPr>
              <w:jc w:val="center"/>
              <w:ind w:right="200"/>
              <w:spacing w:after="0"/>
              <w:rPr>
                <w:sz w:val="20"/>
                <w:szCs w:val="20"/>
                <w:color w:val="auto"/>
              </w:rPr>
            </w:pPr>
            <w:r>
              <w:rPr>
                <w:rFonts w:ascii="Arial" w:cs="Arial" w:eastAsia="Arial" w:hAnsi="Arial"/>
                <w:sz w:val="14"/>
                <w:szCs w:val="14"/>
                <w:b w:val="1"/>
                <w:bCs w:val="1"/>
                <w:i w:val="1"/>
                <w:iCs w:val="1"/>
                <w:color w:val="auto"/>
                <w:w w:val="88"/>
              </w:rPr>
              <w:t>(in thousands, except per share data)</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4"/>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4"/>
          </w:tcPr>
          <w:p>
            <w:pPr>
              <w:jc w:val="center"/>
              <w:ind w:right="60"/>
              <w:spacing w:after="0" w:line="155" w:lineRule="exact"/>
              <w:rPr>
                <w:sz w:val="20"/>
                <w:szCs w:val="20"/>
                <w:color w:val="auto"/>
              </w:rPr>
            </w:pPr>
            <w:r>
              <w:rPr>
                <w:rFonts w:ascii="Arial" w:cs="Arial" w:eastAsia="Arial" w:hAnsi="Arial"/>
                <w:sz w:val="14"/>
                <w:szCs w:val="14"/>
                <w:b w:val="1"/>
                <w:bCs w:val="1"/>
                <w:color w:val="auto"/>
                <w:w w:val="92"/>
              </w:rPr>
              <w:t>Fiscal Year Ended</w:t>
            </w:r>
          </w:p>
        </w:tc>
        <w:tc>
          <w:tcPr>
            <w:tcW w:w="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ind w:right="36"/>
              <w:spacing w:after="0" w:line="147" w:lineRule="exact"/>
              <w:rPr>
                <w:sz w:val="20"/>
                <w:szCs w:val="20"/>
                <w:color w:val="auto"/>
              </w:rPr>
            </w:pPr>
            <w:r>
              <w:rPr>
                <w:rFonts w:ascii="Arial" w:cs="Arial" w:eastAsia="Arial" w:hAnsi="Arial"/>
                <w:sz w:val="14"/>
                <w:szCs w:val="14"/>
                <w:b w:val="1"/>
                <w:bCs w:val="1"/>
                <w:color w:val="auto"/>
                <w:w w:val="97"/>
              </w:rPr>
              <w:t>February 3,</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340"/>
              <w:spacing w:after="0" w:line="147" w:lineRule="exact"/>
              <w:rPr>
                <w:sz w:val="20"/>
                <w:szCs w:val="20"/>
                <w:color w:val="auto"/>
              </w:rPr>
            </w:pPr>
            <w:r>
              <w:rPr>
                <w:rFonts w:ascii="Arial" w:cs="Arial" w:eastAsia="Arial" w:hAnsi="Arial"/>
                <w:sz w:val="14"/>
                <w:szCs w:val="14"/>
                <w:b w:val="1"/>
                <w:bCs w:val="1"/>
                <w:color w:val="auto"/>
                <w:w w:val="93"/>
              </w:rPr>
              <w:t>January 28,</w:t>
            </w:r>
          </w:p>
        </w:tc>
        <w:tc>
          <w:tcPr>
            <w:tcW w:w="60" w:type="dxa"/>
            <w:vAlign w:val="bottom"/>
          </w:tcPr>
          <w:p>
            <w:pPr>
              <w:spacing w:after="0"/>
              <w:rPr>
                <w:sz w:val="12"/>
                <w:szCs w:val="12"/>
                <w:color w:val="auto"/>
              </w:rPr>
            </w:pPr>
          </w:p>
        </w:tc>
        <w:tc>
          <w:tcPr>
            <w:tcW w:w="860" w:type="dxa"/>
            <w:vAlign w:val="bottom"/>
          </w:tcPr>
          <w:p>
            <w:pPr>
              <w:jc w:val="right"/>
              <w:ind w:right="34"/>
              <w:spacing w:after="0" w:line="147" w:lineRule="exact"/>
              <w:rPr>
                <w:sz w:val="20"/>
                <w:szCs w:val="20"/>
                <w:color w:val="auto"/>
              </w:rPr>
            </w:pPr>
            <w:r>
              <w:rPr>
                <w:rFonts w:ascii="Arial" w:cs="Arial" w:eastAsia="Arial" w:hAnsi="Arial"/>
                <w:sz w:val="14"/>
                <w:szCs w:val="14"/>
                <w:b w:val="1"/>
                <w:bCs w:val="1"/>
                <w:color w:val="auto"/>
                <w:w w:val="93"/>
              </w:rPr>
              <w:t>January 30,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6"/>
              </w:rPr>
              <w:t>2018</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89"/>
              </w:rPr>
              <w:t>2017</w:t>
            </w:r>
          </w:p>
        </w:tc>
        <w:tc>
          <w:tcPr>
            <w:tcW w:w="2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40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Basic net income per share</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center"/>
              <w:ind w:right="36"/>
              <w:spacing w:after="0"/>
              <w:rPr>
                <w:sz w:val="20"/>
                <w:szCs w:val="20"/>
                <w:color w:val="auto"/>
              </w:rPr>
            </w:pPr>
            <w:r>
              <w:rPr>
                <w:rFonts w:ascii="Arial" w:cs="Arial" w:eastAsia="Arial" w:hAnsi="Arial"/>
                <w:sz w:val="14"/>
                <w:szCs w:val="14"/>
                <w:b w:val="1"/>
                <w:bCs w:val="1"/>
                <w:color w:val="auto"/>
                <w:w w:val="90"/>
              </w:rPr>
              <w:t>(53 Weeks)</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5400" w:type="dxa"/>
            <w:vAlign w:val="bottom"/>
            <w:gridSpan w:val="2"/>
            <w:vMerge w:val="continue"/>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384,852</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215,873</w:t>
            </w:r>
          </w:p>
        </w:tc>
        <w:tc>
          <w:tcPr>
            <w:tcW w:w="200" w:type="dxa"/>
            <w:vAlign w:val="bottom"/>
            <w:tcBorders>
              <w:right w:val="single" w:sz="8" w:color="CFF0FC"/>
            </w:tcBorders>
            <w:shd w:val="clear" w:color="auto" w:fill="CFF0FC"/>
          </w:tcPr>
          <w:p>
            <w:pPr>
              <w:spacing w:after="0"/>
              <w:rPr>
                <w:sz w:val="19"/>
                <w:szCs w:val="19"/>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150,482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Borders>
              <w:top w:val="single" w:sz="8" w:color="CFF0FC"/>
              <w:bottom w:val="single" w:sz="8" w:color="CFF0FC"/>
            </w:tcBorders>
            <w:vMerge w:val="restart"/>
          </w:tcPr>
          <w:p>
            <w:pPr>
              <w:ind w:left="240"/>
              <w:spacing w:after="0"/>
              <w:rPr>
                <w:sz w:val="20"/>
                <w:szCs w:val="20"/>
                <w:color w:val="auto"/>
              </w:rPr>
            </w:pPr>
            <w:r>
              <w:rPr>
                <w:rFonts w:ascii="Arial" w:cs="Arial" w:eastAsia="Arial" w:hAnsi="Arial"/>
                <w:sz w:val="18"/>
                <w:szCs w:val="18"/>
                <w:color w:val="auto"/>
              </w:rPr>
              <w:t>Weighted average number of common shares – basic</w:t>
            </w:r>
          </w:p>
        </w:tc>
        <w:tc>
          <w:tcPr>
            <w:tcW w:w="4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380" w:type="dxa"/>
            <w:vAlign w:val="bottom"/>
            <w:tcBorders>
              <w:bottom w:val="single" w:sz="8" w:color="CFF0FC"/>
            </w:tcBorders>
            <w:vMerge w:val="continue"/>
          </w:tcPr>
          <w:p>
            <w:pPr>
              <w:spacing w:after="0"/>
              <w:rPr>
                <w:sz w:val="21"/>
                <w:szCs w:val="21"/>
                <w:color w:val="auto"/>
              </w:rPr>
            </w:pPr>
          </w:p>
        </w:tc>
        <w:tc>
          <w:tcPr>
            <w:tcW w:w="460" w:type="dxa"/>
            <w:vAlign w:val="bottom"/>
            <w:tcBorders>
              <w:bottom w:val="single" w:sz="8" w:color="CFF0FC"/>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68,286</w:t>
            </w:r>
          </w:p>
        </w:tc>
        <w:tc>
          <w:tcPr>
            <w:tcW w:w="18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70,480</w:t>
            </w:r>
          </w:p>
        </w:tc>
        <w:tc>
          <w:tcPr>
            <w:tcW w:w="200" w:type="dxa"/>
            <w:vAlign w:val="bottom"/>
            <w:tcBorders>
              <w:bottom w:val="single" w:sz="8" w:color="CFF0FC"/>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74,111</w:t>
            </w:r>
          </w:p>
        </w:tc>
        <w:tc>
          <w:tcPr>
            <w:tcW w:w="8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Net income per common share – basic</w:t>
            </w:r>
          </w:p>
        </w:tc>
        <w:tc>
          <w:tcPr>
            <w:tcW w:w="4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5.64</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3.06</w:t>
            </w:r>
          </w:p>
        </w:tc>
        <w:tc>
          <w:tcPr>
            <w:tcW w:w="200" w:type="dxa"/>
            <w:vAlign w:val="bottom"/>
            <w:tcBorders>
              <w:bottom w:val="single" w:sz="8" w:color="CFF0FC"/>
              <w:right w:val="single" w:sz="8" w:color="CFF0FC"/>
            </w:tcBorders>
            <w:shd w:val="clear" w:color="auto" w:fill="CFF0FC"/>
          </w:tcPr>
          <w:p>
            <w:pPr>
              <w:spacing w:after="0"/>
              <w:rPr>
                <w:sz w:val="18"/>
                <w:szCs w:val="18"/>
                <w:color w:val="auto"/>
              </w:rPr>
            </w:pPr>
          </w:p>
        </w:tc>
        <w:tc>
          <w:tcPr>
            <w:tcW w:w="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Diluted net income per share</w:t>
            </w: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00" w:type="dxa"/>
            <w:vAlign w:val="bottom"/>
            <w:gridSpan w:val="2"/>
            <w:vMerge w:val="continue"/>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384,852</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215,873</w:t>
            </w:r>
          </w:p>
        </w:tc>
        <w:tc>
          <w:tcPr>
            <w:tcW w:w="200" w:type="dxa"/>
            <w:vAlign w:val="bottom"/>
            <w:tcBorders>
              <w:right w:val="single" w:sz="8" w:color="CFF0FC"/>
            </w:tcBorders>
            <w:shd w:val="clear" w:color="auto" w:fill="CFF0FC"/>
          </w:tcPr>
          <w:p>
            <w:pPr>
              <w:spacing w:after="0"/>
              <w:rPr>
                <w:sz w:val="19"/>
                <w:szCs w:val="19"/>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150,482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shd w:val="clear" w:color="auto" w:fill="CFF0FC"/>
          </w:tcPr>
          <w:p>
            <w:pPr>
              <w:spacing w:after="0" w:line="20" w:lineRule="exact"/>
              <w:rPr>
                <w:sz w:val="1"/>
                <w:szCs w:val="1"/>
                <w:color w:val="auto"/>
              </w:rPr>
            </w:pPr>
          </w:p>
        </w:tc>
        <w:tc>
          <w:tcPr>
            <w:tcW w:w="46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400" w:type="dxa"/>
            <w:vAlign w:val="bottom"/>
            <w:gridSpan w:val="2"/>
            <w:vMerge w:val="restart"/>
          </w:tcPr>
          <w:p>
            <w:pPr>
              <w:spacing w:after="0"/>
              <w:rPr>
                <w:sz w:val="20"/>
                <w:szCs w:val="20"/>
                <w:color w:val="auto"/>
              </w:rPr>
            </w:pPr>
            <w:r>
              <w:rPr>
                <w:rFonts w:ascii="Arial" w:cs="Arial" w:eastAsia="Arial" w:hAnsi="Arial"/>
                <w:sz w:val="18"/>
                <w:szCs w:val="18"/>
                <w:color w:val="auto"/>
              </w:rPr>
              <w:t>Shares for basic and diluted net income per share:</w:t>
            </w: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00" w:type="dxa"/>
            <w:vAlign w:val="bottom"/>
            <w:gridSpan w:val="2"/>
            <w:vMerge w:val="continue"/>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Weighted average number of common shares – basic</w:t>
            </w:r>
          </w:p>
        </w:tc>
        <w:tc>
          <w:tcPr>
            <w:tcW w:w="4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68,286</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70,480</w:t>
            </w:r>
          </w:p>
        </w:tc>
        <w:tc>
          <w:tcPr>
            <w:tcW w:w="200" w:type="dxa"/>
            <w:vAlign w:val="bottom"/>
            <w:tcBorders>
              <w:right w:val="single" w:sz="8" w:color="CFF0FC"/>
            </w:tcBorders>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74,111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w w:val="98"/>
              </w:rPr>
              <w:t>Assumed exercise of stock options and vesting of restricted stock</w:t>
            </w:r>
          </w:p>
        </w:tc>
        <w:tc>
          <w:tcPr>
            <w:tcW w:w="46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2,002</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1,241</w:t>
            </w:r>
          </w:p>
        </w:tc>
        <w:tc>
          <w:tcPr>
            <w:tcW w:w="20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1,332</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Weighted average number of common shares – diluted</w:t>
            </w:r>
          </w:p>
        </w:tc>
        <w:tc>
          <w:tcPr>
            <w:tcW w:w="4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70,288</w:t>
            </w:r>
          </w:p>
        </w:tc>
        <w:tc>
          <w:tcPr>
            <w:tcW w:w="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71,721</w:t>
            </w:r>
          </w:p>
        </w:tc>
        <w:tc>
          <w:tcPr>
            <w:tcW w:w="200" w:type="dxa"/>
            <w:vAlign w:val="bottom"/>
            <w:tcBorders>
              <w:bottom w:val="single" w:sz="8" w:color="CFF0FC"/>
              <w:right w:val="single" w:sz="8" w:color="CFF0FC"/>
            </w:tcBorders>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75,443</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vMerge w:val="restart"/>
          </w:tcPr>
          <w:p>
            <w:pPr>
              <w:ind w:left="240"/>
              <w:spacing w:after="0"/>
              <w:rPr>
                <w:sz w:val="20"/>
                <w:szCs w:val="20"/>
                <w:color w:val="auto"/>
              </w:rPr>
            </w:pPr>
            <w:r>
              <w:rPr>
                <w:rFonts w:ascii="Arial" w:cs="Arial" w:eastAsia="Arial" w:hAnsi="Arial"/>
                <w:sz w:val="18"/>
                <w:szCs w:val="18"/>
                <w:color w:val="auto"/>
              </w:rPr>
              <w:t>Net income per common share – diluted</w:t>
            </w:r>
          </w:p>
        </w:tc>
        <w:tc>
          <w:tcPr>
            <w:tcW w:w="5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38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5.48</w:t>
            </w: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3.01</w:t>
            </w:r>
          </w:p>
        </w:tc>
        <w:tc>
          <w:tcPr>
            <w:tcW w:w="200" w:type="dxa"/>
            <w:vAlign w:val="bottom"/>
          </w:tcPr>
          <w:p>
            <w:pPr>
              <w:spacing w:after="0"/>
              <w:rPr>
                <w:sz w:val="18"/>
                <w:szCs w:val="18"/>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Approximately 150,000 shares, less than 100,000 shares and approximately 115,000 shares were excluded from diluted net income per share for Fiscal 2017, Fiscal 2016 and Fiscal 2015, respectively, since their effect was anti-dilutive.</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Stock-Based Compensation</w:t>
      </w:r>
    </w:p>
    <w:p>
      <w:pPr>
        <w:spacing w:after="0" w:line="121" w:lineRule="exact"/>
        <w:rPr>
          <w:sz w:val="20"/>
          <w:szCs w:val="20"/>
          <w:color w:val="auto"/>
        </w:rPr>
      </w:pPr>
    </w:p>
    <w:p>
      <w:pPr>
        <w:ind w:right="160" w:firstLine="518"/>
        <w:spacing w:after="0" w:line="297" w:lineRule="auto"/>
        <w:rPr>
          <w:sz w:val="20"/>
          <w:szCs w:val="20"/>
          <w:color w:val="auto"/>
        </w:rPr>
      </w:pPr>
      <w:r>
        <w:rPr>
          <w:rFonts w:ascii="Arial" w:cs="Arial" w:eastAsia="Arial" w:hAnsi="Arial"/>
          <w:sz w:val="16"/>
          <w:szCs w:val="16"/>
          <w:color w:val="auto"/>
        </w:rPr>
        <w:t>On May 1, 2013, the Company’s Board of Directors approved the Company’s assumption and adoption of the 2006 Management Incentive Plan (the 2006 Plan) that was previously sponsored by Burlington Coat Factory Holdings, LLC. The 2006 Plan terminated on April 12, 2016. The Company’s 2013 Omnibus Incentive Plan (the 2013 Plan and, together with the 2006 Plan, the Plans), originally adopted effective prior to and in connection with the Company’s initial public offering, was amended and restated effective May 17, 2017. The 2006 Plan, prior to its termination, and the 2013 Plan provide for the granting of stock options, restricted stock and other forms of awards to key employees and directors of the Company or its affiliates.</w:t>
      </w:r>
    </w:p>
    <w:p>
      <w:pPr>
        <w:spacing w:after="0" w:line="158" w:lineRule="exact"/>
        <w:rPr>
          <w:sz w:val="20"/>
          <w:szCs w:val="20"/>
          <w:color w:val="auto"/>
        </w:rPr>
      </w:pPr>
    </w:p>
    <w:p>
      <w:pPr>
        <w:ind w:right="140" w:firstLine="518"/>
        <w:spacing w:after="0" w:line="277" w:lineRule="auto"/>
        <w:rPr>
          <w:sz w:val="20"/>
          <w:szCs w:val="20"/>
          <w:color w:val="auto"/>
        </w:rPr>
      </w:pPr>
      <w:r>
        <w:rPr>
          <w:rFonts w:ascii="Arial" w:cs="Arial" w:eastAsia="Arial" w:hAnsi="Arial"/>
          <w:sz w:val="18"/>
          <w:szCs w:val="18"/>
          <w:color w:val="auto"/>
        </w:rPr>
        <w:t>The Company accounts for awards issued under the Plans in accordance with Topic No. 718. As of February 3, 2018, there were 4,968,793 shares of common stock available for issuance under the 2013 Plan.</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65" w:right="279" w:bottom="1440" w:gutter="0" w:footer="0" w:header="0"/>
        </w:sectPr>
      </w:pPr>
    </w:p>
    <w:bookmarkStart w:id="71" w:name="page72"/>
    <w:bookmarkEnd w:id="71"/>
    <w:p>
      <w:pPr>
        <w:spacing w:after="0"/>
        <w:rPr>
          <w:sz w:val="20"/>
          <w:szCs w:val="20"/>
          <w:color w:val="auto"/>
        </w:rPr>
      </w:pPr>
      <w:r>
        <w:rPr>
          <w:rFonts w:ascii="Arial" w:cs="Arial" w:eastAsia="Arial" w:hAnsi="Arial"/>
          <w:sz w:val="18"/>
          <w:szCs w:val="18"/>
          <w:i w:val="1"/>
          <w:iCs w:val="1"/>
          <w:color w:val="auto"/>
        </w:rPr>
        <w:t>Stock Options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Options granted during Fiscal 2017, Fiscal 2016 and Fiscal 2015 were all service-based awards granted under the Plans at the following exercise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prices:</w:t>
      </w:r>
    </w:p>
    <w:p>
      <w:pPr>
        <w:spacing w:after="0" w:line="216"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80" w:type="dxa"/>
            <w:vAlign w:val="bottom"/>
            <w:gridSpan w:val="5"/>
          </w:tcPr>
          <w:p>
            <w:pPr>
              <w:ind w:left="300"/>
              <w:spacing w:after="0"/>
              <w:rPr>
                <w:sz w:val="20"/>
                <w:szCs w:val="20"/>
                <w:color w:val="auto"/>
              </w:rPr>
            </w:pPr>
            <w:r>
              <w:rPr>
                <w:rFonts w:ascii="Arial" w:cs="Arial" w:eastAsia="Arial" w:hAnsi="Arial"/>
                <w:sz w:val="14"/>
                <w:szCs w:val="14"/>
                <w:b w:val="1"/>
                <w:bCs w:val="1"/>
                <w:color w:val="auto"/>
              </w:rPr>
              <w:t>Exercise Price Ranges</w:t>
            </w:r>
          </w:p>
        </w:tc>
      </w:tr>
      <w:tr>
        <w:trPr>
          <w:trHeight w:val="156"/>
        </w:trPr>
        <w:tc>
          <w:tcPr>
            <w:tcW w:w="5460" w:type="dxa"/>
            <w:vAlign w:val="bottom"/>
            <w:tcBorders>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17"/>
              <w:spacing w:after="0" w:line="155" w:lineRule="exact"/>
              <w:rPr>
                <w:sz w:val="20"/>
                <w:szCs w:val="20"/>
                <w:color w:val="auto"/>
              </w:rPr>
            </w:pPr>
            <w:r>
              <w:rPr>
                <w:rFonts w:ascii="Arial" w:cs="Arial" w:eastAsia="Arial" w:hAnsi="Arial"/>
                <w:sz w:val="14"/>
                <w:szCs w:val="14"/>
                <w:b w:val="1"/>
                <w:bCs w:val="1"/>
                <w:color w:val="auto"/>
              </w:rPr>
              <w:t>From</w:t>
            </w:r>
          </w:p>
        </w:tc>
        <w:tc>
          <w:tcPr>
            <w:tcW w:w="18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414"/>
              <w:spacing w:after="0" w:line="155" w:lineRule="exact"/>
              <w:rPr>
                <w:sz w:val="20"/>
                <w:szCs w:val="20"/>
                <w:color w:val="auto"/>
              </w:rPr>
            </w:pPr>
            <w:r>
              <w:rPr>
                <w:rFonts w:ascii="Arial" w:cs="Arial" w:eastAsia="Arial" w:hAnsi="Arial"/>
                <w:sz w:val="14"/>
                <w:szCs w:val="14"/>
                <w:b w:val="1"/>
                <w:bCs w:val="1"/>
                <w:color w:val="auto"/>
              </w:rPr>
              <w:t>To</w:t>
            </w:r>
          </w:p>
        </w:tc>
        <w:tc>
          <w:tcPr>
            <w:tcW w:w="60" w:type="dxa"/>
            <w:vAlign w:val="bottom"/>
            <w:tcBorders>
              <w:bottom w:val="single" w:sz="8" w:color="CFF0FC"/>
            </w:tcBorders>
          </w:tcPr>
          <w:p>
            <w:pPr>
              <w:spacing w:after="0"/>
              <w:rPr>
                <w:sz w:val="13"/>
                <w:szCs w:val="13"/>
                <w:color w:val="auto"/>
              </w:rPr>
            </w:pPr>
          </w:p>
        </w:tc>
      </w:tr>
      <w:tr>
        <w:trPr>
          <w:trHeight w:val="223"/>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Fiscal 2017</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80.91</w:t>
            </w: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110.50</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Fiscal 2016</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54.11</w:t>
            </w:r>
          </w:p>
        </w:tc>
        <w:tc>
          <w:tcPr>
            <w:tcW w:w="4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83.83</w:t>
            </w:r>
          </w:p>
        </w:tc>
        <w:tc>
          <w:tcPr>
            <w:tcW w:w="60" w:type="dxa"/>
            <w:vAlign w:val="bottom"/>
          </w:tcPr>
          <w:p>
            <w:pPr>
              <w:spacing w:after="0"/>
              <w:rPr>
                <w:sz w:val="19"/>
                <w:szCs w:val="19"/>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Fiscal 2015</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45.78</w:t>
            </w:r>
          </w:p>
        </w:tc>
        <w:tc>
          <w:tcPr>
            <w:tcW w:w="46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55.75</w:t>
            </w:r>
          </w:p>
        </w:tc>
        <w:tc>
          <w:tcPr>
            <w:tcW w:w="60" w:type="dxa"/>
            <w:vAlign w:val="bottom"/>
            <w:shd w:val="clear" w:color="auto" w:fill="CFF0FC"/>
          </w:tcPr>
          <w:p>
            <w:pPr>
              <w:spacing w:after="0"/>
              <w:rPr>
                <w:sz w:val="19"/>
                <w:szCs w:val="19"/>
                <w:color w:val="auto"/>
              </w:rPr>
            </w:pPr>
          </w:p>
        </w:tc>
      </w:tr>
    </w:tbl>
    <w:p>
      <w:pPr>
        <w:spacing w:after="0" w:line="200" w:lineRule="exact"/>
        <w:rPr>
          <w:sz w:val="20"/>
          <w:szCs w:val="20"/>
          <w:color w:val="auto"/>
        </w:rPr>
      </w:pPr>
    </w:p>
    <w:p>
      <w:pPr>
        <w:spacing w:after="0" w:line="218"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All awards granted during Fiscal 2017, Fiscal 2016 and Fiscal 2015 vest 25% on each of the first four anniversaries of the grant date. The final exercise date for any option granted is the tenth anniversary of the grant date. With the exception of a special one-time grant of options to purchase shares of common stock to certain members of management made during Fiscal 2013, all options awarded prior to Fiscal 2016 become immediately exercisable upon a change of control; options awarded after Fiscal 2015 become exercisable if the grantee’s employment is terminated without cause or, in some instances, the recipient resigns with good reason, within a certain period of time following a change in control. The vesting of the special one-time grants will not be accelerated in the event of a change of control, provided, however, that in the event that within two years after a change of control, the grantee’s employment is terminated without cause or, in some instances, the grantee resigns with good reason, then an incremental 20% of the special one-time grants shall be deemed vested as of the date of termination of grantee’s employment, but in no event more than the total number of the special one-time grants granted to such grantee. Unless determined otherwise by the plan administrator, upon cessation of employment other than for cause, the majority of options that have not vested will terminate immediately (subject to the potential acceleration of special one-time grants in the event of a change of control, as described above) and unexercised vested options will be exercisable for a period of 60 days.</w:t>
      </w:r>
    </w:p>
    <w:p>
      <w:pPr>
        <w:spacing w:after="0" w:line="183"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In May 2013, the Company’s Board of Directors approved a modification to all then outstanding options. The modification, through a combination of either reduced exercise prices or cash payments, did not affect the existing vesting schedules. The modification resulted in a total of $0.1 million, $0.6 million and $1.4 million of incremental compensation expense during Fiscal 2017, Fiscal 2016 and Fiscal 2015, respectively, of which less than $0.1 million, $0.1 million and $0.3 million, respectively, are payable in cash. These costs were recorded in the line item “Stock option modification expense” in the Company’s Consolidated Statements of Income. As of February 3, 2018, the Company does not expect to recognize any additional compensation expense related to the modification.</w:t>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Non-cash stock compensation expense is as follows:</w:t>
      </w:r>
    </w:p>
    <w:p>
      <w:pPr>
        <w:spacing w:after="0" w:line="82"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1"/>
              </w:rPr>
              <w:t>(in thousands)</w:t>
            </w: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4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2"/>
          </w:tcPr>
          <w:p>
            <w:pPr>
              <w:jc w:val="center"/>
              <w:ind w:right="340"/>
              <w:spacing w:after="0" w:line="155" w:lineRule="exact"/>
              <w:rPr>
                <w:sz w:val="20"/>
                <w:szCs w:val="20"/>
                <w:color w:val="auto"/>
              </w:rPr>
            </w:pPr>
            <w:r>
              <w:rPr>
                <w:rFonts w:ascii="Arial" w:cs="Arial" w:eastAsia="Arial" w:hAnsi="Arial"/>
                <w:sz w:val="14"/>
                <w:szCs w:val="14"/>
                <w:b w:val="1"/>
                <w:bCs w:val="1"/>
                <w:color w:val="auto"/>
                <w:w w:val="92"/>
              </w:rPr>
              <w:t>Fiscal Year Ended</w:t>
            </w:r>
          </w:p>
        </w:tc>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46"/>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jc w:val="right"/>
              <w:ind w:right="256"/>
              <w:spacing w:after="0" w:line="147" w:lineRule="exact"/>
              <w:rPr>
                <w:sz w:val="20"/>
                <w:szCs w:val="20"/>
                <w:color w:val="auto"/>
              </w:rPr>
            </w:pPr>
            <w:r>
              <w:rPr>
                <w:rFonts w:ascii="Arial" w:cs="Arial" w:eastAsia="Arial" w:hAnsi="Arial"/>
                <w:sz w:val="14"/>
                <w:szCs w:val="14"/>
                <w:b w:val="1"/>
                <w:bCs w:val="1"/>
                <w:color w:val="auto"/>
              </w:rPr>
              <w:t>February 3,</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2"/>
          </w:tcPr>
          <w:p>
            <w:pPr>
              <w:jc w:val="center"/>
              <w:ind w:right="340"/>
              <w:spacing w:after="0" w:line="147" w:lineRule="exact"/>
              <w:rPr>
                <w:sz w:val="20"/>
                <w:szCs w:val="20"/>
                <w:color w:val="auto"/>
              </w:rPr>
            </w:pPr>
            <w:r>
              <w:rPr>
                <w:rFonts w:ascii="Arial" w:cs="Arial" w:eastAsia="Arial" w:hAnsi="Arial"/>
                <w:sz w:val="14"/>
                <w:szCs w:val="14"/>
                <w:b w:val="1"/>
                <w:bCs w:val="1"/>
                <w:color w:val="auto"/>
                <w:w w:val="93"/>
              </w:rPr>
              <w:t>January 28,</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jc w:val="right"/>
              <w:ind w:right="256"/>
              <w:spacing w:after="0" w:line="147" w:lineRule="exact"/>
              <w:rPr>
                <w:sz w:val="20"/>
                <w:szCs w:val="20"/>
                <w:color w:val="auto"/>
              </w:rPr>
            </w:pPr>
            <w:r>
              <w:rPr>
                <w:rFonts w:ascii="Arial" w:cs="Arial" w:eastAsia="Arial" w:hAnsi="Arial"/>
                <w:sz w:val="14"/>
                <w:szCs w:val="14"/>
                <w:b w:val="1"/>
                <w:bCs w:val="1"/>
                <w:color w:val="auto"/>
              </w:rPr>
              <w:t>January 30,</w:t>
            </w:r>
          </w:p>
        </w:tc>
        <w:tc>
          <w:tcPr>
            <w:tcW w:w="80" w:type="dxa"/>
            <w:vAlign w:val="bottom"/>
          </w:tcPr>
          <w:p>
            <w:pPr>
              <w:spacing w:after="0"/>
              <w:rPr>
                <w:sz w:val="12"/>
                <w:szCs w:val="12"/>
                <w:color w:val="auto"/>
              </w:rPr>
            </w:pPr>
          </w:p>
        </w:tc>
      </w:tr>
      <w:tr>
        <w:trPr>
          <w:trHeight w:val="171"/>
        </w:trPr>
        <w:tc>
          <w:tcPr>
            <w:tcW w:w="4300" w:type="dxa"/>
            <w:vAlign w:val="bottom"/>
            <w:gridSpan w:val="2"/>
          </w:tcPr>
          <w:p>
            <w:pPr>
              <w:spacing w:after="0"/>
              <w:rPr>
                <w:sz w:val="20"/>
                <w:szCs w:val="20"/>
                <w:color w:val="auto"/>
              </w:rPr>
            </w:pPr>
            <w:r>
              <w:rPr>
                <w:rFonts w:ascii="Arial" w:cs="Arial" w:eastAsia="Arial" w:hAnsi="Arial"/>
                <w:sz w:val="14"/>
                <w:szCs w:val="14"/>
                <w:b w:val="1"/>
                <w:bCs w:val="1"/>
                <w:color w:val="auto"/>
              </w:rPr>
              <w:t>Type of Non-Cash Stock Compensation</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right"/>
              <w:ind w:right="476"/>
              <w:spacing w:after="0"/>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jc w:val="center"/>
              <w:ind w:right="39"/>
              <w:spacing w:after="0"/>
              <w:rPr>
                <w:sz w:val="20"/>
                <w:szCs w:val="20"/>
                <w:color w:val="auto"/>
              </w:rPr>
            </w:pPr>
            <w:r>
              <w:rPr>
                <w:rFonts w:ascii="Arial" w:cs="Arial" w:eastAsia="Arial" w:hAnsi="Arial"/>
                <w:sz w:val="14"/>
                <w:szCs w:val="14"/>
                <w:b w:val="1"/>
                <w:bCs w:val="1"/>
                <w:color w:val="auto"/>
                <w:w w:val="89"/>
              </w:rPr>
              <w:t>2017</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right"/>
              <w:ind w:right="476"/>
              <w:spacing w:after="0"/>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42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Restricted stock grants (a)</w:t>
            </w:r>
          </w:p>
        </w:tc>
        <w:tc>
          <w:tcPr>
            <w:tcW w:w="1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15,864</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8,816</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6,136</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Stock option grants (a)</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11,039</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6,636</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3,920</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Stock option modification (b)</w:t>
            </w:r>
          </w:p>
        </w:tc>
        <w:tc>
          <w:tcPr>
            <w:tcW w:w="1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w:t>
            </w:r>
          </w:p>
        </w:tc>
        <w:tc>
          <w:tcPr>
            <w:tcW w:w="2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501</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1,105</w:t>
            </w:r>
          </w:p>
        </w:tc>
        <w:tc>
          <w:tcPr>
            <w:tcW w:w="80" w:type="dxa"/>
            <w:vAlign w:val="bottom"/>
            <w:shd w:val="clear" w:color="auto" w:fill="CFF0FC"/>
          </w:tcPr>
          <w:p>
            <w:pPr>
              <w:spacing w:after="0"/>
              <w:rPr>
                <w:sz w:val="19"/>
                <w:szCs w:val="19"/>
                <w:color w:val="auto"/>
              </w:rPr>
            </w:pPr>
          </w:p>
        </w:tc>
      </w:tr>
      <w:tr>
        <w:trPr>
          <w:trHeight w:val="223"/>
        </w:trPr>
        <w:tc>
          <w:tcPr>
            <w:tcW w:w="4300" w:type="dxa"/>
            <w:vAlign w:val="bottom"/>
            <w:gridSpan w:val="2"/>
          </w:tcPr>
          <w:p>
            <w:pPr>
              <w:spacing w:after="0"/>
              <w:rPr>
                <w:sz w:val="20"/>
                <w:szCs w:val="20"/>
                <w:color w:val="auto"/>
              </w:rPr>
            </w:pPr>
            <w:r>
              <w:rPr>
                <w:rFonts w:ascii="Arial" w:cs="Arial" w:eastAsia="Arial" w:hAnsi="Arial"/>
                <w:sz w:val="18"/>
                <w:szCs w:val="18"/>
                <w:color w:val="auto"/>
              </w:rPr>
              <w:t>Total (c)</w:t>
            </w:r>
          </w:p>
        </w:tc>
        <w:tc>
          <w:tcPr>
            <w:tcW w:w="140" w:type="dxa"/>
            <w:vAlign w:val="bottom"/>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27,034</w:t>
            </w:r>
          </w:p>
        </w:tc>
        <w:tc>
          <w:tcPr>
            <w:tcW w:w="2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15,953</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11,161</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ind w:left="520" w:hanging="512"/>
        <w:spacing w:after="0"/>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Included in the line item “Selling, general and administrative expenses” in the Company’s Consolidated Statements of Income.</w:t>
      </w:r>
    </w:p>
    <w:p>
      <w:pPr>
        <w:spacing w:after="0" w:line="23" w:lineRule="exact"/>
        <w:rPr>
          <w:rFonts w:ascii="Arial" w:cs="Arial" w:eastAsia="Arial" w:hAnsi="Arial"/>
          <w:sz w:val="18"/>
          <w:szCs w:val="18"/>
          <w:color w:val="auto"/>
        </w:rPr>
      </w:pPr>
    </w:p>
    <w:p>
      <w:pPr>
        <w:ind w:left="520" w:right="440" w:hanging="512"/>
        <w:spacing w:after="0" w:line="250" w:lineRule="auto"/>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Represents non-cash compensation related to the May 2013 stock option modification as discussed above. Amounts are included in the line item “Stock option modification expense” in the Company’s Consolidated Statements of Income.</w:t>
      </w:r>
    </w:p>
    <w:p>
      <w:pPr>
        <w:ind w:left="520" w:right="140" w:hanging="512"/>
        <w:spacing w:after="0" w:line="261" w:lineRule="auto"/>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amounts presented in the table above exclude the effect of income taxes. The tax benefit related to the Company’s non-cash stock compensation was $2.8 million, $5.6 million and $4.1 million during Fiscal 2017, Fiscal 2016 and Fiscal 2015, respectively.</w:t>
      </w:r>
    </w:p>
    <w:p>
      <w:pPr>
        <w:spacing w:after="0" w:line="184" w:lineRule="exact"/>
        <w:rPr>
          <w:sz w:val="20"/>
          <w:szCs w:val="20"/>
          <w:color w:val="auto"/>
        </w:rPr>
      </w:pPr>
    </w:p>
    <w:p>
      <w:pPr>
        <w:ind w:right="380" w:firstLine="518"/>
        <w:spacing w:after="0" w:line="264" w:lineRule="auto"/>
        <w:rPr>
          <w:sz w:val="20"/>
          <w:szCs w:val="20"/>
          <w:color w:val="auto"/>
        </w:rPr>
      </w:pPr>
      <w:r>
        <w:rPr>
          <w:rFonts w:ascii="Arial" w:cs="Arial" w:eastAsia="Arial" w:hAnsi="Arial"/>
          <w:sz w:val="18"/>
          <w:szCs w:val="18"/>
          <w:color w:val="auto"/>
        </w:rPr>
        <w:t>As of February 3, 2018, the Company had 2,579,831 options outstanding to purchase shares of common stock, and there was $29.0 million of unearned non-cash stock-based option compensation that the Company expects to recognize as expense over a weighted average period of 2.8 years. The awards are expensed on a straight-line basis over the requisite service period.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72" w:name="page73"/>
    <w:bookmarkEnd w:id="72"/>
    <w:p>
      <w:pPr>
        <w:ind w:left="520"/>
        <w:spacing w:after="0"/>
        <w:rPr>
          <w:sz w:val="20"/>
          <w:szCs w:val="20"/>
          <w:color w:val="auto"/>
        </w:rPr>
      </w:pPr>
      <w:r>
        <w:rPr>
          <w:rFonts w:ascii="Arial" w:cs="Arial" w:eastAsia="Arial" w:hAnsi="Arial"/>
          <w:sz w:val="18"/>
          <w:szCs w:val="18"/>
          <w:color w:val="auto"/>
        </w:rPr>
        <w:t>Stock option transactions during Fiscal 2017 are summarized as follows:</w:t>
      </w:r>
    </w:p>
    <w:p>
      <w:pPr>
        <w:spacing w:after="0" w:line="21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54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5480" w:type="dxa"/>
            <w:vAlign w:val="bottom"/>
          </w:tcPr>
          <w:p>
            <w:pPr>
              <w:spacing w:after="0"/>
              <w:rPr>
                <w:sz w:val="12"/>
                <w:szCs w:val="12"/>
                <w:color w:val="auto"/>
              </w:rPr>
            </w:pPr>
          </w:p>
        </w:tc>
        <w:tc>
          <w:tcPr>
            <w:tcW w:w="128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Number of</w:t>
            </w:r>
          </w:p>
        </w:tc>
        <w:tc>
          <w:tcPr>
            <w:tcW w:w="18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Exercise</w:t>
            </w:r>
          </w:p>
        </w:tc>
        <w:tc>
          <w:tcPr>
            <w:tcW w:w="0" w:type="dxa"/>
            <w:vAlign w:val="bottom"/>
          </w:tcPr>
          <w:p>
            <w:pPr>
              <w:spacing w:after="0"/>
              <w:rPr>
                <w:sz w:val="1"/>
                <w:szCs w:val="1"/>
                <w:color w:val="auto"/>
              </w:rPr>
            </w:pPr>
          </w:p>
        </w:tc>
      </w:tr>
      <w:tr>
        <w:trPr>
          <w:trHeight w:val="149"/>
        </w:trPr>
        <w:tc>
          <w:tcPr>
            <w:tcW w:w="54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Price Per</w:t>
            </w:r>
          </w:p>
        </w:tc>
        <w:tc>
          <w:tcPr>
            <w:tcW w:w="0" w:type="dxa"/>
            <w:vAlign w:val="bottom"/>
          </w:tcPr>
          <w:p>
            <w:pPr>
              <w:spacing w:after="0"/>
              <w:rPr>
                <w:sz w:val="1"/>
                <w:szCs w:val="1"/>
                <w:color w:val="auto"/>
              </w:rPr>
            </w:pPr>
          </w:p>
        </w:tc>
      </w:tr>
      <w:tr>
        <w:trPr>
          <w:trHeight w:val="171"/>
        </w:trPr>
        <w:tc>
          <w:tcPr>
            <w:tcW w:w="5480" w:type="dxa"/>
            <w:vAlign w:val="bottom"/>
          </w:tcPr>
          <w:p>
            <w:pPr>
              <w:spacing w:after="0"/>
              <w:rPr>
                <w:sz w:val="14"/>
                <w:szCs w:val="14"/>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Share</w:t>
            </w:r>
          </w:p>
        </w:tc>
        <w:tc>
          <w:tcPr>
            <w:tcW w:w="0" w:type="dxa"/>
            <w:vAlign w:val="bottom"/>
          </w:tcPr>
          <w:p>
            <w:pPr>
              <w:spacing w:after="0"/>
              <w:rPr>
                <w:sz w:val="1"/>
                <w:szCs w:val="1"/>
                <w:color w:val="auto"/>
              </w:rPr>
            </w:pPr>
          </w:p>
        </w:tc>
      </w:tr>
      <w:tr>
        <w:trPr>
          <w:trHeight w:val="223"/>
        </w:trPr>
        <w:tc>
          <w:tcPr>
            <w:tcW w:w="5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Options outstanding, January 28, 2017</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2,646,123</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22.41</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240"/>
              <w:spacing w:after="0"/>
              <w:rPr>
                <w:sz w:val="20"/>
                <w:szCs w:val="20"/>
                <w:color w:val="auto"/>
              </w:rPr>
            </w:pPr>
            <w:r>
              <w:rPr>
                <w:rFonts w:ascii="Arial" w:cs="Arial" w:eastAsia="Arial" w:hAnsi="Arial"/>
                <w:sz w:val="18"/>
                <w:szCs w:val="18"/>
                <w:color w:val="auto"/>
              </w:rPr>
              <w:t>Options granted</w:t>
            </w:r>
          </w:p>
        </w:tc>
        <w:tc>
          <w:tcPr>
            <w:tcW w:w="1080" w:type="dxa"/>
            <w:vAlign w:val="bottom"/>
          </w:tcPr>
          <w:p>
            <w:pPr>
              <w:jc w:val="right"/>
              <w:spacing w:after="0"/>
              <w:rPr>
                <w:sz w:val="20"/>
                <w:szCs w:val="20"/>
                <w:color w:val="auto"/>
              </w:rPr>
            </w:pPr>
            <w:r>
              <w:rPr>
                <w:rFonts w:ascii="Arial" w:cs="Arial" w:eastAsia="Arial" w:hAnsi="Arial"/>
                <w:sz w:val="18"/>
                <w:szCs w:val="18"/>
                <w:color w:val="auto"/>
              </w:rPr>
              <w:t>599,975</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97.11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Options exercised (a)</w:t>
            </w: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(568,675)</w:t>
            </w: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240"/>
              <w:spacing w:after="0"/>
              <w:rPr>
                <w:sz w:val="20"/>
                <w:szCs w:val="20"/>
                <w:color w:val="auto"/>
              </w:rPr>
            </w:pPr>
            <w:r>
              <w:rPr>
                <w:rFonts w:ascii="Arial" w:cs="Arial" w:eastAsia="Arial" w:hAnsi="Arial"/>
                <w:sz w:val="18"/>
                <w:szCs w:val="18"/>
                <w:color w:val="auto"/>
              </w:rPr>
              <w:t>Options forfeited</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(97,592)</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58.62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Options outstanding, February 3, 2018</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2,579,831</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39.79</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hanging="512"/>
        <w:spacing w:after="0"/>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Options exercised during Fiscal 2017 had a total intrinsic value of $46.3 million.</w:t>
      </w:r>
    </w:p>
    <w:p>
      <w:pPr>
        <w:spacing w:after="0" w:line="225" w:lineRule="exact"/>
        <w:rPr>
          <w:rFonts w:ascii="Arial" w:cs="Arial" w:eastAsia="Arial" w:hAnsi="Arial"/>
          <w:sz w:val="18"/>
          <w:szCs w:val="18"/>
          <w:color w:val="auto"/>
        </w:rPr>
      </w:pPr>
    </w:p>
    <w:p>
      <w:pPr>
        <w:ind w:left="520"/>
        <w:spacing w:after="0"/>
        <w:rPr>
          <w:rFonts w:ascii="Arial" w:cs="Arial" w:eastAsia="Arial" w:hAnsi="Arial"/>
          <w:sz w:val="18"/>
          <w:szCs w:val="18"/>
          <w:color w:val="auto"/>
        </w:rPr>
      </w:pPr>
      <w:r>
        <w:rPr>
          <w:rFonts w:ascii="Arial" w:cs="Arial" w:eastAsia="Arial" w:hAnsi="Arial"/>
          <w:sz w:val="18"/>
          <w:szCs w:val="18"/>
          <w:color w:val="auto"/>
        </w:rPr>
        <w:t>The following table summarizes information about the options outstanding and exercisable as of February 3, 2018:</w:t>
      </w: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20" w:type="dxa"/>
            <w:vAlign w:val="bottom"/>
            <w:gridSpan w:val="4"/>
          </w:tcPr>
          <w:p>
            <w:pPr>
              <w:ind w:left="500"/>
              <w:spacing w:after="0"/>
              <w:rPr>
                <w:sz w:val="20"/>
                <w:szCs w:val="20"/>
                <w:color w:val="auto"/>
              </w:rPr>
            </w:pPr>
            <w:r>
              <w:rPr>
                <w:rFonts w:ascii="Arial" w:cs="Arial" w:eastAsia="Arial" w:hAnsi="Arial"/>
                <w:sz w:val="14"/>
                <w:szCs w:val="14"/>
                <w:b w:val="1"/>
                <w:bCs w:val="1"/>
                <w:color w:val="auto"/>
              </w:rPr>
              <w:t>Options Outstanding</w:t>
            </w:r>
          </w:p>
        </w:tc>
        <w:tc>
          <w:tcPr>
            <w:tcW w:w="2440" w:type="dxa"/>
            <w:vAlign w:val="bottom"/>
            <w:gridSpan w:val="3"/>
          </w:tcPr>
          <w:p>
            <w:pPr>
              <w:jc w:val="right"/>
              <w:ind w:right="605"/>
              <w:spacing w:after="0"/>
              <w:rPr>
                <w:sz w:val="20"/>
                <w:szCs w:val="20"/>
                <w:color w:val="auto"/>
              </w:rPr>
            </w:pPr>
            <w:r>
              <w:rPr>
                <w:rFonts w:ascii="Arial" w:cs="Arial" w:eastAsia="Arial" w:hAnsi="Arial"/>
                <w:sz w:val="14"/>
                <w:szCs w:val="14"/>
                <w:b w:val="1"/>
                <w:bCs w:val="1"/>
                <w:color w:val="auto"/>
              </w:rPr>
              <w:t>Options Exercisable</w:t>
            </w:r>
          </w:p>
        </w:tc>
        <w:tc>
          <w:tcPr>
            <w:tcW w:w="0" w:type="dxa"/>
            <w:vAlign w:val="bottom"/>
          </w:tcPr>
          <w:p>
            <w:pPr>
              <w:spacing w:after="0"/>
              <w:rPr>
                <w:sz w:val="1"/>
                <w:szCs w:val="1"/>
                <w:color w:val="auto"/>
              </w:rPr>
            </w:pPr>
          </w:p>
        </w:tc>
      </w:tr>
      <w:tr>
        <w:trPr>
          <w:trHeight w:val="133"/>
        </w:trPr>
        <w:tc>
          <w:tcPr>
            <w:tcW w:w="5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8"/>
              </w:rPr>
              <w:t>Number</w:t>
            </w:r>
          </w:p>
        </w:tc>
        <w:tc>
          <w:tcPr>
            <w:tcW w:w="22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center"/>
              <w:ind w:right="45"/>
              <w:spacing w:after="0" w:line="133" w:lineRule="exact"/>
              <w:rPr>
                <w:sz w:val="20"/>
                <w:szCs w:val="20"/>
                <w:color w:val="auto"/>
              </w:rPr>
            </w:pPr>
            <w:r>
              <w:rPr>
                <w:rFonts w:ascii="Arial" w:cs="Arial" w:eastAsia="Arial" w:hAnsi="Arial"/>
                <w:sz w:val="14"/>
                <w:szCs w:val="14"/>
                <w:b w:val="1"/>
                <w:bCs w:val="1"/>
                <w:color w:val="auto"/>
                <w:w w:val="95"/>
              </w:rPr>
              <w:t>Weighted</w:t>
            </w:r>
          </w:p>
        </w:tc>
        <w:tc>
          <w:tcPr>
            <w:tcW w:w="120" w:type="dxa"/>
            <w:vAlign w:val="bottom"/>
          </w:tcPr>
          <w:p>
            <w:pPr>
              <w:spacing w:after="0"/>
              <w:rPr>
                <w:sz w:val="11"/>
                <w:szCs w:val="11"/>
                <w:color w:val="auto"/>
              </w:rPr>
            </w:pPr>
          </w:p>
        </w:tc>
        <w:tc>
          <w:tcPr>
            <w:tcW w:w="104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Number</w:t>
            </w:r>
          </w:p>
        </w:tc>
        <w:tc>
          <w:tcPr>
            <w:tcW w:w="22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center"/>
              <w:ind w:right="85"/>
              <w:spacing w:after="0" w:line="133"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5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Average</w:t>
            </w:r>
          </w:p>
        </w:tc>
        <w:tc>
          <w:tcPr>
            <w:tcW w:w="10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jc w:val="center"/>
              <w:ind w:right="85"/>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5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Outstanding at</w:t>
            </w:r>
          </w:p>
        </w:tc>
        <w:tc>
          <w:tcPr>
            <w:tcW w:w="220" w:type="dxa"/>
            <w:vAlign w:val="bottom"/>
          </w:tcPr>
          <w:p>
            <w:pPr>
              <w:spacing w:after="0"/>
              <w:rPr>
                <w:sz w:val="12"/>
                <w:szCs w:val="12"/>
                <w:color w:val="auto"/>
              </w:rPr>
            </w:pPr>
          </w:p>
        </w:tc>
        <w:tc>
          <w:tcPr>
            <w:tcW w:w="12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Remaining</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Exercisable at</w:t>
            </w:r>
          </w:p>
        </w:tc>
        <w:tc>
          <w:tcPr>
            <w:tcW w:w="220" w:type="dxa"/>
            <w:vAlign w:val="bottom"/>
          </w:tcPr>
          <w:p>
            <w:pPr>
              <w:spacing w:after="0"/>
              <w:rPr>
                <w:sz w:val="12"/>
                <w:szCs w:val="12"/>
                <w:color w:val="auto"/>
              </w:rPr>
            </w:pPr>
          </w:p>
        </w:tc>
        <w:tc>
          <w:tcPr>
            <w:tcW w:w="1180" w:type="dxa"/>
            <w:vAlign w:val="bottom"/>
          </w:tcPr>
          <w:p>
            <w:pPr>
              <w:jc w:val="center"/>
              <w:ind w:right="65"/>
              <w:spacing w:after="0" w:line="149" w:lineRule="exact"/>
              <w:rPr>
                <w:sz w:val="20"/>
                <w:szCs w:val="20"/>
                <w:color w:val="auto"/>
              </w:rPr>
            </w:pPr>
            <w:r>
              <w:rPr>
                <w:rFonts w:ascii="Arial" w:cs="Arial" w:eastAsia="Arial" w:hAnsi="Arial"/>
                <w:sz w:val="14"/>
                <w:szCs w:val="14"/>
                <w:b w:val="1"/>
                <w:bCs w:val="1"/>
                <w:color w:val="auto"/>
                <w:w w:val="94"/>
              </w:rPr>
              <w:t>Remaining</w:t>
            </w:r>
          </w:p>
        </w:tc>
        <w:tc>
          <w:tcPr>
            <w:tcW w:w="0" w:type="dxa"/>
            <w:vAlign w:val="bottom"/>
          </w:tcPr>
          <w:p>
            <w:pPr>
              <w:spacing w:after="0"/>
              <w:rPr>
                <w:sz w:val="1"/>
                <w:szCs w:val="1"/>
                <w:color w:val="auto"/>
              </w:rPr>
            </w:pPr>
          </w:p>
        </w:tc>
      </w:tr>
      <w:tr>
        <w:trPr>
          <w:trHeight w:val="149"/>
        </w:trPr>
        <w:tc>
          <w:tcPr>
            <w:tcW w:w="5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Exercise Prices</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February 3,</w:t>
            </w:r>
          </w:p>
        </w:tc>
        <w:tc>
          <w:tcPr>
            <w:tcW w:w="220" w:type="dxa"/>
            <w:vAlign w:val="bottom"/>
          </w:tcPr>
          <w:p>
            <w:pPr>
              <w:spacing w:after="0"/>
              <w:rPr>
                <w:sz w:val="12"/>
                <w:szCs w:val="12"/>
                <w:color w:val="auto"/>
              </w:rPr>
            </w:pPr>
          </w:p>
        </w:tc>
        <w:tc>
          <w:tcPr>
            <w:tcW w:w="12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Contractual</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February 3,</w:t>
            </w:r>
          </w:p>
        </w:tc>
        <w:tc>
          <w:tcPr>
            <w:tcW w:w="220" w:type="dxa"/>
            <w:vAlign w:val="bottom"/>
          </w:tcPr>
          <w:p>
            <w:pPr>
              <w:spacing w:after="0"/>
              <w:rPr>
                <w:sz w:val="12"/>
                <w:szCs w:val="12"/>
                <w:color w:val="auto"/>
              </w:rPr>
            </w:pPr>
          </w:p>
        </w:tc>
        <w:tc>
          <w:tcPr>
            <w:tcW w:w="1180" w:type="dxa"/>
            <w:vAlign w:val="bottom"/>
          </w:tcPr>
          <w:p>
            <w:pPr>
              <w:jc w:val="center"/>
              <w:ind w:right="85"/>
              <w:spacing w:after="0" w:line="149" w:lineRule="exact"/>
              <w:rPr>
                <w:sz w:val="20"/>
                <w:szCs w:val="20"/>
                <w:color w:val="auto"/>
              </w:rPr>
            </w:pPr>
            <w:r>
              <w:rPr>
                <w:rFonts w:ascii="Arial" w:cs="Arial" w:eastAsia="Arial" w:hAnsi="Arial"/>
                <w:sz w:val="14"/>
                <w:szCs w:val="14"/>
                <w:b w:val="1"/>
                <w:bCs w:val="1"/>
                <w:color w:val="auto"/>
                <w:w w:val="95"/>
              </w:rPr>
              <w:t>Contractual</w:t>
            </w:r>
          </w:p>
        </w:tc>
        <w:tc>
          <w:tcPr>
            <w:tcW w:w="0" w:type="dxa"/>
            <w:vAlign w:val="bottom"/>
          </w:tcPr>
          <w:p>
            <w:pPr>
              <w:spacing w:after="0"/>
              <w:rPr>
                <w:sz w:val="1"/>
                <w:szCs w:val="1"/>
                <w:color w:val="auto"/>
              </w:rPr>
            </w:pPr>
          </w:p>
        </w:tc>
      </w:tr>
      <w:tr>
        <w:trPr>
          <w:trHeight w:val="171"/>
        </w:trPr>
        <w:tc>
          <w:tcPr>
            <w:tcW w:w="5320" w:type="dxa"/>
            <w:vAlign w:val="bottom"/>
            <w:gridSpan w:val="2"/>
            <w:vMerge w:val="continue"/>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9"/>
              </w:rPr>
              <w:t>2018</w:t>
            </w:r>
          </w:p>
        </w:tc>
        <w:tc>
          <w:tcPr>
            <w:tcW w:w="220" w:type="dxa"/>
            <w:vAlign w:val="bottom"/>
          </w:tcPr>
          <w:p>
            <w:pPr>
              <w:spacing w:after="0"/>
              <w:rPr>
                <w:sz w:val="14"/>
                <w:szCs w:val="14"/>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Life (Years)</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6"/>
              </w:rPr>
              <w:t>2018</w:t>
            </w:r>
          </w:p>
        </w:tc>
        <w:tc>
          <w:tcPr>
            <w:tcW w:w="220" w:type="dxa"/>
            <w:vAlign w:val="bottom"/>
          </w:tcPr>
          <w:p>
            <w:pPr>
              <w:spacing w:after="0"/>
              <w:rPr>
                <w:sz w:val="14"/>
                <w:szCs w:val="14"/>
                <w:color w:val="auto"/>
              </w:rPr>
            </w:pPr>
          </w:p>
        </w:tc>
        <w:tc>
          <w:tcPr>
            <w:tcW w:w="1180" w:type="dxa"/>
            <w:vAlign w:val="bottom"/>
          </w:tcPr>
          <w:p>
            <w:pPr>
              <w:jc w:val="center"/>
              <w:ind w:right="65"/>
              <w:spacing w:after="0"/>
              <w:rPr>
                <w:sz w:val="20"/>
                <w:szCs w:val="20"/>
                <w:color w:val="auto"/>
              </w:rPr>
            </w:pPr>
            <w:r>
              <w:rPr>
                <w:rFonts w:ascii="Arial" w:cs="Arial" w:eastAsia="Arial" w:hAnsi="Arial"/>
                <w:sz w:val="14"/>
                <w:szCs w:val="14"/>
                <w:b w:val="1"/>
                <w:bCs w:val="1"/>
                <w:color w:val="auto"/>
                <w:w w:val="94"/>
              </w:rPr>
              <w:t>Life (Years)</w:t>
            </w:r>
          </w:p>
        </w:tc>
        <w:tc>
          <w:tcPr>
            <w:tcW w:w="0" w:type="dxa"/>
            <w:vAlign w:val="bottom"/>
          </w:tcPr>
          <w:p>
            <w:pPr>
              <w:spacing w:after="0"/>
              <w:rPr>
                <w:sz w:val="1"/>
                <w:szCs w:val="1"/>
                <w:color w:val="auto"/>
              </w:rPr>
            </w:pPr>
          </w:p>
        </w:tc>
      </w:tr>
      <w:tr>
        <w:trPr>
          <w:trHeight w:val="223"/>
        </w:trPr>
        <w:tc>
          <w:tcPr>
            <w:tcW w:w="5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$0.79 - $5.02</w:t>
            </w:r>
          </w:p>
        </w:tc>
        <w:tc>
          <w:tcPr>
            <w:tcW w:w="1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1,203,550</w:t>
            </w:r>
          </w:p>
        </w:tc>
        <w:tc>
          <w:tcPr>
            <w:tcW w:w="22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8"/>
                <w:szCs w:val="18"/>
                <w:color w:val="auto"/>
              </w:rPr>
              <w:t>5.2</w:t>
            </w:r>
          </w:p>
        </w:tc>
        <w:tc>
          <w:tcPr>
            <w:tcW w:w="12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439,050</w:t>
            </w:r>
          </w:p>
        </w:tc>
        <w:tc>
          <w:tcPr>
            <w:tcW w:w="220" w:type="dxa"/>
            <w:vAlign w:val="bottom"/>
            <w:tcBorders>
              <w:top w:val="single" w:sz="8" w:color="CFF0FC"/>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$26.96+</w:t>
            </w:r>
          </w:p>
        </w:tc>
        <w:tc>
          <w:tcPr>
            <w:tcW w:w="12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1,376,281</w:t>
            </w:r>
          </w:p>
        </w:tc>
        <w:tc>
          <w:tcPr>
            <w:tcW w:w="1380" w:type="dxa"/>
            <w:vAlign w:val="bottom"/>
            <w:tcBorders>
              <w:bottom w:val="single" w:sz="8" w:color="CFF0FC"/>
            </w:tcBorders>
            <w:gridSpan w:val="2"/>
          </w:tcPr>
          <w:p>
            <w:pPr>
              <w:jc w:val="right"/>
              <w:ind w:right="45"/>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CFF0FC"/>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226,788</w:t>
            </w:r>
          </w:p>
        </w:tc>
        <w:tc>
          <w:tcPr>
            <w:tcW w:w="1400" w:type="dxa"/>
            <w:vAlign w:val="bottom"/>
            <w:tcBorders>
              <w:bottom w:val="single" w:sz="8" w:color="CFF0FC"/>
            </w:tcBorders>
            <w:gridSpan w:val="2"/>
          </w:tcPr>
          <w:p>
            <w:pPr>
              <w:jc w:val="right"/>
              <w:ind w:right="65"/>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23"/>
        </w:trPr>
        <w:tc>
          <w:tcPr>
            <w:tcW w:w="5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2,579,831</w:t>
            </w:r>
          </w:p>
        </w:tc>
        <w:tc>
          <w:tcPr>
            <w:tcW w:w="22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665,838</w:t>
            </w:r>
          </w:p>
        </w:tc>
        <w:tc>
          <w:tcPr>
            <w:tcW w:w="220" w:type="dxa"/>
            <w:vAlign w:val="bottom"/>
            <w:tcBorders>
              <w:bottom w:val="single" w:sz="8" w:color="CFF0FC"/>
            </w:tcBorders>
            <w:shd w:val="clear" w:color="auto" w:fill="CFF0FC"/>
          </w:tcPr>
          <w:p>
            <w:pPr>
              <w:spacing w:after="0"/>
              <w:rPr>
                <w:sz w:val="19"/>
                <w:szCs w:val="19"/>
                <w:color w:val="auto"/>
              </w:rPr>
            </w:pPr>
          </w:p>
        </w:tc>
        <w:tc>
          <w:tcPr>
            <w:tcW w:w="11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information about the stock options vested and expected to vest during the contractual term:</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center"/>
              <w:ind w:right="45"/>
              <w:spacing w:after="0"/>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vMerge w:val="restart"/>
          </w:tcPr>
          <w:p>
            <w:pPr>
              <w:jc w:val="center"/>
              <w:ind w:right="204"/>
              <w:spacing w:after="0"/>
              <w:rPr>
                <w:sz w:val="20"/>
                <w:szCs w:val="20"/>
                <w:color w:val="auto"/>
              </w:rPr>
            </w:pPr>
            <w:r>
              <w:rPr>
                <w:rFonts w:ascii="Arial" w:cs="Arial" w:eastAsia="Arial" w:hAnsi="Arial"/>
                <w:sz w:val="14"/>
                <w:szCs w:val="14"/>
                <w:b w:val="1"/>
                <w:bCs w:val="1"/>
                <w:color w:val="auto"/>
                <w:w w:val="95"/>
              </w:rPr>
              <w:t>Weighted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vMerge w:val="restart"/>
          </w:tcPr>
          <w:p>
            <w:pPr>
              <w:jc w:val="center"/>
              <w:ind w:right="184"/>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center"/>
              <w:ind w:right="45"/>
              <w:spacing w:after="0" w:line="149"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center"/>
              <w:ind w:right="65"/>
              <w:spacing w:after="0" w:line="149" w:lineRule="exact"/>
              <w:rPr>
                <w:sz w:val="20"/>
                <w:szCs w:val="20"/>
                <w:color w:val="auto"/>
              </w:rPr>
            </w:pPr>
            <w:r>
              <w:rPr>
                <w:rFonts w:ascii="Arial" w:cs="Arial" w:eastAsia="Arial" w:hAnsi="Arial"/>
                <w:sz w:val="14"/>
                <w:szCs w:val="14"/>
                <w:b w:val="1"/>
                <w:bCs w:val="1"/>
                <w:color w:val="auto"/>
                <w:w w:val="94"/>
              </w:rPr>
              <w:t>Remaining</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center"/>
              <w:ind w:right="184"/>
              <w:spacing w:after="0" w:line="149"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center"/>
              <w:ind w:right="184"/>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26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Options</w:t>
            </w:r>
          </w:p>
        </w:tc>
        <w:tc>
          <w:tcPr>
            <w:tcW w:w="1140" w:type="dxa"/>
            <w:vAlign w:val="bottom"/>
          </w:tcPr>
          <w:p>
            <w:pPr>
              <w:jc w:val="center"/>
              <w:ind w:right="45"/>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center"/>
              <w:ind w:right="204"/>
              <w:spacing w:after="0" w:line="149" w:lineRule="exact"/>
              <w:rPr>
                <w:sz w:val="20"/>
                <w:szCs w:val="20"/>
                <w:color w:val="auto"/>
              </w:rPr>
            </w:pPr>
            <w:r>
              <w:rPr>
                <w:rFonts w:ascii="Arial" w:cs="Arial" w:eastAsia="Arial" w:hAnsi="Arial"/>
                <w:sz w:val="14"/>
                <w:szCs w:val="14"/>
                <w:b w:val="1"/>
                <w:bCs w:val="1"/>
                <w:color w:val="auto"/>
                <w:w w:val="90"/>
              </w:rPr>
              <w:t>Exercise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center"/>
              <w:ind w:right="184"/>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71"/>
        </w:trPr>
        <w:tc>
          <w:tcPr>
            <w:tcW w:w="528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140" w:type="dxa"/>
            <w:vAlign w:val="bottom"/>
          </w:tcPr>
          <w:p>
            <w:pPr>
              <w:jc w:val="center"/>
              <w:ind w:right="65"/>
              <w:spacing w:after="0"/>
              <w:rPr>
                <w:sz w:val="20"/>
                <w:szCs w:val="20"/>
                <w:color w:val="auto"/>
              </w:rPr>
            </w:pPr>
            <w:r>
              <w:rPr>
                <w:rFonts w:ascii="Arial" w:cs="Arial" w:eastAsia="Arial" w:hAnsi="Arial"/>
                <w:sz w:val="14"/>
                <w:szCs w:val="14"/>
                <w:b w:val="1"/>
                <w:bCs w:val="1"/>
                <w:color w:val="auto"/>
                <w:w w:val="94"/>
              </w:rPr>
              <w:t>Life (Years)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center"/>
              <w:ind w:right="204"/>
              <w:spacing w:after="0"/>
              <w:rPr>
                <w:sz w:val="20"/>
                <w:szCs w:val="20"/>
                <w:color w:val="auto"/>
              </w:rPr>
            </w:pPr>
            <w:r>
              <w:rPr>
                <w:rFonts w:ascii="Arial" w:cs="Arial" w:eastAsia="Arial" w:hAnsi="Arial"/>
                <w:sz w:val="14"/>
                <w:szCs w:val="14"/>
                <w:b w:val="1"/>
                <w:bCs w:val="1"/>
                <w:color w:val="auto"/>
                <w:w w:val="93"/>
              </w:rPr>
              <w:t>Price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center"/>
              <w:ind w:right="184"/>
              <w:spacing w:after="0"/>
              <w:rPr>
                <w:sz w:val="20"/>
                <w:szCs w:val="20"/>
                <w:color w:val="auto"/>
              </w:rPr>
            </w:pPr>
            <w:r>
              <w:rPr>
                <w:rFonts w:ascii="Arial" w:cs="Arial" w:eastAsia="Arial" w:hAnsi="Arial"/>
                <w:sz w:val="14"/>
                <w:szCs w:val="14"/>
                <w:b w:val="1"/>
                <w:bCs w:val="1"/>
                <w:color w:val="auto"/>
                <w:w w:val="94"/>
              </w:rPr>
              <w:t>(in millions)</w:t>
            </w: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Vested and expected to vest</w:t>
            </w:r>
          </w:p>
        </w:tc>
        <w:tc>
          <w:tcPr>
            <w:tcW w:w="1140" w:type="dxa"/>
            <w:vAlign w:val="bottom"/>
            <w:tcBorders>
              <w:top w:val="single" w:sz="8" w:color="auto"/>
            </w:tcBorders>
            <w:shd w:val="clear" w:color="auto" w:fill="CFF0FC"/>
          </w:tcPr>
          <w:p>
            <w:pPr>
              <w:jc w:val="right"/>
              <w:ind w:right="159"/>
              <w:spacing w:after="0"/>
              <w:rPr>
                <w:sz w:val="20"/>
                <w:szCs w:val="20"/>
                <w:color w:val="auto"/>
              </w:rPr>
            </w:pPr>
            <w:r>
              <w:rPr>
                <w:rFonts w:ascii="Arial" w:cs="Arial" w:eastAsia="Arial" w:hAnsi="Arial"/>
                <w:sz w:val="18"/>
                <w:szCs w:val="18"/>
                <w:color w:val="auto"/>
              </w:rPr>
              <w:t>2,579,831</w:t>
            </w:r>
          </w:p>
        </w:tc>
        <w:tc>
          <w:tcPr>
            <w:tcW w:w="12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ind w:right="405"/>
              <w:spacing w:after="0"/>
              <w:rPr>
                <w:sz w:val="20"/>
                <w:szCs w:val="20"/>
                <w:color w:val="auto"/>
              </w:rPr>
            </w:pPr>
            <w:r>
              <w:rPr>
                <w:rFonts w:ascii="Arial" w:cs="Arial" w:eastAsia="Arial" w:hAnsi="Arial"/>
                <w:sz w:val="18"/>
                <w:szCs w:val="18"/>
                <w:color w:val="auto"/>
              </w:rPr>
              <w:t>6.9</w:t>
            </w: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ind w:right="44"/>
              <w:spacing w:after="0"/>
              <w:rPr>
                <w:sz w:val="20"/>
                <w:szCs w:val="20"/>
                <w:color w:val="auto"/>
              </w:rPr>
            </w:pPr>
            <w:r>
              <w:rPr>
                <w:rFonts w:ascii="Arial" w:cs="Arial" w:eastAsia="Arial" w:hAnsi="Arial"/>
                <w:sz w:val="18"/>
                <w:szCs w:val="18"/>
                <w:color w:val="auto"/>
              </w:rPr>
              <w:t>39.79</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jc w:val="right"/>
              <w:ind w:right="64"/>
              <w:spacing w:after="0"/>
              <w:rPr>
                <w:sz w:val="20"/>
                <w:szCs w:val="20"/>
                <w:color w:val="auto"/>
              </w:rPr>
            </w:pPr>
            <w:r>
              <w:rPr>
                <w:rFonts w:ascii="Arial" w:cs="Arial" w:eastAsia="Arial" w:hAnsi="Arial"/>
                <w:sz w:val="18"/>
                <w:szCs w:val="18"/>
                <w:color w:val="auto"/>
              </w:rPr>
              <w:t>196.0</w:t>
            </w: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The fair value of each stock option granted was estimated on the date of grant using the Monte Carlo Simulation option pricing model prior to the date of the Company’s initial public offering and the Black Scholes option pricing model subsequent to the date of the initial public offering. The fair value of each stock option granted during Fiscal 2017 was estimated using the following assumptions:</w:t>
      </w:r>
    </w:p>
    <w:p>
      <w:pPr>
        <w:spacing w:after="0" w:line="186" w:lineRule="exact"/>
        <w:rPr>
          <w:sz w:val="20"/>
          <w:szCs w:val="20"/>
          <w:color w:val="auto"/>
        </w:rPr>
      </w:pPr>
    </w:p>
    <w:tbl>
      <w:tblPr>
        <w:tblLayout w:type="fixed"/>
        <w:tblInd w:w="2300" w:type="dxa"/>
        <w:tblCellMar>
          <w:top w:w="0" w:type="dxa"/>
          <w:left w:w="0" w:type="dxa"/>
          <w:bottom w:w="0" w:type="dxa"/>
          <w:right w:w="0" w:type="dxa"/>
        </w:tblCellMar>
      </w:tblPr>
      <w:tr>
        <w:trPr>
          <w:trHeight w:val="162"/>
        </w:trPr>
        <w:tc>
          <w:tcPr>
            <w:tcW w:w="5280" w:type="dxa"/>
            <w:vAlign w:val="bottom"/>
          </w:tcPr>
          <w:p>
            <w:pPr>
              <w:spacing w:after="0"/>
              <w:rPr>
                <w:sz w:val="14"/>
                <w:szCs w:val="14"/>
                <w:color w:val="auto"/>
              </w:rPr>
            </w:pPr>
          </w:p>
        </w:tc>
        <w:tc>
          <w:tcPr>
            <w:tcW w:w="15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2"/>
              </w:rPr>
              <w:t>Fiscal Year Ended</w:t>
            </w:r>
          </w:p>
        </w:tc>
      </w:tr>
      <w:tr>
        <w:trPr>
          <w:trHeight w:val="162"/>
        </w:trPr>
        <w:tc>
          <w:tcPr>
            <w:tcW w:w="5280" w:type="dxa"/>
            <w:vAlign w:val="bottom"/>
          </w:tcPr>
          <w:p>
            <w:pPr>
              <w:spacing w:after="0"/>
              <w:rPr>
                <w:sz w:val="14"/>
                <w:szCs w:val="14"/>
                <w:color w:val="auto"/>
              </w:rPr>
            </w:pPr>
          </w:p>
        </w:tc>
        <w:tc>
          <w:tcPr>
            <w:tcW w:w="15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5"/>
              </w:rPr>
              <w:t>February 3,</w:t>
            </w:r>
          </w:p>
        </w:tc>
      </w:tr>
      <w:tr>
        <w:trPr>
          <w:trHeight w:val="171"/>
        </w:trPr>
        <w:tc>
          <w:tcPr>
            <w:tcW w:w="5280" w:type="dxa"/>
            <w:vAlign w:val="bottom"/>
            <w:tcBorders>
              <w:bottom w:val="single" w:sz="8" w:color="CFF0FC"/>
            </w:tcBorders>
          </w:tcPr>
          <w:p>
            <w:pPr>
              <w:spacing w:after="0"/>
              <w:rPr>
                <w:sz w:val="14"/>
                <w:szCs w:val="14"/>
                <w:color w:val="auto"/>
              </w:rPr>
            </w:pPr>
          </w:p>
        </w:tc>
        <w:tc>
          <w:tcPr>
            <w:tcW w:w="15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2018</w:t>
            </w:r>
          </w:p>
        </w:tc>
        <w:tc>
          <w:tcPr>
            <w:tcW w:w="60" w:type="dxa"/>
            <w:vAlign w:val="bottom"/>
            <w:tcBorders>
              <w:bottom w:val="single" w:sz="8" w:color="CFF0FC"/>
            </w:tcBorders>
          </w:tcPr>
          <w:p>
            <w:pPr>
              <w:spacing w:after="0"/>
              <w:rPr>
                <w:sz w:val="14"/>
                <w:szCs w:val="14"/>
                <w:color w:val="auto"/>
              </w:rPr>
            </w:pPr>
          </w:p>
        </w:tc>
      </w:tr>
      <w:tr>
        <w:trPr>
          <w:trHeight w:val="223"/>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w:t>
            </w:r>
          </w:p>
        </w:tc>
        <w:tc>
          <w:tcPr>
            <w:tcW w:w="820" w:type="dxa"/>
            <w:vAlign w:val="bottom"/>
            <w:shd w:val="clear" w:color="auto" w:fill="CFF0FC"/>
          </w:tcPr>
          <w:p>
            <w:pPr>
              <w:ind w:left="40"/>
              <w:spacing w:after="0"/>
              <w:rPr>
                <w:sz w:val="20"/>
                <w:szCs w:val="20"/>
                <w:color w:val="auto"/>
              </w:rPr>
            </w:pPr>
            <w:r>
              <w:rPr>
                <w:rFonts w:ascii="Arial" w:cs="Arial" w:eastAsia="Arial" w:hAnsi="Arial"/>
                <w:sz w:val="18"/>
                <w:szCs w:val="18"/>
                <w:color w:val="auto"/>
              </w:rPr>
              <w:t>- 2.13%</w:t>
            </w:r>
          </w:p>
        </w:tc>
        <w:tc>
          <w:tcPr>
            <w:tcW w:w="60" w:type="dxa"/>
            <w:vAlign w:val="bottom"/>
            <w:shd w:val="clear" w:color="auto" w:fill="CFF0FC"/>
          </w:tcPr>
          <w:p>
            <w:pPr>
              <w:spacing w:after="0"/>
              <w:rPr>
                <w:sz w:val="19"/>
                <w:szCs w:val="19"/>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Expected volatility</w:t>
            </w:r>
          </w:p>
        </w:tc>
        <w:tc>
          <w:tcPr>
            <w:tcW w:w="680" w:type="dxa"/>
            <w:vAlign w:val="bottom"/>
          </w:tcPr>
          <w:p>
            <w:pPr>
              <w:jc w:val="right"/>
              <w:spacing w:after="0"/>
              <w:rPr>
                <w:sz w:val="20"/>
                <w:szCs w:val="20"/>
                <w:color w:val="auto"/>
              </w:rPr>
            </w:pPr>
            <w:r>
              <w:rPr>
                <w:rFonts w:ascii="Arial" w:cs="Arial" w:eastAsia="Arial" w:hAnsi="Arial"/>
                <w:sz w:val="18"/>
                <w:szCs w:val="18"/>
                <w:color w:val="auto"/>
              </w:rPr>
              <w:t>34%</w:t>
            </w:r>
          </w:p>
        </w:tc>
        <w:tc>
          <w:tcPr>
            <w:tcW w:w="820" w:type="dxa"/>
            <w:vAlign w:val="bottom"/>
          </w:tcPr>
          <w:p>
            <w:pPr>
              <w:ind w:left="40"/>
              <w:spacing w:after="0"/>
              <w:rPr>
                <w:sz w:val="20"/>
                <w:szCs w:val="20"/>
                <w:color w:val="auto"/>
              </w:rPr>
            </w:pPr>
            <w:r>
              <w:rPr>
                <w:rFonts w:ascii="Arial" w:cs="Arial" w:eastAsia="Arial" w:hAnsi="Arial"/>
                <w:sz w:val="18"/>
                <w:szCs w:val="18"/>
                <w:color w:val="auto"/>
              </w:rPr>
              <w:t>- 37%</w:t>
            </w:r>
          </w:p>
        </w:tc>
        <w:tc>
          <w:tcPr>
            <w:tcW w:w="60" w:type="dxa"/>
            <w:vAlign w:val="bottom"/>
          </w:tcPr>
          <w:p>
            <w:pPr>
              <w:spacing w:after="0"/>
              <w:rPr>
                <w:sz w:val="19"/>
                <w:szCs w:val="19"/>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Expected life (years)</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6.15</w:t>
            </w:r>
          </w:p>
        </w:tc>
        <w:tc>
          <w:tcPr>
            <w:tcW w:w="820" w:type="dxa"/>
            <w:vAlign w:val="bottom"/>
            <w:shd w:val="clear" w:color="auto" w:fill="CFF0FC"/>
          </w:tcPr>
          <w:p>
            <w:pPr>
              <w:ind w:left="40"/>
              <w:spacing w:after="0"/>
              <w:rPr>
                <w:sz w:val="20"/>
                <w:szCs w:val="20"/>
                <w:color w:val="auto"/>
              </w:rPr>
            </w:pPr>
            <w:r>
              <w:rPr>
                <w:rFonts w:ascii="Arial" w:cs="Arial" w:eastAsia="Arial" w:hAnsi="Arial"/>
                <w:sz w:val="18"/>
                <w:szCs w:val="18"/>
                <w:color w:val="auto"/>
              </w:rPr>
              <w:t>- 6.25</w:t>
            </w:r>
          </w:p>
        </w:tc>
        <w:tc>
          <w:tcPr>
            <w:tcW w:w="60" w:type="dxa"/>
            <w:vAlign w:val="bottom"/>
            <w:shd w:val="clear" w:color="auto" w:fill="CFF0FC"/>
          </w:tcPr>
          <w:p>
            <w:pPr>
              <w:spacing w:after="0"/>
              <w:rPr>
                <w:sz w:val="19"/>
                <w:szCs w:val="19"/>
                <w:color w:val="auto"/>
              </w:rPr>
            </w:pPr>
          </w:p>
        </w:tc>
      </w:tr>
    </w:tbl>
    <w:p>
      <w:pPr>
        <w:spacing w:after="0" w:line="1" w:lineRule="exact"/>
        <w:rPr>
          <w:sz w:val="20"/>
          <w:szCs w:val="20"/>
          <w:color w:val="auto"/>
        </w:rPr>
      </w:pPr>
    </w:p>
    <w:tbl>
      <w:tblPr>
        <w:tblLayout w:type="fixed"/>
        <w:tblInd w:w="2300" w:type="dxa"/>
        <w:tblCellMar>
          <w:top w:w="0" w:type="dxa"/>
          <w:left w:w="0" w:type="dxa"/>
          <w:bottom w:w="0" w:type="dxa"/>
          <w:right w:w="0" w:type="dxa"/>
        </w:tblCellMar>
      </w:tblP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Contractual life (years)</w:t>
            </w:r>
          </w:p>
        </w:tc>
        <w:tc>
          <w:tcPr>
            <w:tcW w:w="960" w:type="dxa"/>
            <w:vAlign w:val="bottom"/>
          </w:tcPr>
          <w:p>
            <w:pPr>
              <w:spacing w:after="0"/>
              <w:rPr>
                <w:sz w:val="19"/>
                <w:szCs w:val="19"/>
                <w:color w:val="auto"/>
              </w:rPr>
            </w:pPr>
          </w:p>
        </w:tc>
        <w:tc>
          <w:tcPr>
            <w:tcW w:w="1220" w:type="dxa"/>
            <w:vAlign w:val="bottom"/>
          </w:tcPr>
          <w:p>
            <w:pPr>
              <w:jc w:val="center"/>
              <w:ind w:right="210"/>
              <w:spacing w:after="0"/>
              <w:rPr>
                <w:sz w:val="20"/>
                <w:szCs w:val="20"/>
                <w:color w:val="auto"/>
              </w:rPr>
            </w:pPr>
            <w:r>
              <w:rPr>
                <w:rFonts w:ascii="Arial" w:cs="Arial" w:eastAsia="Arial" w:hAnsi="Arial"/>
                <w:sz w:val="18"/>
                <w:szCs w:val="18"/>
                <w:color w:val="auto"/>
                <w:w w:val="91"/>
              </w:rPr>
              <w:t>10.0</w:t>
            </w:r>
          </w:p>
        </w:tc>
      </w:tr>
      <w:tr>
        <w:trPr>
          <w:trHeight w:val="230"/>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Expected dividend yield</w:t>
            </w:r>
          </w:p>
        </w:tc>
        <w:tc>
          <w:tcPr>
            <w:tcW w:w="960" w:type="dxa"/>
            <w:vAlign w:val="bottom"/>
            <w:shd w:val="clear" w:color="auto" w:fill="CFF0FC"/>
          </w:tcPr>
          <w:p>
            <w:pPr>
              <w:spacing w:after="0"/>
              <w:rPr>
                <w:sz w:val="19"/>
                <w:szCs w:val="19"/>
                <w:color w:val="auto"/>
              </w:rPr>
            </w:pPr>
          </w:p>
        </w:tc>
        <w:tc>
          <w:tcPr>
            <w:tcW w:w="1220" w:type="dxa"/>
            <w:vAlign w:val="bottom"/>
            <w:shd w:val="clear" w:color="auto" w:fill="CFF0FC"/>
          </w:tcPr>
          <w:p>
            <w:pPr>
              <w:jc w:val="center"/>
              <w:ind w:right="230"/>
              <w:spacing w:after="0"/>
              <w:rPr>
                <w:sz w:val="20"/>
                <w:szCs w:val="20"/>
                <w:color w:val="auto"/>
              </w:rPr>
            </w:pPr>
            <w:r>
              <w:rPr>
                <w:rFonts w:ascii="Arial" w:cs="Arial" w:eastAsia="Arial" w:hAnsi="Arial"/>
                <w:sz w:val="18"/>
                <w:szCs w:val="18"/>
                <w:color w:val="auto"/>
                <w:w w:val="92"/>
              </w:rPr>
              <w:t>0.0%</w:t>
            </w: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Weighted average grant date fair value of options issued</w:t>
            </w: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tcPr>
          <w:p>
            <w:pPr>
              <w:jc w:val="center"/>
              <w:ind w:right="210"/>
              <w:spacing w:after="0"/>
              <w:rPr>
                <w:sz w:val="20"/>
                <w:szCs w:val="20"/>
                <w:color w:val="auto"/>
              </w:rPr>
            </w:pPr>
            <w:r>
              <w:rPr>
                <w:rFonts w:ascii="Arial" w:cs="Arial" w:eastAsia="Arial" w:hAnsi="Arial"/>
                <w:sz w:val="18"/>
                <w:szCs w:val="18"/>
                <w:color w:val="auto"/>
                <w:w w:val="88"/>
              </w:rPr>
              <w:t>36.33</w:t>
            </w:r>
          </w:p>
        </w:tc>
      </w:tr>
    </w:tbl>
    <w:p>
      <w:pPr>
        <w:spacing w:after="0" w:line="228"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The expected dividend yield was based on the Company’s expectation of not paying dividends in the foreseeable future. Since the Company completed its initial public offering in October 2013, it does not have sufficient history as a publicly traded company to evaluate its volatility factor. As such, the expected stock price volatility is based upon the historical volatility of the stock price over the expected life of the options of peer companies that are publicly traded. The risk free interest rate was based on the U.S. Treasury rates for U.S. Treasury zero-coupon bonds with maturities similar to those of the expected term of the awards being valued. For grants issued during Fiscal 2017, Fiscal 2016 and Fiscal 2015, the expected life of the options was calculated using the simplified method, which defines the life as the average of the contractual term of the options and the weighted average vesting period for all option tranches. This methodology was utilized due to the short length of time our common stock has been publicly traded.</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73" w:name="page74"/>
    <w:bookmarkEnd w:id="73"/>
    <w:p>
      <w:pPr>
        <w:spacing w:after="0"/>
        <w:rPr>
          <w:sz w:val="20"/>
          <w:szCs w:val="20"/>
          <w:color w:val="auto"/>
        </w:rPr>
      </w:pPr>
      <w:r>
        <w:rPr>
          <w:rFonts w:ascii="Arial" w:cs="Arial" w:eastAsia="Arial" w:hAnsi="Arial"/>
          <w:sz w:val="18"/>
          <w:szCs w:val="18"/>
          <w:i w:val="1"/>
          <w:iCs w:val="1"/>
          <w:color w:val="auto"/>
        </w:rPr>
        <w:t>Restricted Stock Awards</w:t>
      </w:r>
    </w:p>
    <w:p>
      <w:pPr>
        <w:spacing w:after="0" w:line="117"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Restricted stock awards granted during Fiscal 2017 were all service-based awards. The fair value of each share of restricted stock granted during Fiscal 2017 was based upon (a) the closing price of the Company’s common stock on the date prior to the grant date for grants made before May 17, 2017 (the day on which the Company’s stockholders approved the amended plan) and (b) the closing price of the Company’s common stock on the grant date for grants made from and after May 17, 2017. As of February 3, 2018, the Company had 225,000 awards outstanding that cliff vest at the end of the service periods ranging from three years to five years from the grant date. The remaining awards outstanding as of February 3, 2018 have graded vesting provisions that generally vest in quarters over a four-year-period, or in thirds over a three-year period (for non-employee members of the Company’s Board of Directors), starting one year after the grant date. Following a change of control, all unvested shares of restricted stock shall remain unvested, provided, however, that 100% of such shares shall vest if, following such change of control, the employment of the recipient is terminated without cause or, in some instances, the recipient resigns with good reason, within a certain period of time following a change in control.</w:t>
      </w:r>
    </w:p>
    <w:p>
      <w:pPr>
        <w:spacing w:after="0" w:line="182" w:lineRule="exact"/>
        <w:rPr>
          <w:sz w:val="20"/>
          <w:szCs w:val="20"/>
          <w:color w:val="auto"/>
        </w:rPr>
      </w:pPr>
    </w:p>
    <w:p>
      <w:pPr>
        <w:ind w:right="720" w:firstLine="518"/>
        <w:spacing w:after="0" w:line="342" w:lineRule="auto"/>
        <w:rPr>
          <w:sz w:val="20"/>
          <w:szCs w:val="20"/>
          <w:color w:val="auto"/>
        </w:rPr>
      </w:pPr>
      <w:r>
        <w:rPr>
          <w:rFonts w:ascii="Arial" w:cs="Arial" w:eastAsia="Arial" w:hAnsi="Arial"/>
          <w:sz w:val="16"/>
          <w:szCs w:val="16"/>
          <w:color w:val="auto"/>
        </w:rPr>
        <w:t>As of February 3, 2018, there was approximately $36.9 million of unearned non-cash stock-based compensation that the Company expects to recognize as an expense over the next 2.6 years. The awards are expensed on a straight-line basis over the requisite service periods.</w:t>
      </w:r>
    </w:p>
    <w:p>
      <w:pPr>
        <w:spacing w:after="0" w:line="12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Award grant, vesting and forfeiture transactions during Fiscal 2017 are summarized as follows:</w:t>
      </w:r>
    </w:p>
    <w:p>
      <w:pPr>
        <w:spacing w:after="0" w:line="21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54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Average Grant</w:t>
            </w:r>
          </w:p>
        </w:tc>
        <w:tc>
          <w:tcPr>
            <w:tcW w:w="0" w:type="dxa"/>
            <w:vAlign w:val="bottom"/>
          </w:tcPr>
          <w:p>
            <w:pPr>
              <w:spacing w:after="0"/>
              <w:rPr>
                <w:sz w:val="1"/>
                <w:szCs w:val="1"/>
                <w:color w:val="auto"/>
              </w:rPr>
            </w:pPr>
          </w:p>
        </w:tc>
      </w:tr>
      <w:tr>
        <w:trPr>
          <w:trHeight w:val="149"/>
        </w:trPr>
        <w:tc>
          <w:tcPr>
            <w:tcW w:w="5480" w:type="dxa"/>
            <w:vAlign w:val="bottom"/>
          </w:tcPr>
          <w:p>
            <w:pPr>
              <w:spacing w:after="0"/>
              <w:rPr>
                <w:sz w:val="12"/>
                <w:szCs w:val="12"/>
                <w:color w:val="auto"/>
              </w:rPr>
            </w:pPr>
          </w:p>
        </w:tc>
        <w:tc>
          <w:tcPr>
            <w:tcW w:w="128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11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Date Fair</w:t>
            </w:r>
          </w:p>
        </w:tc>
        <w:tc>
          <w:tcPr>
            <w:tcW w:w="0" w:type="dxa"/>
            <w:vAlign w:val="bottom"/>
          </w:tcPr>
          <w:p>
            <w:pPr>
              <w:spacing w:after="0"/>
              <w:rPr>
                <w:sz w:val="1"/>
                <w:szCs w:val="1"/>
                <w:color w:val="auto"/>
              </w:rPr>
            </w:pPr>
          </w:p>
        </w:tc>
      </w:tr>
      <w:tr>
        <w:trPr>
          <w:trHeight w:val="149"/>
        </w:trPr>
        <w:tc>
          <w:tcPr>
            <w:tcW w:w="54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Value Per</w:t>
            </w:r>
          </w:p>
        </w:tc>
        <w:tc>
          <w:tcPr>
            <w:tcW w:w="0" w:type="dxa"/>
            <w:vAlign w:val="bottom"/>
          </w:tcPr>
          <w:p>
            <w:pPr>
              <w:spacing w:after="0"/>
              <w:rPr>
                <w:sz w:val="1"/>
                <w:szCs w:val="1"/>
                <w:color w:val="auto"/>
              </w:rPr>
            </w:pPr>
          </w:p>
        </w:tc>
      </w:tr>
      <w:tr>
        <w:trPr>
          <w:trHeight w:val="171"/>
        </w:trPr>
        <w:tc>
          <w:tcPr>
            <w:tcW w:w="5480" w:type="dxa"/>
            <w:vAlign w:val="bottom"/>
          </w:tcPr>
          <w:p>
            <w:pPr>
              <w:spacing w:after="0"/>
              <w:rPr>
                <w:sz w:val="14"/>
                <w:szCs w:val="14"/>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Awards</w:t>
            </w:r>
          </w:p>
        </w:tc>
        <w:tc>
          <w:tcPr>
            <w:tcW w:w="0" w:type="dxa"/>
            <w:vAlign w:val="bottom"/>
          </w:tcPr>
          <w:p>
            <w:pPr>
              <w:spacing w:after="0"/>
              <w:rPr>
                <w:sz w:val="1"/>
                <w:szCs w:val="1"/>
                <w:color w:val="auto"/>
              </w:rPr>
            </w:pPr>
          </w:p>
        </w:tc>
      </w:tr>
      <w:tr>
        <w:trPr>
          <w:trHeight w:val="223"/>
        </w:trPr>
        <w:tc>
          <w:tcPr>
            <w:tcW w:w="5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Non-vested awards outstanding, January 28, 2017</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744,634</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54.28</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spacing w:after="0"/>
              <w:rPr>
                <w:sz w:val="20"/>
                <w:szCs w:val="20"/>
                <w:color w:val="auto"/>
              </w:rPr>
            </w:pPr>
            <w:r>
              <w:rPr>
                <w:rFonts w:ascii="Arial" w:cs="Arial" w:eastAsia="Arial" w:hAnsi="Arial"/>
                <w:sz w:val="18"/>
                <w:szCs w:val="18"/>
                <w:color w:val="auto"/>
              </w:rPr>
              <w:t>Awards granted</w:t>
            </w:r>
          </w:p>
        </w:tc>
        <w:tc>
          <w:tcPr>
            <w:tcW w:w="1080" w:type="dxa"/>
            <w:vAlign w:val="bottom"/>
          </w:tcPr>
          <w:p>
            <w:pPr>
              <w:jc w:val="right"/>
              <w:spacing w:after="0"/>
              <w:rPr>
                <w:sz w:val="20"/>
                <w:szCs w:val="20"/>
                <w:color w:val="auto"/>
              </w:rPr>
            </w:pPr>
            <w:r>
              <w:rPr>
                <w:rFonts w:ascii="Arial" w:cs="Arial" w:eastAsia="Arial" w:hAnsi="Arial"/>
                <w:sz w:val="18"/>
                <w:szCs w:val="18"/>
                <w:color w:val="auto"/>
              </w:rPr>
              <w:t>232,611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95.17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Awards vested (a)</w:t>
            </w: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(195,088)</w:t>
            </w: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52.79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spacing w:after="0"/>
              <w:rPr>
                <w:sz w:val="20"/>
                <w:szCs w:val="20"/>
                <w:color w:val="auto"/>
              </w:rPr>
            </w:pPr>
            <w:r>
              <w:rPr>
                <w:rFonts w:ascii="Arial" w:cs="Arial" w:eastAsia="Arial" w:hAnsi="Arial"/>
                <w:sz w:val="18"/>
                <w:szCs w:val="18"/>
                <w:color w:val="auto"/>
              </w:rPr>
              <w:t>Awards forfeited</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(33,263)</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63.53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Non-vested awards outstanding, February 3, 2018</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748,894</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66.99</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760" w:hanging="374"/>
        <w:spacing w:after="0"/>
        <w:tabs>
          <w:tab w:leader="none" w:pos="7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Restricted stock awards vested during Fiscal 2017 had a total intrinsic value of $20.2 million.</w:t>
      </w:r>
    </w:p>
    <w:p>
      <w:pPr>
        <w:spacing w:after="0" w:line="207" w:lineRule="exact"/>
        <w:rPr>
          <w:rFonts w:ascii="Arial" w:cs="Arial" w:eastAsia="Arial" w:hAnsi="Arial"/>
          <w:sz w:val="18"/>
          <w:szCs w:val="18"/>
          <w:color w:val="auto"/>
        </w:rPr>
      </w:pPr>
    </w:p>
    <w:p>
      <w:pPr>
        <w:ind w:left="280" w:hanging="272"/>
        <w:spacing w:after="0"/>
        <w:tabs>
          <w:tab w:leader="none" w:pos="28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Lease Commitments</w:t>
      </w:r>
    </w:p>
    <w:p>
      <w:pPr>
        <w:spacing w:after="0" w:line="121" w:lineRule="exact"/>
        <w:rPr>
          <w:sz w:val="20"/>
          <w:szCs w:val="20"/>
          <w:color w:val="auto"/>
        </w:rPr>
      </w:pPr>
    </w:p>
    <w:p>
      <w:pPr>
        <w:ind w:right="120" w:firstLine="518"/>
        <w:spacing w:after="0" w:line="342" w:lineRule="auto"/>
        <w:rPr>
          <w:sz w:val="20"/>
          <w:szCs w:val="20"/>
          <w:color w:val="auto"/>
        </w:rPr>
      </w:pPr>
      <w:r>
        <w:rPr>
          <w:rFonts w:ascii="Arial" w:cs="Arial" w:eastAsia="Arial" w:hAnsi="Arial"/>
          <w:sz w:val="16"/>
          <w:szCs w:val="16"/>
          <w:color w:val="auto"/>
        </w:rPr>
        <w:t>The Company leases stores, distribution facilities and office space under operating and capital leases that will expire principally during the next thirty years. The leases typically include renewal options and escalation clauses and provide for contingent rentals based on a percentage of gross sales.</w:t>
      </w:r>
    </w:p>
    <w:p>
      <w:pPr>
        <w:spacing w:after="0" w:line="12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schedule of future minimum lease payments having an initial or remaining term in excess of one year:</w:t>
      </w:r>
    </w:p>
    <w:p>
      <w:pPr>
        <w:spacing w:after="0" w:line="302" w:lineRule="exact"/>
        <w:rPr>
          <w:sz w:val="20"/>
          <w:szCs w:val="20"/>
          <w:color w:val="auto"/>
        </w:rPr>
      </w:pPr>
    </w:p>
    <w:tbl>
      <w:tblPr>
        <w:tblLayout w:type="fixed"/>
        <w:tblInd w:w="1720" w:type="dxa"/>
        <w:tblCellMar>
          <w:top w:w="0" w:type="dxa"/>
          <w:left w:w="0" w:type="dxa"/>
          <w:bottom w:w="0" w:type="dxa"/>
          <w:right w:w="0" w:type="dxa"/>
        </w:tblCellMar>
      </w:tblPr>
      <w:tr>
        <w:trPr>
          <w:trHeight w:val="167"/>
        </w:trPr>
        <w:tc>
          <w:tcPr>
            <w:tcW w:w="5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i w:val="1"/>
                <w:iCs w:val="1"/>
                <w:color w:val="auto"/>
              </w:rPr>
              <w:t>(in thousands)</w:t>
            </w:r>
          </w:p>
        </w:tc>
        <w:tc>
          <w:tcPr>
            <w:tcW w:w="8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320" w:type="dxa"/>
            <w:vAlign w:val="bottom"/>
            <w:vMerge w:val="restart"/>
          </w:tcPr>
          <w:p>
            <w:pPr>
              <w:spacing w:after="0"/>
              <w:rPr>
                <w:sz w:val="20"/>
                <w:szCs w:val="20"/>
                <w:color w:val="auto"/>
              </w:rPr>
            </w:pPr>
            <w:r>
              <w:rPr>
                <w:rFonts w:ascii="Arial" w:cs="Arial" w:eastAsia="Arial" w:hAnsi="Arial"/>
                <w:sz w:val="14"/>
                <w:szCs w:val="14"/>
                <w:b w:val="1"/>
                <w:bCs w:val="1"/>
                <w:color w:val="auto"/>
              </w:rPr>
              <w:t>Fiscal Year</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w w:val="93"/>
              </w:rPr>
              <w:t>Operating</w:t>
            </w:r>
          </w:p>
        </w:tc>
        <w:tc>
          <w:tcPr>
            <w:tcW w:w="340" w:type="dxa"/>
            <w:vAlign w:val="bottom"/>
          </w:tcPr>
          <w:p>
            <w:pPr>
              <w:spacing w:after="0"/>
              <w:rPr>
                <w:sz w:val="11"/>
                <w:szCs w:val="11"/>
                <w:color w:val="auto"/>
              </w:rPr>
            </w:pPr>
          </w:p>
        </w:tc>
        <w:tc>
          <w:tcPr>
            <w:tcW w:w="800" w:type="dxa"/>
            <w:vAlign w:val="bottom"/>
          </w:tcPr>
          <w:p>
            <w:pPr>
              <w:jc w:val="right"/>
              <w:ind w:right="253"/>
              <w:spacing w:after="0" w:line="133" w:lineRule="exact"/>
              <w:rPr>
                <w:sz w:val="20"/>
                <w:szCs w:val="20"/>
                <w:color w:val="auto"/>
              </w:rPr>
            </w:pPr>
            <w:r>
              <w:rPr>
                <w:rFonts w:ascii="Arial" w:cs="Arial" w:eastAsia="Arial" w:hAnsi="Arial"/>
                <w:sz w:val="14"/>
                <w:szCs w:val="14"/>
                <w:b w:val="1"/>
                <w:bCs w:val="1"/>
                <w:color w:val="auto"/>
                <w:w w:val="94"/>
              </w:rPr>
              <w:t>Capital</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3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Leases(a)</w:t>
            </w:r>
          </w:p>
        </w:tc>
        <w:tc>
          <w:tcPr>
            <w:tcW w:w="340" w:type="dxa"/>
            <w:vAlign w:val="bottom"/>
          </w:tcPr>
          <w:p>
            <w:pPr>
              <w:spacing w:after="0"/>
              <w:rPr>
                <w:sz w:val="14"/>
                <w:szCs w:val="14"/>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8"/>
              </w:rPr>
              <w:t>Leases</w:t>
            </w:r>
          </w:p>
        </w:tc>
        <w:tc>
          <w:tcPr>
            <w:tcW w:w="0" w:type="dxa"/>
            <w:vAlign w:val="bottom"/>
          </w:tcPr>
          <w:p>
            <w:pPr>
              <w:spacing w:after="0"/>
              <w:rPr>
                <w:sz w:val="1"/>
                <w:szCs w:val="1"/>
                <w:color w:val="auto"/>
              </w:rPr>
            </w:pPr>
          </w:p>
        </w:tc>
      </w:tr>
      <w:tr>
        <w:trPr>
          <w:trHeight w:val="223"/>
        </w:trPr>
        <w:tc>
          <w:tcPr>
            <w:tcW w:w="53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2018</w:t>
            </w: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349,994</w:t>
            </w:r>
          </w:p>
        </w:tc>
        <w:tc>
          <w:tcPr>
            <w:tcW w:w="18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4,036</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363,038</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3,994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341,244</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3,687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317,898</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4,020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299,601</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1,320,174</w:t>
            </w:r>
          </w:p>
        </w:tc>
        <w:tc>
          <w:tcPr>
            <w:tcW w:w="1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11,632</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Total minimum lease payments</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2,991,949</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31,516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tcPr>
          <w:p>
            <w:pPr>
              <w:ind w:left="240"/>
              <w:spacing w:after="0"/>
              <w:rPr>
                <w:sz w:val="20"/>
                <w:szCs w:val="20"/>
                <w:color w:val="auto"/>
              </w:rPr>
            </w:pPr>
            <w:r>
              <w:rPr>
                <w:rFonts w:ascii="Arial" w:cs="Arial" w:eastAsia="Arial" w:hAnsi="Arial"/>
                <w:sz w:val="18"/>
                <w:szCs w:val="18"/>
                <w:color w:val="auto"/>
              </w:rPr>
              <w:t>Amount representing interest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(9,585)</w:t>
            </w:r>
          </w:p>
        </w:tc>
        <w:tc>
          <w:tcPr>
            <w:tcW w:w="0" w:type="dxa"/>
            <w:vAlign w:val="bottom"/>
          </w:tcPr>
          <w:p>
            <w:pPr>
              <w:spacing w:after="0"/>
              <w:rPr>
                <w:sz w:val="1"/>
                <w:szCs w:val="1"/>
                <w:color w:val="auto"/>
              </w:rPr>
            </w:pPr>
          </w:p>
        </w:tc>
      </w:tr>
      <w:tr>
        <w:trPr>
          <w:trHeight w:val="223"/>
        </w:trPr>
        <w:tc>
          <w:tcPr>
            <w:tcW w:w="532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future minimum lease payments</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2,991,949</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21,931</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right="280" w:hanging="512"/>
        <w:spacing w:after="0" w:line="277" w:lineRule="auto"/>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Total future minimum lease payments include $287.9 million related to options to extend lease terms that are reasonably assured of being exercised and $530.0 million of minimum lease payments for 67 stores that the Company has committed to open or relocate.</w:t>
      </w:r>
    </w:p>
    <w:p>
      <w:pPr>
        <w:spacing w:after="0" w:line="170"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color w:val="auto"/>
        </w:rPr>
        <w:t>The above schedule of future minimum lease payments has not been reduced by future minimum sublease rental income of $34.2 million relating to operating leases under non-cancelable subleases and other contingent rental agreements.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74" w:name="page75"/>
    <w:bookmarkEnd w:id="74"/>
    <w:p>
      <w:pPr>
        <w:ind w:left="520"/>
        <w:spacing w:after="0"/>
        <w:rPr>
          <w:sz w:val="20"/>
          <w:szCs w:val="20"/>
          <w:color w:val="auto"/>
        </w:rPr>
      </w:pPr>
      <w:r>
        <w:rPr>
          <w:rFonts w:ascii="Arial" w:cs="Arial" w:eastAsia="Arial" w:hAnsi="Arial"/>
          <w:sz w:val="18"/>
          <w:szCs w:val="18"/>
          <w:color w:val="auto"/>
        </w:rPr>
        <w:t>The following is a schedule of net rent expense for Fiscal 2017, Fiscal 2016 and Fiscal 2015:</w:t>
      </w:r>
    </w:p>
    <w:p>
      <w:pPr>
        <w:spacing w:after="0" w:line="302" w:lineRule="exact"/>
        <w:rPr>
          <w:sz w:val="20"/>
          <w:szCs w:val="20"/>
          <w:color w:val="auto"/>
        </w:rPr>
      </w:pPr>
    </w:p>
    <w:tbl>
      <w:tblPr>
        <w:tblLayout w:type="fixed"/>
        <w:tblInd w:w="11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i w:val="1"/>
                <w:iCs w:val="1"/>
                <w:color w:val="auto"/>
                <w:w w:val="89"/>
              </w:rPr>
              <w:t>(in thousands)</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2"/>
          </w:tcPr>
          <w:p>
            <w:pPr>
              <w:jc w:val="center"/>
              <w:ind w:right="240"/>
              <w:spacing w:after="0" w:line="155" w:lineRule="exact"/>
              <w:rPr>
                <w:sz w:val="20"/>
                <w:szCs w:val="20"/>
                <w:color w:val="auto"/>
              </w:rPr>
            </w:pPr>
            <w:r>
              <w:rPr>
                <w:rFonts w:ascii="Arial" w:cs="Arial" w:eastAsia="Arial" w:hAnsi="Arial"/>
                <w:sz w:val="14"/>
                <w:szCs w:val="14"/>
                <w:b w:val="1"/>
                <w:bCs w:val="1"/>
                <w:color w:val="auto"/>
                <w:w w:val="93"/>
              </w:rPr>
              <w:t>Year Ended</w:t>
            </w: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33"/>
        </w:trPr>
        <w:tc>
          <w:tcPr>
            <w:tcW w:w="20" w:type="dxa"/>
            <w:vAlign w:val="bottom"/>
          </w:tcPr>
          <w:p>
            <w:pPr>
              <w:spacing w:after="0"/>
              <w:rPr>
                <w:sz w:val="11"/>
                <w:szCs w:val="11"/>
                <w:color w:val="auto"/>
              </w:rPr>
            </w:pPr>
          </w:p>
        </w:tc>
        <w:tc>
          <w:tcPr>
            <w:tcW w:w="40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right"/>
              <w:ind w:right="300"/>
              <w:spacing w:after="0" w:line="133" w:lineRule="exact"/>
              <w:rPr>
                <w:sz w:val="20"/>
                <w:szCs w:val="20"/>
                <w:color w:val="auto"/>
              </w:rPr>
            </w:pPr>
            <w:r>
              <w:rPr>
                <w:rFonts w:ascii="Arial" w:cs="Arial" w:eastAsia="Arial" w:hAnsi="Arial"/>
                <w:sz w:val="14"/>
                <w:szCs w:val="14"/>
                <w:b w:val="1"/>
                <w:bCs w:val="1"/>
                <w:color w:val="auto"/>
              </w:rPr>
              <w:t>February 3,</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93"/>
              </w:rPr>
              <w:t>January 28,</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right"/>
              <w:ind w:right="114"/>
              <w:spacing w:after="0" w:line="133" w:lineRule="exact"/>
              <w:rPr>
                <w:sz w:val="20"/>
                <w:szCs w:val="20"/>
                <w:color w:val="auto"/>
              </w:rPr>
            </w:pPr>
            <w:r>
              <w:rPr>
                <w:rFonts w:ascii="Arial" w:cs="Arial" w:eastAsia="Arial" w:hAnsi="Arial"/>
                <w:sz w:val="14"/>
                <w:szCs w:val="14"/>
                <w:b w:val="1"/>
                <w:bCs w:val="1"/>
                <w:color w:val="auto"/>
                <w:w w:val="95"/>
              </w:rPr>
              <w:t>January 30,</w:t>
            </w:r>
          </w:p>
        </w:tc>
        <w:tc>
          <w:tcPr>
            <w:tcW w:w="80" w:type="dxa"/>
            <w:vAlign w:val="bottom"/>
          </w:tcPr>
          <w:p>
            <w:pPr>
              <w:spacing w:after="0"/>
              <w:rPr>
                <w:sz w:val="11"/>
                <w:szCs w:val="11"/>
                <w:color w:val="auto"/>
              </w:rPr>
            </w:pPr>
          </w:p>
        </w:tc>
      </w:tr>
      <w:tr>
        <w:trPr>
          <w:trHeight w:val="171"/>
        </w:trPr>
        <w:tc>
          <w:tcPr>
            <w:tcW w:w="20" w:type="dxa"/>
            <w:vAlign w:val="bottom"/>
          </w:tcPr>
          <w:p>
            <w:pPr>
              <w:spacing w:after="0"/>
              <w:rPr>
                <w:sz w:val="14"/>
                <w:szCs w:val="14"/>
                <w:color w:val="auto"/>
              </w:rPr>
            </w:pPr>
          </w:p>
        </w:tc>
        <w:tc>
          <w:tcPr>
            <w:tcW w:w="4080" w:type="dxa"/>
            <w:vAlign w:val="bottom"/>
            <w:tcBorders>
              <w:bottom w:val="single" w:sz="8" w:color="CFF0FC"/>
            </w:tcBorders>
          </w:tcPr>
          <w:p>
            <w:pPr>
              <w:spacing w:after="0"/>
              <w:rPr>
                <w:sz w:val="14"/>
                <w:szCs w:val="14"/>
                <w:color w:val="auto"/>
              </w:rPr>
            </w:pPr>
          </w:p>
        </w:tc>
        <w:tc>
          <w:tcPr>
            <w:tcW w:w="13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9"/>
              </w:rPr>
              <w:t>2017</w:t>
            </w: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FF0FC"/>
            </w:tcBorders>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Rent expense:</w:t>
            </w: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Minimum rental payments</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340,979</w:t>
            </w:r>
          </w:p>
        </w:tc>
        <w:tc>
          <w:tcPr>
            <w:tcW w:w="12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310,332</w:t>
            </w:r>
          </w:p>
        </w:tc>
        <w:tc>
          <w:tcPr>
            <w:tcW w:w="14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289,169</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Contingent rental payments</w:t>
            </w: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4,734</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4,424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3,961</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Straight-line rent expense</w:t>
            </w: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7,543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2,172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2,987</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Lease incentives amortization</w:t>
            </w: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(32,618)</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(32,112)</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(28,905)</w:t>
            </w:r>
          </w:p>
        </w:tc>
      </w:tr>
      <w:tr>
        <w:trPr>
          <w:trHeight w:val="230"/>
        </w:trPr>
        <w:tc>
          <w:tcPr>
            <w:tcW w:w="20" w:type="dxa"/>
            <w:vAlign w:val="bottom"/>
          </w:tcPr>
          <w:p>
            <w:pPr>
              <w:spacing w:after="0"/>
              <w:rPr>
                <w:sz w:val="19"/>
                <w:szCs w:val="19"/>
                <w:color w:val="auto"/>
              </w:rPr>
            </w:pPr>
          </w:p>
        </w:tc>
        <w:tc>
          <w:tcPr>
            <w:tcW w:w="4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Amortization of purchased lease rights</w:t>
            </w:r>
          </w:p>
        </w:tc>
        <w:tc>
          <w:tcPr>
            <w:tcW w:w="13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682</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rent expense(a)</w:t>
            </w: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321,137</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285,496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267,894</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Less all rental income(b)</w:t>
            </w: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(6,846)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(7,167)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(14,589)</w:t>
            </w:r>
          </w:p>
        </w:tc>
      </w:tr>
      <w:tr>
        <w:trPr>
          <w:trHeight w:val="223"/>
        </w:trPr>
        <w:tc>
          <w:tcPr>
            <w:tcW w:w="20" w:type="dxa"/>
            <w:vAlign w:val="bottom"/>
          </w:tcPr>
          <w:p>
            <w:pPr>
              <w:spacing w:after="0"/>
              <w:rPr>
                <w:sz w:val="19"/>
                <w:szCs w:val="19"/>
                <w:color w:val="auto"/>
              </w:rPr>
            </w:pPr>
          </w:p>
        </w:tc>
        <w:tc>
          <w:tcPr>
            <w:tcW w:w="408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net rent expense</w:t>
            </w:r>
          </w:p>
        </w:tc>
        <w:tc>
          <w:tcPr>
            <w:tcW w:w="13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314,291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278,329</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253,305</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hanging="512"/>
        <w:spacing w:after="0"/>
        <w:tabs>
          <w:tab w:leader="none" w:pos="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Included in the line item “Selling, general and administrative expenses” in the Company’s Consolidated Statements of Income.</w:t>
      </w:r>
    </w:p>
    <w:p>
      <w:pPr>
        <w:spacing w:after="0" w:line="23" w:lineRule="exact"/>
        <w:rPr>
          <w:rFonts w:ascii="Arial" w:cs="Arial" w:eastAsia="Arial" w:hAnsi="Arial"/>
          <w:sz w:val="18"/>
          <w:szCs w:val="18"/>
          <w:color w:val="auto"/>
        </w:rPr>
      </w:pPr>
    </w:p>
    <w:p>
      <w:pPr>
        <w:ind w:left="520" w:hanging="512"/>
        <w:spacing w:after="0"/>
        <w:tabs>
          <w:tab w:leader="none" w:pos="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Included in the line item “Other revenue” in the Company’s Consolidated Statements of Income.</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Employee Retirement Plans</w:t>
      </w:r>
    </w:p>
    <w:p>
      <w:pPr>
        <w:spacing w:after="0" w:line="121" w:lineRule="exact"/>
        <w:rPr>
          <w:sz w:val="20"/>
          <w:szCs w:val="20"/>
          <w:color w:val="auto"/>
        </w:rPr>
      </w:pPr>
    </w:p>
    <w:p>
      <w:pPr>
        <w:ind w:right="80" w:firstLine="518"/>
        <w:spacing w:after="0" w:line="297" w:lineRule="auto"/>
        <w:rPr>
          <w:sz w:val="20"/>
          <w:szCs w:val="20"/>
          <w:color w:val="auto"/>
        </w:rPr>
      </w:pPr>
      <w:r>
        <w:rPr>
          <w:rFonts w:ascii="Arial" w:cs="Arial" w:eastAsia="Arial" w:hAnsi="Arial"/>
          <w:sz w:val="16"/>
          <w:szCs w:val="16"/>
          <w:color w:val="auto"/>
        </w:rPr>
        <w:t>The Company maintains separate defined contribution 401(k) retirement savings and profit-sharing plans covering employees in the United States and Puerto Rico who meet specified age and service requirements. The discretionary profit sharing component (which the Company has not utilized since 2005 and has no current plans to utilize) is entirely funded by the Company, and the Company also makes additional matching contributions to the 401(k) component of the plans. Participating employees can voluntarily elect to contribute a percentage of their earnings to the 401(k) component of the plans (up to certain prescribed limits) through a cash or deferred (salary deferral) feature qualifying under Section 401(k) of the Internal Revenue Code (401(k) Plan).</w:t>
      </w:r>
    </w:p>
    <w:p>
      <w:pPr>
        <w:spacing w:after="0" w:line="158"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color w:val="auto"/>
        </w:rPr>
        <w:t>The Company recorded $8.4 million, $7.4 million and $7.1 million of 401(k) Plan match expense for the plan years ending December 31, 2017, December 31, 2016 and December 31, 2015, respectively, and are included in the line item “Selling, general and administrative expenses” on the Company’s Consolidated Statements of Income.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Income Taxes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Income before income taxes was as follows for Fiscal 2017, Fiscal 2016 and Fiscal 2015:</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16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89"/>
              </w:rPr>
              <w:t>(in thousands)</w:t>
            </w: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20"/>
              <w:spacing w:after="0" w:line="155" w:lineRule="exact"/>
              <w:rPr>
                <w:sz w:val="20"/>
                <w:szCs w:val="20"/>
                <w:color w:val="auto"/>
              </w:rPr>
            </w:pPr>
            <w:r>
              <w:rPr>
                <w:rFonts w:ascii="Arial" w:cs="Arial" w:eastAsia="Arial" w:hAnsi="Arial"/>
                <w:sz w:val="14"/>
                <w:szCs w:val="14"/>
                <w:b w:val="1"/>
                <w:bCs w:val="1"/>
                <w:color w:val="auto"/>
                <w:w w:val="93"/>
              </w:rPr>
              <w:t>Year Ended</w:t>
            </w:r>
          </w:p>
        </w:tc>
        <w:tc>
          <w:tcPr>
            <w:tcW w:w="2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1160" w:type="dxa"/>
            <w:vAlign w:val="bottom"/>
          </w:tcPr>
          <w:p>
            <w:pPr>
              <w:spacing w:after="0"/>
              <w:rPr>
                <w:sz w:val="11"/>
                <w:szCs w:val="11"/>
                <w:color w:val="auto"/>
              </w:rPr>
            </w:pPr>
          </w:p>
        </w:tc>
        <w:tc>
          <w:tcPr>
            <w:tcW w:w="344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right"/>
              <w:ind w:right="300"/>
              <w:spacing w:after="0" w:line="133" w:lineRule="exact"/>
              <w:rPr>
                <w:sz w:val="20"/>
                <w:szCs w:val="20"/>
                <w:color w:val="auto"/>
              </w:rPr>
            </w:pPr>
            <w:r>
              <w:rPr>
                <w:rFonts w:ascii="Arial" w:cs="Arial" w:eastAsia="Arial" w:hAnsi="Arial"/>
                <w:sz w:val="14"/>
                <w:szCs w:val="14"/>
                <w:b w:val="1"/>
                <w:bCs w:val="1"/>
                <w:color w:val="auto"/>
              </w:rPr>
              <w:t>February 3,</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center"/>
              <w:ind w:right="20"/>
              <w:spacing w:after="0" w:line="133" w:lineRule="exact"/>
              <w:rPr>
                <w:sz w:val="20"/>
                <w:szCs w:val="20"/>
                <w:color w:val="auto"/>
              </w:rPr>
            </w:pPr>
            <w:r>
              <w:rPr>
                <w:rFonts w:ascii="Arial" w:cs="Arial" w:eastAsia="Arial" w:hAnsi="Arial"/>
                <w:sz w:val="14"/>
                <w:szCs w:val="14"/>
                <w:b w:val="1"/>
                <w:bCs w:val="1"/>
                <w:color w:val="auto"/>
                <w:w w:val="93"/>
              </w:rPr>
              <w:t>January 28,</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right"/>
              <w:ind w:right="117"/>
              <w:spacing w:after="0" w:line="133" w:lineRule="exact"/>
              <w:rPr>
                <w:sz w:val="20"/>
                <w:szCs w:val="20"/>
                <w:color w:val="auto"/>
              </w:rPr>
            </w:pPr>
            <w:r>
              <w:rPr>
                <w:rFonts w:ascii="Arial" w:cs="Arial" w:eastAsia="Arial" w:hAnsi="Arial"/>
                <w:sz w:val="14"/>
                <w:szCs w:val="14"/>
                <w:b w:val="1"/>
                <w:bCs w:val="1"/>
                <w:color w:val="auto"/>
                <w:w w:val="95"/>
              </w:rPr>
              <w:t>January 30,</w:t>
            </w:r>
          </w:p>
        </w:tc>
        <w:tc>
          <w:tcPr>
            <w:tcW w:w="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3440" w:type="dxa"/>
            <w:vAlign w:val="bottom"/>
            <w:tcBorders>
              <w:bottom w:val="single" w:sz="8" w:color="CFF0FC"/>
            </w:tcBorders>
          </w:tcPr>
          <w:p>
            <w:pPr>
              <w:spacing w:after="0"/>
              <w:rPr>
                <w:sz w:val="14"/>
                <w:szCs w:val="14"/>
                <w:color w:val="auto"/>
              </w:rPr>
            </w:pPr>
          </w:p>
        </w:tc>
        <w:tc>
          <w:tcPr>
            <w:tcW w:w="194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89"/>
              </w:rPr>
              <w:t>2017</w:t>
            </w:r>
          </w:p>
        </w:tc>
        <w:tc>
          <w:tcPr>
            <w:tcW w:w="2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FF0FC"/>
            </w:tcBorders>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440" w:type="dxa"/>
            <w:vAlign w:val="bottom"/>
            <w:shd w:val="clear" w:color="auto" w:fill="CFF0FC"/>
          </w:tcPr>
          <w:p>
            <w:pPr>
              <w:spacing w:after="0"/>
              <w:rPr>
                <w:sz w:val="20"/>
                <w:szCs w:val="20"/>
                <w:color w:val="auto"/>
              </w:rPr>
            </w:pPr>
            <w:r>
              <w:rPr>
                <w:rFonts w:ascii="Arial" w:cs="Arial" w:eastAsia="Arial" w:hAnsi="Arial"/>
                <w:sz w:val="18"/>
                <w:szCs w:val="18"/>
                <w:color w:val="auto"/>
              </w:rPr>
              <w:t>Domestic</w:t>
            </w:r>
          </w:p>
        </w:tc>
        <w:tc>
          <w:tcPr>
            <w:tcW w:w="19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429,939</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330,106</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241,112</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Foreign</w:t>
            </w:r>
          </w:p>
        </w:tc>
        <w:tc>
          <w:tcPr>
            <w:tcW w:w="1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(959)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3,106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(2,236)</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4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income before income taxes</w:t>
            </w:r>
          </w:p>
        </w:tc>
        <w:tc>
          <w:tcPr>
            <w:tcW w:w="19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428,980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333,212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238,876</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940" w:type="dxa"/>
            <w:vAlign w:val="bottom"/>
            <w:vMerge w:val="restart"/>
          </w:tcPr>
          <w:p>
            <w:pPr>
              <w:jc w:val="right"/>
              <w:ind w:right="650"/>
              <w:spacing w:after="0"/>
              <w:rPr>
                <w:sz w:val="20"/>
                <w:szCs w:val="20"/>
                <w:color w:val="auto"/>
              </w:rPr>
            </w:pPr>
            <w:r>
              <w:rPr>
                <w:rFonts w:ascii="Arial" w:cs="Arial" w:eastAsia="Arial" w:hAnsi="Arial"/>
                <w:sz w:val="18"/>
                <w:szCs w:val="18"/>
                <w:color w:val="auto"/>
              </w:rPr>
              <w:t>73</w:t>
            </w: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1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9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3440" w:type="dxa"/>
            <w:vAlign w:val="bottom"/>
            <w:tcBorders>
              <w:bottom w:val="single" w:sz="8" w:color="9A9A9A"/>
            </w:tcBorders>
          </w:tcPr>
          <w:p>
            <w:pPr>
              <w:spacing w:after="0"/>
              <w:rPr>
                <w:sz w:val="10"/>
                <w:szCs w:val="10"/>
                <w:color w:val="auto"/>
              </w:rPr>
            </w:pPr>
          </w:p>
        </w:tc>
        <w:tc>
          <w:tcPr>
            <w:tcW w:w="19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75" w:name="page76"/>
    <w:bookmarkEnd w:id="75"/>
    <w:p>
      <w:pPr>
        <w:ind w:left="520"/>
        <w:spacing w:after="0"/>
        <w:rPr>
          <w:sz w:val="20"/>
          <w:szCs w:val="20"/>
          <w:color w:val="auto"/>
        </w:rPr>
      </w:pPr>
      <w:r>
        <w:rPr>
          <w:rFonts w:ascii="Arial" w:cs="Arial" w:eastAsia="Arial" w:hAnsi="Arial"/>
          <w:sz w:val="18"/>
          <w:szCs w:val="18"/>
          <w:color w:val="auto"/>
        </w:rPr>
        <w:t>Income tax expense was as follows for Fiscal 2017, Fiscal 2016 and Fiscal 2015:</w:t>
      </w:r>
    </w:p>
    <w:p>
      <w:pPr>
        <w:spacing w:after="0" w:line="302" w:lineRule="exact"/>
        <w:rPr>
          <w:sz w:val="20"/>
          <w:szCs w:val="20"/>
          <w:color w:val="auto"/>
        </w:rPr>
      </w:pPr>
    </w:p>
    <w:tbl>
      <w:tblPr>
        <w:tblLayout w:type="fixed"/>
        <w:tblInd w:w="11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i w:val="1"/>
                <w:iCs w:val="1"/>
                <w:color w:val="auto"/>
                <w:w w:val="89"/>
              </w:rPr>
              <w:t>(in thousands)</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2"/>
          </w:tcPr>
          <w:p>
            <w:pPr>
              <w:jc w:val="center"/>
              <w:ind w:right="240"/>
              <w:spacing w:after="0" w:line="155" w:lineRule="exact"/>
              <w:rPr>
                <w:sz w:val="20"/>
                <w:szCs w:val="20"/>
                <w:color w:val="auto"/>
              </w:rPr>
            </w:pPr>
            <w:r>
              <w:rPr>
                <w:rFonts w:ascii="Arial" w:cs="Arial" w:eastAsia="Arial" w:hAnsi="Arial"/>
                <w:sz w:val="14"/>
                <w:szCs w:val="14"/>
                <w:b w:val="1"/>
                <w:bCs w:val="1"/>
                <w:color w:val="auto"/>
                <w:w w:val="93"/>
              </w:rPr>
              <w:t>Year Ended</w:t>
            </w: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33"/>
        </w:trPr>
        <w:tc>
          <w:tcPr>
            <w:tcW w:w="2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right"/>
              <w:ind w:right="300"/>
              <w:spacing w:after="0" w:line="133" w:lineRule="exact"/>
              <w:rPr>
                <w:sz w:val="20"/>
                <w:szCs w:val="20"/>
                <w:color w:val="auto"/>
              </w:rPr>
            </w:pPr>
            <w:r>
              <w:rPr>
                <w:rFonts w:ascii="Arial" w:cs="Arial" w:eastAsia="Arial" w:hAnsi="Arial"/>
                <w:sz w:val="14"/>
                <w:szCs w:val="14"/>
                <w:b w:val="1"/>
                <w:bCs w:val="1"/>
                <w:color w:val="auto"/>
              </w:rPr>
              <w:t>February 3,</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93"/>
              </w:rPr>
              <w:t>January 28,</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right"/>
              <w:ind w:right="113"/>
              <w:spacing w:after="0" w:line="133" w:lineRule="exact"/>
              <w:rPr>
                <w:sz w:val="20"/>
                <w:szCs w:val="20"/>
                <w:color w:val="auto"/>
              </w:rPr>
            </w:pPr>
            <w:r>
              <w:rPr>
                <w:rFonts w:ascii="Arial" w:cs="Arial" w:eastAsia="Arial" w:hAnsi="Arial"/>
                <w:sz w:val="14"/>
                <w:szCs w:val="14"/>
                <w:b w:val="1"/>
                <w:bCs w:val="1"/>
                <w:color w:val="auto"/>
                <w:w w:val="95"/>
              </w:rPr>
              <w:t>January 30,</w:t>
            </w:r>
          </w:p>
        </w:tc>
        <w:tc>
          <w:tcPr>
            <w:tcW w:w="80" w:type="dxa"/>
            <w:vAlign w:val="bottom"/>
          </w:tcPr>
          <w:p>
            <w:pPr>
              <w:spacing w:after="0"/>
              <w:rPr>
                <w:sz w:val="11"/>
                <w:szCs w:val="11"/>
                <w:color w:val="auto"/>
              </w:rPr>
            </w:pPr>
          </w:p>
        </w:tc>
      </w:tr>
      <w:tr>
        <w:trPr>
          <w:trHeight w:val="171"/>
        </w:trPr>
        <w:tc>
          <w:tcPr>
            <w:tcW w:w="20" w:type="dxa"/>
            <w:vAlign w:val="bottom"/>
          </w:tcPr>
          <w:p>
            <w:pPr>
              <w:spacing w:after="0"/>
              <w:rPr>
                <w:sz w:val="14"/>
                <w:szCs w:val="14"/>
                <w:color w:val="auto"/>
              </w:rPr>
            </w:pPr>
          </w:p>
        </w:tc>
        <w:tc>
          <w:tcPr>
            <w:tcW w:w="3640" w:type="dxa"/>
            <w:vAlign w:val="bottom"/>
            <w:tcBorders>
              <w:bottom w:val="single" w:sz="8" w:color="CFF0FC"/>
            </w:tcBorders>
          </w:tcPr>
          <w:p>
            <w:pPr>
              <w:spacing w:after="0"/>
              <w:rPr>
                <w:sz w:val="14"/>
                <w:szCs w:val="14"/>
                <w:color w:val="auto"/>
              </w:rPr>
            </w:pPr>
          </w:p>
        </w:tc>
        <w:tc>
          <w:tcPr>
            <w:tcW w:w="174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9"/>
              </w:rPr>
              <w:t>2017</w:t>
            </w: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FF0FC"/>
            </w:tcBorders>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Current:</w:t>
            </w:r>
          </w:p>
        </w:tc>
        <w:tc>
          <w:tcPr>
            <w:tcW w:w="1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640" w:type="dxa"/>
            <w:vAlign w:val="bottom"/>
          </w:tcPr>
          <w:p>
            <w:pPr>
              <w:ind w:left="240"/>
              <w:spacing w:after="0"/>
              <w:rPr>
                <w:sz w:val="20"/>
                <w:szCs w:val="20"/>
                <w:color w:val="auto"/>
              </w:rPr>
            </w:pPr>
            <w:r>
              <w:rPr>
                <w:rFonts w:ascii="Arial" w:cs="Arial" w:eastAsia="Arial" w:hAnsi="Arial"/>
                <w:sz w:val="18"/>
                <w:szCs w:val="18"/>
                <w:color w:val="auto"/>
              </w:rPr>
              <w:t>Federal</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65,824</w:t>
            </w:r>
          </w:p>
        </w:tc>
        <w:tc>
          <w:tcPr>
            <w:tcW w:w="12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104,934</w:t>
            </w:r>
          </w:p>
        </w:tc>
        <w:tc>
          <w:tcPr>
            <w:tcW w:w="14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71,441</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6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State</w:t>
            </w:r>
          </w:p>
        </w:tc>
        <w:tc>
          <w:tcPr>
            <w:tcW w:w="1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8,824</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14,957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11,044</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640" w:type="dxa"/>
            <w:vAlign w:val="bottom"/>
          </w:tcPr>
          <w:p>
            <w:pPr>
              <w:ind w:left="240"/>
              <w:spacing w:after="0"/>
              <w:rPr>
                <w:sz w:val="20"/>
                <w:szCs w:val="20"/>
                <w:color w:val="auto"/>
              </w:rPr>
            </w:pPr>
            <w:r>
              <w:rPr>
                <w:rFonts w:ascii="Arial" w:cs="Arial" w:eastAsia="Arial" w:hAnsi="Arial"/>
                <w:sz w:val="18"/>
                <w:szCs w:val="18"/>
                <w:color w:val="auto"/>
              </w:rPr>
              <w:t>Foreign</w:t>
            </w: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3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Subtotal</w:t>
            </w:r>
          </w:p>
        </w:tc>
        <w:tc>
          <w:tcPr>
            <w:tcW w:w="17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74,855</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120,258</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82,485</w:t>
            </w:r>
          </w:p>
        </w:tc>
        <w:tc>
          <w:tcPr>
            <w:tcW w:w="80" w:type="dxa"/>
            <w:vAlign w:val="bottom"/>
            <w:tcBorders>
              <w:top w:val="single" w:sz="8" w:color="CFF0FC"/>
            </w:tcBorders>
            <w:shd w:val="clear" w:color="auto" w:fill="CFF0FC"/>
          </w:tcPr>
          <w:p>
            <w:pPr>
              <w:spacing w:after="0"/>
              <w:rPr>
                <w:sz w:val="19"/>
                <w:szCs w:val="19"/>
                <w:color w:val="auto"/>
              </w:rPr>
            </w:pPr>
          </w:p>
        </w:tc>
      </w:tr>
      <w:tr>
        <w:trPr>
          <w:trHeight w:val="223"/>
        </w:trPr>
        <w:tc>
          <w:tcPr>
            <w:tcW w:w="3660" w:type="dxa"/>
            <w:vAlign w:val="bottom"/>
            <w:gridSpan w:val="2"/>
          </w:tcPr>
          <w:p>
            <w:pPr>
              <w:spacing w:after="0"/>
              <w:rPr>
                <w:sz w:val="20"/>
                <w:szCs w:val="20"/>
                <w:color w:val="auto"/>
              </w:rPr>
            </w:pPr>
            <w:r>
              <w:rPr>
                <w:rFonts w:ascii="Arial" w:cs="Arial" w:eastAsia="Arial" w:hAnsi="Arial"/>
                <w:sz w:val="18"/>
                <w:szCs w:val="18"/>
                <w:color w:val="auto"/>
              </w:rPr>
              <w:t>Deferred:</w:t>
            </w: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6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Federal</w:t>
            </w:r>
          </w:p>
        </w:tc>
        <w:tc>
          <w:tcPr>
            <w:tcW w:w="1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(40,839)</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6,452</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640" w:type="dxa"/>
            <w:vAlign w:val="bottom"/>
          </w:tcPr>
          <w:p>
            <w:pPr>
              <w:ind w:left="240"/>
              <w:spacing w:after="0"/>
              <w:rPr>
                <w:sz w:val="20"/>
                <w:szCs w:val="20"/>
                <w:color w:val="auto"/>
              </w:rPr>
            </w:pPr>
            <w:r>
              <w:rPr>
                <w:rFonts w:ascii="Arial" w:cs="Arial" w:eastAsia="Arial" w:hAnsi="Arial"/>
                <w:sz w:val="18"/>
                <w:szCs w:val="18"/>
                <w:color w:val="auto"/>
              </w:rPr>
              <w:t>State</w:t>
            </w: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9,091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3,399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(543)</w:t>
            </w:r>
          </w:p>
        </w:tc>
      </w:tr>
      <w:tr>
        <w:trPr>
          <w:trHeight w:val="230"/>
        </w:trPr>
        <w:tc>
          <w:tcPr>
            <w:tcW w:w="20" w:type="dxa"/>
            <w:vAlign w:val="bottom"/>
          </w:tcPr>
          <w:p>
            <w:pPr>
              <w:spacing w:after="0"/>
              <w:rPr>
                <w:sz w:val="19"/>
                <w:szCs w:val="19"/>
                <w:color w:val="auto"/>
              </w:rPr>
            </w:pPr>
          </w:p>
        </w:tc>
        <w:tc>
          <w:tcPr>
            <w:tcW w:w="36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Foreign</w:t>
            </w:r>
          </w:p>
        </w:tc>
        <w:tc>
          <w:tcPr>
            <w:tcW w:w="1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(7,973)</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3660" w:type="dxa"/>
            <w:vAlign w:val="bottom"/>
            <w:gridSpan w:val="2"/>
          </w:tcPr>
          <w:p>
            <w:pPr>
              <w:spacing w:after="0"/>
              <w:rPr>
                <w:sz w:val="20"/>
                <w:szCs w:val="20"/>
                <w:color w:val="auto"/>
              </w:rPr>
            </w:pPr>
            <w:r>
              <w:rPr>
                <w:rFonts w:ascii="Arial" w:cs="Arial" w:eastAsia="Arial" w:hAnsi="Arial"/>
                <w:sz w:val="18"/>
                <w:szCs w:val="18"/>
                <w:color w:val="auto"/>
              </w:rPr>
              <w:t>Subtotal</w:t>
            </w:r>
          </w:p>
        </w:tc>
        <w:tc>
          <w:tcPr>
            <w:tcW w:w="17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(30,727)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(2,919)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5,909</w:t>
            </w:r>
          </w:p>
        </w:tc>
        <w:tc>
          <w:tcPr>
            <w:tcW w:w="8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6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Income Tax Expense</w:t>
            </w:r>
          </w:p>
        </w:tc>
        <w:tc>
          <w:tcPr>
            <w:tcW w:w="17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44,128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117,339</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88,394</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tax rate reconciliations were as follows for Fiscal 2017, Fiscal 2016 and Fiscal 2015:</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4"/>
                <w:szCs w:val="14"/>
                <w:b w:val="1"/>
                <w:bCs w:val="1"/>
                <w:color w:val="auto"/>
                <w:w w:val="92"/>
              </w:rPr>
              <w:t>Fiscal Year Ended</w:t>
            </w:r>
          </w:p>
        </w:tc>
        <w:tc>
          <w:tcPr>
            <w:tcW w:w="10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5200" w:type="dxa"/>
            <w:vAlign w:val="bottom"/>
          </w:tcPr>
          <w:p>
            <w:pPr>
              <w:spacing w:after="0"/>
              <w:rPr>
                <w:sz w:val="11"/>
                <w:szCs w:val="11"/>
                <w:color w:val="auto"/>
              </w:rPr>
            </w:pPr>
          </w:p>
        </w:tc>
        <w:tc>
          <w:tcPr>
            <w:tcW w:w="1240" w:type="dxa"/>
            <w:vAlign w:val="bottom"/>
            <w:gridSpan w:val="2"/>
          </w:tcPr>
          <w:p>
            <w:pPr>
              <w:jc w:val="right"/>
              <w:ind w:right="360"/>
              <w:spacing w:after="0" w:line="133" w:lineRule="exact"/>
              <w:rPr>
                <w:sz w:val="20"/>
                <w:szCs w:val="20"/>
                <w:color w:val="auto"/>
              </w:rPr>
            </w:pPr>
            <w:r>
              <w:rPr>
                <w:rFonts w:ascii="Arial" w:cs="Arial" w:eastAsia="Arial" w:hAnsi="Arial"/>
                <w:sz w:val="14"/>
                <w:szCs w:val="14"/>
                <w:b w:val="1"/>
                <w:bCs w:val="1"/>
                <w:color w:val="auto"/>
              </w:rPr>
              <w:t>February 3,</w:t>
            </w:r>
          </w:p>
        </w:tc>
        <w:tc>
          <w:tcPr>
            <w:tcW w:w="100" w:type="dxa"/>
            <w:vAlign w:val="bottom"/>
          </w:tcPr>
          <w:p>
            <w:pPr>
              <w:spacing w:after="0"/>
              <w:rPr>
                <w:sz w:val="11"/>
                <w:szCs w:val="11"/>
                <w:color w:val="auto"/>
              </w:rPr>
            </w:pPr>
          </w:p>
        </w:tc>
        <w:tc>
          <w:tcPr>
            <w:tcW w:w="1360" w:type="dxa"/>
            <w:vAlign w:val="bottom"/>
            <w:gridSpan w:val="2"/>
          </w:tcPr>
          <w:p>
            <w:pPr>
              <w:jc w:val="center"/>
              <w:ind w:right="320"/>
              <w:spacing w:after="0" w:line="133" w:lineRule="exact"/>
              <w:rPr>
                <w:sz w:val="20"/>
                <w:szCs w:val="20"/>
                <w:color w:val="auto"/>
              </w:rPr>
            </w:pPr>
            <w:r>
              <w:rPr>
                <w:rFonts w:ascii="Arial" w:cs="Arial" w:eastAsia="Arial" w:hAnsi="Arial"/>
                <w:sz w:val="14"/>
                <w:szCs w:val="14"/>
                <w:b w:val="1"/>
                <w:bCs w:val="1"/>
                <w:color w:val="auto"/>
                <w:w w:val="93"/>
              </w:rPr>
              <w:t>January 28,</w:t>
            </w:r>
          </w:p>
        </w:tc>
        <w:tc>
          <w:tcPr>
            <w:tcW w:w="1040" w:type="dxa"/>
            <w:vAlign w:val="bottom"/>
          </w:tcPr>
          <w:p>
            <w:pPr>
              <w:jc w:val="right"/>
              <w:ind w:right="74"/>
              <w:spacing w:after="0" w:line="133" w:lineRule="exact"/>
              <w:rPr>
                <w:sz w:val="20"/>
                <w:szCs w:val="20"/>
                <w:color w:val="auto"/>
              </w:rPr>
            </w:pPr>
            <w:r>
              <w:rPr>
                <w:rFonts w:ascii="Arial" w:cs="Arial" w:eastAsia="Arial" w:hAnsi="Arial"/>
                <w:sz w:val="14"/>
                <w:szCs w:val="14"/>
                <w:b w:val="1"/>
                <w:bCs w:val="1"/>
                <w:color w:val="auto"/>
              </w:rPr>
              <w:t>January 30,</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00" w:type="dxa"/>
            <w:vAlign w:val="bottom"/>
            <w:tcBorders>
              <w:bottom w:val="single" w:sz="8" w:color="CFF0FC"/>
            </w:tcBorders>
          </w:tcPr>
          <w:p>
            <w:pPr>
              <w:spacing w:after="0"/>
              <w:rPr>
                <w:sz w:val="14"/>
                <w:szCs w:val="14"/>
                <w:color w:val="auto"/>
              </w:rPr>
            </w:pPr>
          </w:p>
        </w:tc>
        <w:tc>
          <w:tcPr>
            <w:tcW w:w="10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300" w:type="dxa"/>
            <w:vAlign w:val="bottom"/>
            <w:tcBorders>
              <w:bottom w:val="single" w:sz="8" w:color="CFF0FC"/>
            </w:tcBorders>
          </w:tcPr>
          <w:p>
            <w:pPr>
              <w:spacing w:after="0"/>
              <w:rPr>
                <w:sz w:val="14"/>
                <w:szCs w:val="14"/>
                <w:color w:val="auto"/>
              </w:rPr>
            </w:pPr>
          </w:p>
        </w:tc>
        <w:tc>
          <w:tcPr>
            <w:tcW w:w="10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Tax at statutory rate</w:t>
            </w: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33.7%</w:t>
            </w:r>
          </w:p>
        </w:tc>
        <w:tc>
          <w:tcPr>
            <w:tcW w:w="1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35.0%</w:t>
            </w: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State income taxes, net of federal</w:t>
            </w:r>
          </w:p>
        </w:tc>
        <w:tc>
          <w:tcPr>
            <w:tcW w:w="1040" w:type="dxa"/>
            <w:vAlign w:val="bottom"/>
          </w:tcPr>
          <w:p>
            <w:pPr>
              <w:jc w:val="right"/>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Excess tax benefit from stock compensation</w:t>
            </w: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(4.4)</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Tax credits</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(1.4)</w:t>
            </w:r>
          </w:p>
        </w:tc>
        <w:tc>
          <w:tcPr>
            <w:tcW w:w="1460" w:type="dxa"/>
            <w:vAlign w:val="bottom"/>
            <w:gridSpan w:val="3"/>
          </w:tcPr>
          <w:p>
            <w:pPr>
              <w:jc w:val="right"/>
              <w:ind w:right="240"/>
              <w:spacing w:after="0"/>
              <w:rPr>
                <w:sz w:val="20"/>
                <w:szCs w:val="20"/>
                <w:color w:val="auto"/>
              </w:rPr>
            </w:pPr>
            <w:r>
              <w:rPr>
                <w:rFonts w:ascii="Arial" w:cs="Arial" w:eastAsia="Arial" w:hAnsi="Arial"/>
                <w:sz w:val="18"/>
                <w:szCs w:val="18"/>
                <w:color w:val="auto"/>
              </w:rPr>
              <w:t>(1.7)</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Impact of federal tax reform</w:t>
            </w: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(21.1)</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Other</w:t>
            </w:r>
          </w:p>
        </w:tc>
        <w:tc>
          <w:tcPr>
            <w:tcW w:w="1040" w:type="dxa"/>
            <w:vAlign w:val="bottom"/>
          </w:tcPr>
          <w:p>
            <w:pPr>
              <w:jc w:val="right"/>
              <w:spacing w:after="0"/>
              <w:rPr>
                <w:sz w:val="20"/>
                <w:szCs w:val="20"/>
                <w:color w:val="auto"/>
              </w:rPr>
            </w:pPr>
            <w:r>
              <w:rPr>
                <w:rFonts w:ascii="Arial" w:cs="Arial" w:eastAsia="Arial" w:hAnsi="Arial"/>
                <w:sz w:val="18"/>
                <w:szCs w:val="18"/>
                <w:color w:val="auto"/>
              </w:rPr>
              <w:t>0.5</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(1.1)</w:t>
            </w:r>
          </w:p>
        </w:tc>
        <w:tc>
          <w:tcPr>
            <w:tcW w:w="1040" w:type="dxa"/>
            <w:vAlign w:val="bottom"/>
          </w:tcPr>
          <w:p>
            <w:pPr>
              <w:jc w:val="right"/>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Effective tax rate</w:t>
            </w: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vMerge w:val="restart"/>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200" w:type="dxa"/>
            <w:vAlign w:val="bottom"/>
            <w:vMerge w:val="continue"/>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10.3%</w:t>
            </w:r>
          </w:p>
        </w:tc>
        <w:tc>
          <w:tcPr>
            <w:tcW w:w="100" w:type="dxa"/>
            <w:vAlign w:val="bottom"/>
            <w:vMerge w:val="continue"/>
            <w:shd w:val="clear" w:color="auto" w:fill="CFF0FC"/>
          </w:tcPr>
          <w:p>
            <w:pPr>
              <w:spacing w:after="0"/>
              <w:rPr>
                <w:sz w:val="19"/>
                <w:szCs w:val="19"/>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35.2%</w:t>
            </w: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60" w:firstLine="518"/>
        <w:spacing w:after="0" w:line="277" w:lineRule="auto"/>
        <w:rPr>
          <w:sz w:val="20"/>
          <w:szCs w:val="20"/>
          <w:color w:val="auto"/>
        </w:rPr>
      </w:pPr>
      <w:r>
        <w:rPr>
          <w:rFonts w:ascii="Arial" w:cs="Arial" w:eastAsia="Arial" w:hAnsi="Arial"/>
          <w:sz w:val="18"/>
          <w:szCs w:val="18"/>
          <w:color w:val="auto"/>
        </w:rPr>
        <w:t>The decrease in the effective tax rate was primarily the result of the impact of federal tax reform and the inclusion of excess tax benefits from stock compensation within the tax provision upon our adoption of ASU 2016-09 in the first quarter of 2017.</w:t>
      </w:r>
    </w:p>
    <w:p>
      <w:pPr>
        <w:spacing w:after="0" w:line="62" w:lineRule="exact"/>
        <w:rPr>
          <w:sz w:val="20"/>
          <w:szCs w:val="20"/>
          <w:color w:val="auto"/>
        </w:rPr>
      </w:pPr>
    </w:p>
    <w:p>
      <w:pPr>
        <w:ind w:right="160" w:firstLine="518"/>
        <w:spacing w:after="0" w:line="293" w:lineRule="auto"/>
        <w:rPr>
          <w:sz w:val="20"/>
          <w:szCs w:val="20"/>
          <w:color w:val="auto"/>
        </w:rPr>
      </w:pPr>
      <w:r>
        <w:rPr>
          <w:rFonts w:ascii="Arial" w:cs="Arial" w:eastAsia="Arial" w:hAnsi="Arial"/>
          <w:sz w:val="16"/>
          <w:szCs w:val="16"/>
          <w:color w:val="auto"/>
        </w:rPr>
        <w:t>The 2017 U.S. Tax Cuts and Jobs Act of 2017 (Tax Act) was signed into law on December 22, 2017. The Tax Act significantly revises the U.S. corporate income tax by, among other things, lowering the statutory corporate income tax rate from 35% to 21%, eliminating or limiting certain deductions, and enhancing and extending through 2026 the option to claim accelerated depreciation on qualified property. The change reduced the Company’s effective tax rate by 21.1% for Fiscal 2017, primarily due to a one-time incremental benefit of approximately $93 million from remeasurement of net deferred tax positions to reflect the reduction in corporate tax rate from 35% to 21%. The provisional remeasurement amount may change as data becomes available allowing more accurate scheduling of the deferred tax assets and liabilities, primarily related to depreciable assets, inventory and occupancy costs.</w:t>
      </w:r>
    </w:p>
    <w:p>
      <w:pPr>
        <w:spacing w:after="0" w:line="57"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Additionally on December 22, 2017, the Securities and Exchange Commission staff issued Staff Accounting Bulletin No. 118, which addresses how a company recognizes provisional amounts when a company does not have the necessary information available, prepared or analyzed (including computations) in reasonable detail to complete its accounting for the effect of the changes in the Tax Act. The measurement period ends when a company has obtained, prepared and analyzed the information necessary to finalize its accounting, but cannot extend beyond one year. As such, the Company is reporting the impacts of the Tax Act provisionally based upon reasonable estimates. The impacts are not yet finalized as they are dependent on factors and analysis not yet known or fully completed, including but not limited to, depreciation, additional effect of the rate change on the ending deferred balances and the issuance of additional guidance, as well as our ongoing analysis of the Tax Act.</w:t>
      </w:r>
    </w:p>
    <w:p>
      <w:pPr>
        <w:spacing w:after="0" w:line="70" w:lineRule="exact"/>
        <w:rPr>
          <w:sz w:val="20"/>
          <w:szCs w:val="20"/>
          <w:color w:val="auto"/>
        </w:rPr>
      </w:pPr>
    </w:p>
    <w:p>
      <w:pPr>
        <w:ind w:right="360" w:firstLine="518"/>
        <w:spacing w:after="0" w:line="277" w:lineRule="auto"/>
        <w:rPr>
          <w:sz w:val="20"/>
          <w:szCs w:val="20"/>
          <w:color w:val="auto"/>
        </w:rPr>
      </w:pPr>
      <w:r>
        <w:rPr>
          <w:rFonts w:ascii="Arial" w:cs="Arial" w:eastAsia="Arial" w:hAnsi="Arial"/>
          <w:sz w:val="18"/>
          <w:szCs w:val="18"/>
          <w:color w:val="auto"/>
        </w:rPr>
        <w:t>Our Fiscal 2016 effective tax rate was lower than Fiscal 2015 primarily due to a one-time benefit recorded from release of valuation allowance on foreign deferred tax assets.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82" w:right="259" w:bottom="1440" w:gutter="0" w:footer="0" w:header="0"/>
        </w:sectPr>
      </w:pPr>
    </w:p>
    <w:bookmarkStart w:id="76" w:name="page77"/>
    <w:bookmarkEnd w:id="76"/>
    <w:p>
      <w:pPr>
        <w:ind w:left="520"/>
        <w:spacing w:after="0"/>
        <w:rPr>
          <w:sz w:val="20"/>
          <w:szCs w:val="20"/>
          <w:color w:val="auto"/>
        </w:rPr>
      </w:pPr>
      <w:r>
        <w:rPr>
          <w:rFonts w:ascii="Arial" w:cs="Arial" w:eastAsia="Arial" w:hAnsi="Arial"/>
          <w:sz w:val="18"/>
          <w:szCs w:val="18"/>
          <w:color w:val="auto"/>
        </w:rPr>
        <w:t>The tax effects of temporary differences are included in deferred tax accounts as follows:</w:t>
      </w:r>
    </w:p>
    <w:p>
      <w:pPr>
        <w:spacing w:after="0" w:line="302" w:lineRule="exact"/>
        <w:rPr>
          <w:sz w:val="20"/>
          <w:szCs w:val="20"/>
          <w:color w:val="auto"/>
        </w:rPr>
      </w:pPr>
    </w:p>
    <w:tbl>
      <w:tblPr>
        <w:tblLayout w:type="fixed"/>
        <w:tblInd w:w="580" w:type="dxa"/>
        <w:tblCellMar>
          <w:top w:w="0" w:type="dxa"/>
          <w:left w:w="0" w:type="dxa"/>
          <w:bottom w:w="0" w:type="dxa"/>
          <w:right w:w="0" w:type="dxa"/>
        </w:tblCellMar>
      </w:tblPr>
      <w:tr>
        <w:trPr>
          <w:trHeight w:val="167"/>
        </w:trPr>
        <w:tc>
          <w:tcPr>
            <w:tcW w:w="4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5"/>
          </w:tcPr>
          <w:p>
            <w:pPr>
              <w:jc w:val="right"/>
              <w:ind w:right="840"/>
              <w:spacing w:after="0"/>
              <w:rPr>
                <w:sz w:val="20"/>
                <w:szCs w:val="20"/>
                <w:color w:val="auto"/>
              </w:rPr>
            </w:pPr>
            <w:r>
              <w:rPr>
                <w:rFonts w:ascii="Arial" w:cs="Arial" w:eastAsia="Arial" w:hAnsi="Arial"/>
                <w:sz w:val="14"/>
                <w:szCs w:val="14"/>
                <w:b w:val="1"/>
                <w:bCs w:val="1"/>
                <w:i w:val="1"/>
                <w:iCs w:val="1"/>
                <w:color w:val="auto"/>
              </w:rPr>
              <w:t>(in thousands)</w:t>
            </w: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100" w:type="dxa"/>
            <w:vAlign w:val="bottom"/>
            <w:gridSpan w:val="5"/>
          </w:tcPr>
          <w:p>
            <w:pPr>
              <w:jc w:val="right"/>
              <w:ind w:right="713"/>
              <w:spacing w:after="0" w:line="133" w:lineRule="exact"/>
              <w:rPr>
                <w:sz w:val="20"/>
                <w:szCs w:val="20"/>
                <w:color w:val="auto"/>
              </w:rPr>
            </w:pPr>
            <w:r>
              <w:rPr>
                <w:rFonts w:ascii="Arial" w:cs="Arial" w:eastAsia="Arial" w:hAnsi="Arial"/>
                <w:sz w:val="14"/>
                <w:szCs w:val="14"/>
                <w:b w:val="1"/>
                <w:bCs w:val="1"/>
                <w:color w:val="auto"/>
              </w:rPr>
              <w:t>February 3,</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40" w:type="dxa"/>
            <w:vAlign w:val="bottom"/>
            <w:gridSpan w:val="6"/>
            <w:vMerge w:val="restart"/>
          </w:tcPr>
          <w:p>
            <w:pPr>
              <w:ind w:left="420"/>
              <w:spacing w:after="0"/>
              <w:rPr>
                <w:sz w:val="20"/>
                <w:szCs w:val="20"/>
                <w:color w:val="auto"/>
              </w:rPr>
            </w:pPr>
            <w:r>
              <w:rPr>
                <w:rFonts w:ascii="Arial" w:cs="Arial" w:eastAsia="Arial" w:hAnsi="Arial"/>
                <w:sz w:val="14"/>
                <w:szCs w:val="14"/>
                <w:b w:val="1"/>
                <w:bCs w:val="1"/>
                <w:color w:val="auto"/>
              </w:rPr>
              <w:t>January 28, 2017</w:t>
            </w:r>
          </w:p>
        </w:tc>
        <w:tc>
          <w:tcPr>
            <w:tcW w:w="0" w:type="dxa"/>
            <w:vAlign w:val="bottom"/>
          </w:tcPr>
          <w:p>
            <w:pPr>
              <w:spacing w:after="0"/>
              <w:rPr>
                <w:sz w:val="1"/>
                <w:szCs w:val="1"/>
                <w:color w:val="auto"/>
              </w:rPr>
            </w:pPr>
          </w:p>
        </w:tc>
      </w:tr>
      <w:tr>
        <w:trPr>
          <w:trHeight w:val="171"/>
        </w:trPr>
        <w:tc>
          <w:tcPr>
            <w:tcW w:w="4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4"/>
          </w:tcPr>
          <w:p>
            <w:pPr>
              <w:jc w:val="right"/>
              <w:ind w:right="45"/>
              <w:spacing w:after="0"/>
              <w:rPr>
                <w:sz w:val="20"/>
                <w:szCs w:val="20"/>
                <w:color w:val="auto"/>
              </w:rPr>
            </w:pPr>
            <w:r>
              <w:rPr>
                <w:rFonts w:ascii="Arial" w:cs="Arial" w:eastAsia="Arial" w:hAnsi="Arial"/>
                <w:sz w:val="14"/>
                <w:szCs w:val="14"/>
                <w:b w:val="1"/>
                <w:bCs w:val="1"/>
                <w:color w:val="auto"/>
              </w:rPr>
              <w:t>2018</w:t>
            </w: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40" w:type="dxa"/>
            <w:vAlign w:val="bottom"/>
            <w:gridSpan w:val="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gridSpan w:val="2"/>
          </w:tcPr>
          <w:p>
            <w:pPr>
              <w:jc w:val="right"/>
              <w:ind w:right="540"/>
              <w:spacing w:after="0" w:line="133" w:lineRule="exact"/>
              <w:rPr>
                <w:sz w:val="20"/>
                <w:szCs w:val="20"/>
                <w:color w:val="auto"/>
              </w:rPr>
            </w:pPr>
            <w:r>
              <w:rPr>
                <w:rFonts w:ascii="Arial" w:cs="Arial" w:eastAsia="Arial" w:hAnsi="Arial"/>
                <w:sz w:val="14"/>
                <w:szCs w:val="14"/>
                <w:b w:val="1"/>
                <w:bCs w:val="1"/>
                <w:color w:val="auto"/>
              </w:rPr>
              <w:t>Tax</w:t>
            </w:r>
          </w:p>
        </w:tc>
        <w:tc>
          <w:tcPr>
            <w:tcW w:w="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ind w:right="333"/>
              <w:spacing w:after="0" w:line="133" w:lineRule="exact"/>
              <w:rPr>
                <w:sz w:val="20"/>
                <w:szCs w:val="20"/>
                <w:color w:val="auto"/>
              </w:rPr>
            </w:pPr>
            <w:r>
              <w:rPr>
                <w:rFonts w:ascii="Arial" w:cs="Arial" w:eastAsia="Arial" w:hAnsi="Arial"/>
                <w:sz w:val="14"/>
                <w:szCs w:val="14"/>
                <w:b w:val="1"/>
                <w:bCs w:val="1"/>
                <w:color w:val="auto"/>
              </w:rPr>
              <w:t>Tax</w:t>
            </w:r>
          </w:p>
        </w:tc>
        <w:tc>
          <w:tcPr>
            <w:tcW w:w="2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gridSpan w:val="2"/>
          </w:tcPr>
          <w:p>
            <w:pPr>
              <w:jc w:val="right"/>
              <w:ind w:right="560"/>
              <w:spacing w:after="0" w:line="133" w:lineRule="exact"/>
              <w:rPr>
                <w:sz w:val="20"/>
                <w:szCs w:val="20"/>
                <w:color w:val="auto"/>
              </w:rPr>
            </w:pPr>
            <w:r>
              <w:rPr>
                <w:rFonts w:ascii="Arial" w:cs="Arial" w:eastAsia="Arial" w:hAnsi="Arial"/>
                <w:sz w:val="14"/>
                <w:szCs w:val="14"/>
                <w:b w:val="1"/>
                <w:bCs w:val="1"/>
                <w:color w:val="auto"/>
              </w:rPr>
              <w:t>Tax</w:t>
            </w:r>
          </w:p>
        </w:tc>
        <w:tc>
          <w:tcPr>
            <w:tcW w:w="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center"/>
              <w:ind w:right="72"/>
              <w:spacing w:after="0" w:line="133" w:lineRule="exact"/>
              <w:rPr>
                <w:sz w:val="20"/>
                <w:szCs w:val="20"/>
                <w:color w:val="auto"/>
              </w:rPr>
            </w:pPr>
            <w:r>
              <w:rPr>
                <w:rFonts w:ascii="Arial" w:cs="Arial" w:eastAsia="Arial" w:hAnsi="Arial"/>
                <w:sz w:val="14"/>
                <w:szCs w:val="14"/>
                <w:b w:val="1"/>
                <w:bCs w:val="1"/>
                <w:color w:val="auto"/>
                <w:w w:val="99"/>
              </w:rPr>
              <w:t>Tax</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Assets</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ind w:right="153"/>
              <w:spacing w:after="0"/>
              <w:rPr>
                <w:sz w:val="20"/>
                <w:szCs w:val="20"/>
                <w:color w:val="auto"/>
              </w:rPr>
            </w:pPr>
            <w:r>
              <w:rPr>
                <w:rFonts w:ascii="Arial" w:cs="Arial" w:eastAsia="Arial" w:hAnsi="Arial"/>
                <w:sz w:val="14"/>
                <w:szCs w:val="14"/>
                <w:b w:val="1"/>
                <w:bCs w:val="1"/>
                <w:color w:val="auto"/>
                <w:w w:val="99"/>
              </w:rPr>
              <w:t>Liabilities</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Assets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Liabilities</w:t>
            </w: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Arial" w:cs="Arial" w:eastAsia="Arial" w:hAnsi="Arial"/>
                <w:sz w:val="18"/>
                <w:szCs w:val="18"/>
                <w:color w:val="auto"/>
              </w:rPr>
              <w:t>Non-current deferred tax assets and liabilities:</w:t>
            </w:r>
          </w:p>
        </w:tc>
        <w:tc>
          <w:tcPr>
            <w:tcW w:w="6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00" w:type="dxa"/>
            <w:vAlign w:val="bottom"/>
            <w:vMerge w:val="continue"/>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basis adjustments</w:t>
            </w:r>
          </w:p>
        </w:tc>
        <w:tc>
          <w:tcPr>
            <w:tcW w:w="84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132,793</w:t>
            </w:r>
          </w:p>
        </w:tc>
        <w:tc>
          <w:tcPr>
            <w:tcW w:w="40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178,017</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Deferred rent</w:t>
            </w: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18,926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36,529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Intangibles—long-lived</w:t>
            </w:r>
          </w:p>
        </w:tc>
        <w:tc>
          <w:tcPr>
            <w:tcW w:w="6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48,397</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83,499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Intangibles—indefinite-lived</w:t>
            </w: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65,748</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94,624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Incidental supplies</w:t>
            </w:r>
          </w:p>
        </w:tc>
        <w:tc>
          <w:tcPr>
            <w:tcW w:w="6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10,207</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13,744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Employee benefit compensation</w:t>
            </w: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13,071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26,665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State net operating losses (net of federal benefit)</w:t>
            </w:r>
          </w:p>
        </w:tc>
        <w:tc>
          <w:tcPr>
            <w:tcW w:w="6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12,760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9,096</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Inventory costs and reserves capitalized for tax purposes</w:t>
            </w: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7,069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11,869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Landlord allowances</w:t>
            </w:r>
          </w:p>
        </w:tc>
        <w:tc>
          <w:tcPr>
            <w:tcW w:w="6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30,057</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40,699</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Reserves</w:t>
            </w: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7,407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34,267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Tax credits</w:t>
            </w:r>
          </w:p>
        </w:tc>
        <w:tc>
          <w:tcPr>
            <w:tcW w:w="6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5,126</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4,480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Other</w:t>
            </w: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1,429</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13,705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Valuation allowance</w:t>
            </w:r>
          </w:p>
        </w:tc>
        <w:tc>
          <w:tcPr>
            <w:tcW w:w="6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(8,376)</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(7,388)</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47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Total non-current deferred tax assets and liabilities</w:t>
            </w:r>
          </w:p>
        </w:tc>
        <w:tc>
          <w:tcPr>
            <w:tcW w:w="64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86,040</w:t>
            </w:r>
          </w:p>
        </w:tc>
        <w:tc>
          <w:tcPr>
            <w:tcW w:w="12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258,574</w:t>
            </w:r>
          </w:p>
        </w:tc>
        <w:tc>
          <w:tcPr>
            <w:tcW w:w="20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169,922</w:t>
            </w:r>
          </w:p>
        </w:tc>
        <w:tc>
          <w:tcPr>
            <w:tcW w:w="12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369,884</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7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deferred tax liability</w:t>
            </w:r>
          </w:p>
        </w:tc>
        <w:tc>
          <w:tcPr>
            <w:tcW w:w="6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172,534</w:t>
            </w:r>
          </w:p>
        </w:tc>
        <w:tc>
          <w:tcPr>
            <w:tcW w:w="2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199,962</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right="260" w:firstLine="518"/>
        <w:spacing w:after="0" w:line="277" w:lineRule="auto"/>
        <w:rPr>
          <w:sz w:val="20"/>
          <w:szCs w:val="20"/>
          <w:color w:val="auto"/>
        </w:rPr>
      </w:pPr>
      <w:r>
        <w:rPr>
          <w:rFonts w:ascii="Arial" w:cs="Arial" w:eastAsia="Arial" w:hAnsi="Arial"/>
          <w:sz w:val="18"/>
          <w:szCs w:val="18"/>
          <w:color w:val="auto"/>
        </w:rPr>
        <w:t>The reduction in deferred tax liability is primarily driven by the remeasurement of deferred balances based on the reduction of the federal statutory corporate tax rate from 35% to 21% due to the Tax Act.</w:t>
      </w:r>
    </w:p>
    <w:p>
      <w:pPr>
        <w:spacing w:after="0" w:line="62"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As of February 3, 2018, the Company has a deferred tax asset related to net operating losses of $12.8 million, inclusive of $10.8 million of state net operating losses which will expire at various dates between 2018 and 2037 and $2.0 million of deferred tax assets recorded for Puerto Rico net operating loss carry-forwards that will begin to expire in 2025. As of February 3, 2018, the Company had tax credit carry-forwards of $5.1 million, inclusive of state tax credit carry-forwards of $3.5 million that will begin to expire in 2022 and $1.6 million of Puerto Rico alternative minimum tax (AMT) credits that have an indefinite life.</w:t>
      </w:r>
    </w:p>
    <w:p>
      <w:pPr>
        <w:spacing w:after="0" w:line="80"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As of January 28, 2017, the Company had a deferred tax asset related to net operating losses of $9.1 million, inclusive of $7.0 million of state net operating losses and $2.1 million of deferred tax assets recorded for Puerto Rico net operating loss carry-forwards. As of January 28, 2017, the Company had tax credit carry-forwards of $4.5 million, inclusive of state tax credit carry-forwards of $3.2 million and $1.3 million of Puerto Rico alternative minimum tax (AMT) credits.</w:t>
      </w:r>
    </w:p>
    <w:p>
      <w:pPr>
        <w:spacing w:after="0" w:line="79" w:lineRule="exact"/>
        <w:rPr>
          <w:sz w:val="20"/>
          <w:szCs w:val="20"/>
          <w:color w:val="auto"/>
        </w:rPr>
      </w:pPr>
    </w:p>
    <w:p>
      <w:pPr>
        <w:ind w:firstLine="518"/>
        <w:spacing w:after="0" w:line="254" w:lineRule="auto"/>
        <w:rPr>
          <w:sz w:val="20"/>
          <w:szCs w:val="20"/>
          <w:color w:val="auto"/>
        </w:rPr>
      </w:pPr>
      <w:r>
        <w:rPr>
          <w:rFonts w:ascii="Arial" w:cs="Arial" w:eastAsia="Arial" w:hAnsi="Arial"/>
          <w:sz w:val="18"/>
          <w:szCs w:val="18"/>
          <w:color w:val="auto"/>
        </w:rPr>
        <w:t>We believe that it is more likely than not that the benefit from certain state net operating loss carry forwards and credits will not be realized. In recognition of this risk, we have provided a total valuation allowance of $8.4 million inclusive of $6.0 million of valuation allowance related to state net operating losses and $2.4 million related to tax credit carry-forwards, for the fiscal year ended February 3, 2018. If our assumptions change and we determine we will be able to realize these net operating losses or the credits, the tax benefits relating to any reversal of the valuation allowance on deferred tax assets as of February 3, 2018 will be recorded to the Company’s Consolidated Statement of Income. The total valuation allowance increased by $1.0 million from the prior year which was primarily due to the decrease in federal benefit of state tax expense driven by the Tax Act. For the fiscal year ended January 28, 2017, we provided a total valuation allowance of $7.4 million inclusive of $5.3 million of valuation allowance related to state net operating losses, and $2.1 million related to tax credit carry-forwards.</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82" w:right="299" w:bottom="1440" w:gutter="0" w:footer="0" w:header="0"/>
        </w:sectPr>
      </w:pPr>
    </w:p>
    <w:bookmarkStart w:id="77" w:name="page78"/>
    <w:bookmarkEnd w:id="77"/>
    <w:p>
      <w:pPr>
        <w:ind w:left="520"/>
        <w:spacing w:after="0"/>
        <w:rPr>
          <w:sz w:val="20"/>
          <w:szCs w:val="20"/>
          <w:color w:val="auto"/>
        </w:rPr>
      </w:pPr>
      <w:r>
        <w:rPr>
          <w:rFonts w:ascii="Arial" w:cs="Arial" w:eastAsia="Arial" w:hAnsi="Arial"/>
          <w:sz w:val="18"/>
          <w:szCs w:val="18"/>
          <w:color w:val="auto"/>
        </w:rPr>
        <w:t>A reconciliation of the beginning and ending amount of gross unrecognized tax benefits (exclusive of interest and penalties) is as follows:</w:t>
      </w:r>
    </w:p>
    <w:p>
      <w:pPr>
        <w:spacing w:after="0" w:line="302" w:lineRule="exact"/>
        <w:rPr>
          <w:sz w:val="20"/>
          <w:szCs w:val="20"/>
          <w:color w:val="auto"/>
        </w:rPr>
      </w:pPr>
    </w:p>
    <w:tbl>
      <w:tblPr>
        <w:tblLayout w:type="fixed"/>
        <w:tblInd w:w="2300" w:type="dxa"/>
        <w:tblCellMar>
          <w:top w:w="0" w:type="dxa"/>
          <w:left w:w="0" w:type="dxa"/>
          <w:bottom w:w="0" w:type="dxa"/>
          <w:right w:w="0" w:type="dxa"/>
        </w:tblCellMar>
      </w:tblPr>
      <w:tr>
        <w:trPr>
          <w:trHeight w:val="167"/>
        </w:trPr>
        <w:tc>
          <w:tcPr>
            <w:tcW w:w="5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i w:val="1"/>
                <w:iCs w:val="1"/>
                <w:color w:val="auto"/>
                <w:w w:val="89"/>
              </w:rPr>
              <w:t>(in thousands)</w:t>
            </w:r>
          </w:p>
        </w:tc>
      </w:tr>
      <w:tr>
        <w:trPr>
          <w:trHeight w:val="133"/>
        </w:trPr>
        <w:tc>
          <w:tcPr>
            <w:tcW w:w="55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center"/>
              <w:ind w:right="55"/>
              <w:spacing w:after="0" w:line="133" w:lineRule="exact"/>
              <w:rPr>
                <w:sz w:val="20"/>
                <w:szCs w:val="20"/>
                <w:color w:val="auto"/>
              </w:rPr>
            </w:pPr>
            <w:r>
              <w:rPr>
                <w:rFonts w:ascii="Arial" w:cs="Arial" w:eastAsia="Arial" w:hAnsi="Arial"/>
                <w:sz w:val="14"/>
                <w:szCs w:val="14"/>
                <w:b w:val="1"/>
                <w:bCs w:val="1"/>
                <w:color w:val="auto"/>
                <w:w w:val="88"/>
              </w:rPr>
              <w:t>Gross</w:t>
            </w:r>
          </w:p>
        </w:tc>
        <w:tc>
          <w:tcPr>
            <w:tcW w:w="80" w:type="dxa"/>
            <w:vAlign w:val="bottom"/>
          </w:tcPr>
          <w:p>
            <w:pPr>
              <w:spacing w:after="0"/>
              <w:rPr>
                <w:sz w:val="11"/>
                <w:szCs w:val="11"/>
                <w:color w:val="auto"/>
              </w:rPr>
            </w:pPr>
          </w:p>
        </w:tc>
      </w:tr>
      <w:tr>
        <w:trPr>
          <w:trHeight w:val="149"/>
        </w:trPr>
        <w:tc>
          <w:tcPr>
            <w:tcW w:w="5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Unrecognized</w:t>
            </w:r>
          </w:p>
        </w:tc>
      </w:tr>
      <w:tr>
        <w:trPr>
          <w:trHeight w:val="149"/>
        </w:trPr>
        <w:tc>
          <w:tcPr>
            <w:tcW w:w="5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Tax Benefits,</w:t>
            </w:r>
          </w:p>
        </w:tc>
      </w:tr>
      <w:tr>
        <w:trPr>
          <w:trHeight w:val="149"/>
        </w:trPr>
        <w:tc>
          <w:tcPr>
            <w:tcW w:w="5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Exclusive of</w:t>
            </w:r>
          </w:p>
        </w:tc>
      </w:tr>
      <w:tr>
        <w:trPr>
          <w:trHeight w:val="149"/>
        </w:trPr>
        <w:tc>
          <w:tcPr>
            <w:tcW w:w="5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Interest and</w:t>
            </w:r>
          </w:p>
        </w:tc>
      </w:tr>
      <w:tr>
        <w:trPr>
          <w:trHeight w:val="171"/>
        </w:trPr>
        <w:tc>
          <w:tcPr>
            <w:tcW w:w="5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Penalties</w:t>
            </w:r>
          </w:p>
        </w:tc>
      </w:tr>
      <w:tr>
        <w:trPr>
          <w:trHeight w:val="223"/>
        </w:trPr>
        <w:tc>
          <w:tcPr>
            <w:tcW w:w="5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January 31, 2015</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11,730</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5560" w:type="dxa"/>
            <w:vAlign w:val="bottom"/>
          </w:tcPr>
          <w:p>
            <w:pPr>
              <w:spacing w:after="0"/>
              <w:rPr>
                <w:sz w:val="20"/>
                <w:szCs w:val="20"/>
                <w:color w:val="auto"/>
              </w:rPr>
            </w:pPr>
            <w:r>
              <w:rPr>
                <w:rFonts w:ascii="Arial" w:cs="Arial" w:eastAsia="Arial" w:hAnsi="Arial"/>
                <w:sz w:val="18"/>
                <w:szCs w:val="18"/>
                <w:color w:val="auto"/>
              </w:rPr>
              <w:t>Additions for tax positions of the current year</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122</w:t>
            </w:r>
          </w:p>
        </w:tc>
        <w:tc>
          <w:tcPr>
            <w:tcW w:w="80" w:type="dxa"/>
            <w:vAlign w:val="bottom"/>
          </w:tcPr>
          <w:p>
            <w:pPr>
              <w:spacing w:after="0"/>
              <w:rPr>
                <w:sz w:val="19"/>
                <w:szCs w:val="19"/>
                <w:color w:val="auto"/>
              </w:rPr>
            </w:pPr>
          </w:p>
        </w:tc>
      </w:tr>
      <w:tr>
        <w:trPr>
          <w:trHeight w:val="230"/>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Additions for tax positions of prior years</w:t>
            </w: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w:t>
            </w:r>
          </w:p>
        </w:tc>
        <w:tc>
          <w:tcPr>
            <w:tcW w:w="80" w:type="dxa"/>
            <w:vAlign w:val="bottom"/>
            <w:shd w:val="clear" w:color="auto" w:fill="CFF0FC"/>
          </w:tcPr>
          <w:p>
            <w:pPr>
              <w:spacing w:after="0"/>
              <w:rPr>
                <w:sz w:val="19"/>
                <w:szCs w:val="19"/>
                <w:color w:val="auto"/>
              </w:rPr>
            </w:pPr>
          </w:p>
        </w:tc>
      </w:tr>
      <w:tr>
        <w:trPr>
          <w:trHeight w:val="230"/>
        </w:trPr>
        <w:tc>
          <w:tcPr>
            <w:tcW w:w="5560" w:type="dxa"/>
            <w:vAlign w:val="bottom"/>
          </w:tcPr>
          <w:p>
            <w:pPr>
              <w:spacing w:after="0"/>
              <w:rPr>
                <w:sz w:val="20"/>
                <w:szCs w:val="20"/>
                <w:color w:val="auto"/>
              </w:rPr>
            </w:pPr>
            <w:r>
              <w:rPr>
                <w:rFonts w:ascii="Arial" w:cs="Arial" w:eastAsia="Arial" w:hAnsi="Arial"/>
                <w:sz w:val="18"/>
                <w:szCs w:val="18"/>
                <w:color w:val="auto"/>
              </w:rPr>
              <w:t>Reduction for tax positions of prior years</w:t>
            </w:r>
          </w:p>
        </w:tc>
        <w:tc>
          <w:tcPr>
            <w:tcW w:w="14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(1,524)</w:t>
            </w:r>
          </w:p>
        </w:tc>
      </w:tr>
      <w:tr>
        <w:trPr>
          <w:trHeight w:val="230"/>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Settlements</w:t>
            </w:r>
          </w:p>
        </w:tc>
        <w:tc>
          <w:tcPr>
            <w:tcW w:w="1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5560" w:type="dxa"/>
            <w:vAlign w:val="bottom"/>
          </w:tcPr>
          <w:p>
            <w:pPr>
              <w:spacing w:after="0"/>
              <w:rPr>
                <w:sz w:val="20"/>
                <w:szCs w:val="20"/>
                <w:color w:val="auto"/>
              </w:rPr>
            </w:pPr>
            <w:r>
              <w:rPr>
                <w:rFonts w:ascii="Arial" w:cs="Arial" w:eastAsia="Arial" w:hAnsi="Arial"/>
                <w:sz w:val="18"/>
                <w:szCs w:val="18"/>
                <w:color w:val="auto"/>
              </w:rPr>
              <w:t>Lapse of statute of limitations</w:t>
            </w:r>
          </w:p>
        </w:tc>
        <w:tc>
          <w:tcPr>
            <w:tcW w:w="14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5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January 30, 2016</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10,578</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5560" w:type="dxa"/>
            <w:vAlign w:val="bottom"/>
          </w:tcPr>
          <w:p>
            <w:pPr>
              <w:spacing w:after="0"/>
              <w:rPr>
                <w:sz w:val="20"/>
                <w:szCs w:val="20"/>
                <w:color w:val="auto"/>
              </w:rPr>
            </w:pPr>
            <w:r>
              <w:rPr>
                <w:rFonts w:ascii="Arial" w:cs="Arial" w:eastAsia="Arial" w:hAnsi="Arial"/>
                <w:sz w:val="18"/>
                <w:szCs w:val="18"/>
                <w:color w:val="auto"/>
              </w:rPr>
              <w:t>Additions for tax positions of the current year</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117</w:t>
            </w:r>
          </w:p>
        </w:tc>
        <w:tc>
          <w:tcPr>
            <w:tcW w:w="80" w:type="dxa"/>
            <w:vAlign w:val="bottom"/>
          </w:tcPr>
          <w:p>
            <w:pPr>
              <w:spacing w:after="0"/>
              <w:rPr>
                <w:sz w:val="19"/>
                <w:szCs w:val="19"/>
                <w:color w:val="auto"/>
              </w:rPr>
            </w:pPr>
          </w:p>
        </w:tc>
      </w:tr>
      <w:tr>
        <w:trPr>
          <w:trHeight w:val="230"/>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Additions for tax positions of prior years</w:t>
            </w:r>
          </w:p>
        </w:tc>
        <w:tc>
          <w:tcPr>
            <w:tcW w:w="1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5560" w:type="dxa"/>
            <w:vAlign w:val="bottom"/>
          </w:tcPr>
          <w:p>
            <w:pPr>
              <w:spacing w:after="0"/>
              <w:rPr>
                <w:sz w:val="20"/>
                <w:szCs w:val="20"/>
                <w:color w:val="auto"/>
              </w:rPr>
            </w:pPr>
            <w:r>
              <w:rPr>
                <w:rFonts w:ascii="Arial" w:cs="Arial" w:eastAsia="Arial" w:hAnsi="Arial"/>
                <w:sz w:val="18"/>
                <w:szCs w:val="18"/>
                <w:color w:val="auto"/>
              </w:rPr>
              <w:t>Reduction for tax positions of prior years</w:t>
            </w:r>
          </w:p>
        </w:tc>
        <w:tc>
          <w:tcPr>
            <w:tcW w:w="14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(1,270)</w:t>
            </w:r>
          </w:p>
        </w:tc>
      </w:tr>
      <w:tr>
        <w:trPr>
          <w:trHeight w:val="230"/>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Settlements</w:t>
            </w:r>
          </w:p>
        </w:tc>
        <w:tc>
          <w:tcPr>
            <w:tcW w:w="1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5560" w:type="dxa"/>
            <w:vAlign w:val="bottom"/>
          </w:tcPr>
          <w:p>
            <w:pPr>
              <w:spacing w:after="0"/>
              <w:rPr>
                <w:sz w:val="20"/>
                <w:szCs w:val="20"/>
                <w:color w:val="auto"/>
              </w:rPr>
            </w:pPr>
            <w:r>
              <w:rPr>
                <w:rFonts w:ascii="Arial" w:cs="Arial" w:eastAsia="Arial" w:hAnsi="Arial"/>
                <w:sz w:val="18"/>
                <w:szCs w:val="18"/>
                <w:color w:val="auto"/>
              </w:rPr>
              <w:t>Lapse of statute of limitations</w:t>
            </w:r>
          </w:p>
        </w:tc>
        <w:tc>
          <w:tcPr>
            <w:tcW w:w="14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(232)</w:t>
            </w:r>
          </w:p>
        </w:tc>
      </w:tr>
      <w:tr>
        <w:trPr>
          <w:trHeight w:val="223"/>
        </w:trPr>
        <w:tc>
          <w:tcPr>
            <w:tcW w:w="5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January 28, 2017</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9,193</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5560" w:type="dxa"/>
            <w:vAlign w:val="bottom"/>
          </w:tcPr>
          <w:p>
            <w:pPr>
              <w:spacing w:after="0"/>
              <w:rPr>
                <w:sz w:val="20"/>
                <w:szCs w:val="20"/>
                <w:color w:val="auto"/>
              </w:rPr>
            </w:pPr>
            <w:r>
              <w:rPr>
                <w:rFonts w:ascii="Arial" w:cs="Arial" w:eastAsia="Arial" w:hAnsi="Arial"/>
                <w:sz w:val="18"/>
                <w:szCs w:val="18"/>
                <w:color w:val="auto"/>
              </w:rPr>
              <w:t>Additions for tax positions of the current year</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72</w:t>
            </w:r>
          </w:p>
        </w:tc>
        <w:tc>
          <w:tcPr>
            <w:tcW w:w="80" w:type="dxa"/>
            <w:vAlign w:val="bottom"/>
          </w:tcPr>
          <w:p>
            <w:pPr>
              <w:spacing w:after="0"/>
              <w:rPr>
                <w:sz w:val="19"/>
                <w:szCs w:val="19"/>
                <w:color w:val="auto"/>
              </w:rPr>
            </w:pPr>
          </w:p>
        </w:tc>
      </w:tr>
      <w:tr>
        <w:trPr>
          <w:trHeight w:val="230"/>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Additions for tax positions of prior years</w:t>
            </w: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882</w:t>
            </w:r>
          </w:p>
        </w:tc>
        <w:tc>
          <w:tcPr>
            <w:tcW w:w="80" w:type="dxa"/>
            <w:vAlign w:val="bottom"/>
            <w:shd w:val="clear" w:color="auto" w:fill="CFF0FC"/>
          </w:tcPr>
          <w:p>
            <w:pPr>
              <w:spacing w:after="0"/>
              <w:rPr>
                <w:sz w:val="19"/>
                <w:szCs w:val="19"/>
                <w:color w:val="auto"/>
              </w:rPr>
            </w:pPr>
          </w:p>
        </w:tc>
      </w:tr>
      <w:tr>
        <w:trPr>
          <w:trHeight w:val="230"/>
        </w:trPr>
        <w:tc>
          <w:tcPr>
            <w:tcW w:w="5560" w:type="dxa"/>
            <w:vAlign w:val="bottom"/>
          </w:tcPr>
          <w:p>
            <w:pPr>
              <w:spacing w:after="0"/>
              <w:rPr>
                <w:sz w:val="20"/>
                <w:szCs w:val="20"/>
                <w:color w:val="auto"/>
              </w:rPr>
            </w:pPr>
            <w:r>
              <w:rPr>
                <w:rFonts w:ascii="Arial" w:cs="Arial" w:eastAsia="Arial" w:hAnsi="Arial"/>
                <w:sz w:val="18"/>
                <w:szCs w:val="18"/>
                <w:color w:val="auto"/>
              </w:rPr>
              <w:t>Reduction for tax positions of prior years</w:t>
            </w:r>
          </w:p>
        </w:tc>
        <w:tc>
          <w:tcPr>
            <w:tcW w:w="14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(973)</w:t>
            </w:r>
          </w:p>
        </w:tc>
      </w:tr>
      <w:tr>
        <w:trPr>
          <w:trHeight w:val="230"/>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Settlements</w:t>
            </w:r>
          </w:p>
        </w:tc>
        <w:tc>
          <w:tcPr>
            <w:tcW w:w="1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5560" w:type="dxa"/>
            <w:vAlign w:val="bottom"/>
          </w:tcPr>
          <w:p>
            <w:pPr>
              <w:spacing w:after="0"/>
              <w:rPr>
                <w:sz w:val="20"/>
                <w:szCs w:val="20"/>
                <w:color w:val="auto"/>
              </w:rPr>
            </w:pPr>
            <w:r>
              <w:rPr>
                <w:rFonts w:ascii="Arial" w:cs="Arial" w:eastAsia="Arial" w:hAnsi="Arial"/>
                <w:sz w:val="18"/>
                <w:szCs w:val="18"/>
                <w:color w:val="auto"/>
              </w:rPr>
              <w:t>Lapse of statute of limitations</w:t>
            </w:r>
          </w:p>
        </w:tc>
        <w:tc>
          <w:tcPr>
            <w:tcW w:w="14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(101)</w:t>
            </w:r>
          </w:p>
        </w:tc>
      </w:tr>
      <w:tr>
        <w:trPr>
          <w:trHeight w:val="223"/>
        </w:trPr>
        <w:tc>
          <w:tcPr>
            <w:tcW w:w="55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February 3, 2018</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9,073</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0"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As of February 3, 2018, the Company reported total unrecognized benefits of $9.1 million, of which $7.2 million would affect the Company’s effective tax rate if recognized. As a result of previous positions taken, the Company recorded an increase of $0.1 million of interest and penalties during Fiscal 2017 in the line item “Income tax expense” in the Company’s Consolidated Statements of Income. Cumulative interest and penalties of $12.1 million are recorded in the line item “Other liabilities” in the Company’s Consolidated Balance Sheets as of February 3, 2018. The Company recognizes interest and penalties related to unrecognized tax benefits as part of income taxes. Within the next twelve months, the Company does not expect any significant changes in its unrecognized tax benefits.</w:t>
      </w:r>
    </w:p>
    <w:p>
      <w:pPr>
        <w:spacing w:after="0" w:line="85" w:lineRule="exact"/>
        <w:rPr>
          <w:sz w:val="20"/>
          <w:szCs w:val="20"/>
          <w:color w:val="auto"/>
        </w:rPr>
      </w:pPr>
    </w:p>
    <w:p>
      <w:pPr>
        <w:ind w:firstLine="518"/>
        <w:spacing w:after="0" w:line="279" w:lineRule="auto"/>
        <w:rPr>
          <w:sz w:val="20"/>
          <w:szCs w:val="20"/>
          <w:color w:val="auto"/>
        </w:rPr>
      </w:pPr>
      <w:r>
        <w:rPr>
          <w:rFonts w:ascii="Arial" w:cs="Arial" w:eastAsia="Arial" w:hAnsi="Arial"/>
          <w:sz w:val="17"/>
          <w:szCs w:val="17"/>
          <w:color w:val="auto"/>
        </w:rPr>
        <w:t>As of January 28, 2017, the Company reported total unrecognized benefits of $9.2 million, of which $6.0 million would affect the Company’s effective tax rate if recognized. As a result of previous positions taken, the Company recorded an increase of $0.4 million of interest and penalties during Fiscal 2016 in the line item “Income tax expense” in the Company’s Consolidated Statements of Income. Cumulative interest and penalties of $13.8 million are recorded in the line item “Other liabilities” in the Company’s Consolidated Balance Sheets as of January 28, 2017.</w:t>
      </w:r>
    </w:p>
    <w:p>
      <w:pPr>
        <w:spacing w:after="0" w:line="63"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The Company files tax returns in the U.S. federal jurisdiction, Puerto Rico and various state jurisdictions. The Company is open to examination by the IRS under the applicable statutes of limitations for Fiscal Years 2014 through 2017. The Company or its subsidiaries’ state and Puerto Rico income tax returns are open to audit for Fiscal Years 2012 through 2017, with a few exceptions, under the applicable statutes of limitations. There are ongoing federal and state audits in several jurisdictions, and the Company has accrued for possible exposures as required under Topic No. 740. The Company does not expect the settlement of these audits to have a material impact to its financial results.</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color w:val="auto"/>
        </w:rPr>
        <w:t>16. Fair Value of Financial Instruments</w:t>
      </w:r>
    </w:p>
    <w:p>
      <w:pPr>
        <w:spacing w:after="0" w:line="121"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The Company accounts for fair value measurements in accordance with Topic No. 820 which defines fair value, establishes a framework for measurement and expands disclosure about fair value measurements. Topic No. 820 defines fair value as the price that would be received to sell an asset or paid to transfer a liability in an orderly transaction between market participants at the measurement date (exit price), and classifies the inputs used to measure fair value into the following hierarchy:</w:t>
      </w:r>
    </w:p>
    <w:p>
      <w:pPr>
        <w:spacing w:after="0" w:line="214" w:lineRule="exact"/>
        <w:rPr>
          <w:sz w:val="20"/>
          <w:szCs w:val="20"/>
          <w:color w:val="auto"/>
        </w:rPr>
      </w:pPr>
    </w:p>
    <w:p>
      <w:pPr>
        <w:ind w:left="440"/>
        <w:spacing w:after="0"/>
        <w:tabs>
          <w:tab w:leader="none" w:pos="182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Quoted prices for identical assets or liabilities in active markets.</w:t>
      </w:r>
    </w:p>
    <w:p>
      <w:pPr>
        <w:spacing w:after="0" w:line="131" w:lineRule="exact"/>
        <w:rPr>
          <w:sz w:val="20"/>
          <w:szCs w:val="20"/>
          <w:color w:val="auto"/>
        </w:rPr>
      </w:pPr>
    </w:p>
    <w:p>
      <w:pPr>
        <w:ind w:left="1840" w:right="300" w:hanging="1395"/>
        <w:spacing w:after="0" w:line="264" w:lineRule="auto"/>
        <w:tabs>
          <w:tab w:leader="none" w:pos="182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Quoted market prices for similar assets or liabilities in active markets; quoted prices for identical or similar assets or liabilities in markets that are not active; and model-derived valuations whose inputs are observable or whose significant value drivers are observable.</w:t>
      </w:r>
    </w:p>
    <w:p>
      <w:pPr>
        <w:spacing w:after="0" w:line="87" w:lineRule="exact"/>
        <w:rPr>
          <w:sz w:val="20"/>
          <w:szCs w:val="20"/>
          <w:color w:val="auto"/>
        </w:rPr>
      </w:pPr>
    </w:p>
    <w:p>
      <w:pPr>
        <w:ind w:left="1840" w:right="220" w:hanging="1395"/>
        <w:spacing w:after="0" w:line="277" w:lineRule="auto"/>
        <w:tabs>
          <w:tab w:leader="none" w:pos="182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Pricing inputs that are unobservable for the assets and liabilities, and include situations where there is little, if any, market activity for the assets and liabilities.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inputs into the determination of fair value require significant management judgment or estimation.</w:t>
      </w:r>
    </w:p>
    <w:p>
      <w:pPr>
        <w:spacing w:after="0" w:line="225" w:lineRule="exact"/>
        <w:rPr>
          <w:sz w:val="20"/>
          <w:szCs w:val="20"/>
          <w:color w:val="auto"/>
        </w:rPr>
      </w:pPr>
    </w:p>
    <w:p>
      <w:pPr>
        <w:ind w:right="480" w:firstLine="518"/>
        <w:spacing w:after="0" w:line="277" w:lineRule="auto"/>
        <w:rPr>
          <w:sz w:val="20"/>
          <w:szCs w:val="20"/>
          <w:color w:val="auto"/>
        </w:rPr>
      </w:pPr>
      <w:r>
        <w:rPr>
          <w:rFonts w:ascii="Arial" w:cs="Arial" w:eastAsia="Arial" w:hAnsi="Arial"/>
          <w:sz w:val="18"/>
          <w:szCs w:val="18"/>
          <w:color w:val="auto"/>
        </w:rPr>
        <w:t>The carrying amounts of cash equivalents, accounts receivable and accounts payable approximate fair value due to the short-term nature of these instruments.</w:t>
      </w:r>
    </w:p>
    <w:p>
      <w:pPr>
        <w:spacing w:after="0" w:line="170" w:lineRule="exact"/>
        <w:rPr>
          <w:sz w:val="20"/>
          <w:szCs w:val="20"/>
          <w:color w:val="auto"/>
        </w:rPr>
      </w:pPr>
    </w:p>
    <w:p>
      <w:pPr>
        <w:ind w:right="300" w:firstLine="518"/>
        <w:spacing w:after="0" w:line="277" w:lineRule="auto"/>
        <w:rPr>
          <w:sz w:val="20"/>
          <w:szCs w:val="20"/>
          <w:color w:val="auto"/>
        </w:rPr>
      </w:pPr>
      <w:r>
        <w:rPr>
          <w:rFonts w:ascii="Arial" w:cs="Arial" w:eastAsia="Arial" w:hAnsi="Arial"/>
          <w:sz w:val="18"/>
          <w:szCs w:val="18"/>
          <w:color w:val="auto"/>
        </w:rPr>
        <w:t>Refer to Note 8, “Derivative Instruments and Hedging Activities,” for further discussion regarding the fair value of the Company’s interest rate cap contracts.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Assets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fair values of the Company’s financial assets and the hierarchy of the level of inputs as of February 3, 2018 and January 28, 2017 are summarized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below:</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i w:val="1"/>
                <w:iCs w:val="1"/>
                <w:color w:val="auto"/>
                <w:w w:val="89"/>
              </w:rPr>
              <w:t>(in thousands)</w:t>
            </w: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440" w:type="dxa"/>
            <w:vAlign w:val="bottom"/>
            <w:tcBorders>
              <w:bottom w:val="single" w:sz="8" w:color="auto"/>
            </w:tcBorders>
            <w:gridSpan w:val="8"/>
          </w:tcPr>
          <w:p>
            <w:pPr>
              <w:jc w:val="center"/>
              <w:spacing w:after="0" w:line="155" w:lineRule="exact"/>
              <w:rPr>
                <w:sz w:val="20"/>
                <w:szCs w:val="20"/>
                <w:color w:val="auto"/>
              </w:rPr>
            </w:pPr>
            <w:r>
              <w:rPr>
                <w:rFonts w:ascii="Arial" w:cs="Arial" w:eastAsia="Arial" w:hAnsi="Arial"/>
                <w:sz w:val="14"/>
                <w:szCs w:val="14"/>
                <w:b w:val="1"/>
                <w:bCs w:val="1"/>
                <w:color w:val="auto"/>
                <w:w w:val="93"/>
              </w:rPr>
              <w:t>Fair Value Measurements at</w:t>
            </w: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ind w:left="120"/>
              <w:spacing w:after="0" w:line="147" w:lineRule="exact"/>
              <w:rPr>
                <w:sz w:val="20"/>
                <w:szCs w:val="20"/>
                <w:color w:val="auto"/>
              </w:rPr>
            </w:pPr>
            <w:r>
              <w:rPr>
                <w:rFonts w:ascii="Arial" w:cs="Arial" w:eastAsia="Arial" w:hAnsi="Arial"/>
                <w:sz w:val="14"/>
                <w:szCs w:val="14"/>
                <w:b w:val="1"/>
                <w:bCs w:val="1"/>
                <w:color w:val="auto"/>
              </w:rPr>
              <w:t>February 3,</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ind w:left="100"/>
              <w:spacing w:after="0" w:line="147" w:lineRule="exact"/>
              <w:rPr>
                <w:sz w:val="20"/>
                <w:szCs w:val="20"/>
                <w:color w:val="auto"/>
              </w:rPr>
            </w:pPr>
            <w:r>
              <w:rPr>
                <w:rFonts w:ascii="Arial" w:cs="Arial" w:eastAsia="Arial" w:hAnsi="Arial"/>
                <w:sz w:val="14"/>
                <w:szCs w:val="14"/>
                <w:b w:val="1"/>
                <w:bCs w:val="1"/>
                <w:color w:val="auto"/>
              </w:rPr>
              <w:t>January 28,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1020" w:type="dxa"/>
            <w:vAlign w:val="bottom"/>
            <w:tcBorders>
              <w:bottom w:val="single" w:sz="8" w:color="CFF0FC"/>
            </w:tcBorders>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auto"/>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Level 1</w:t>
            </w: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800" w:type="dxa"/>
            <w:vAlign w:val="bottom"/>
          </w:tcPr>
          <w:p>
            <w:pPr>
              <w:ind w:left="240"/>
              <w:spacing w:after="0"/>
              <w:rPr>
                <w:sz w:val="20"/>
                <w:szCs w:val="20"/>
                <w:color w:val="auto"/>
              </w:rPr>
            </w:pPr>
            <w:r>
              <w:rPr>
                <w:rFonts w:ascii="Arial" w:cs="Arial" w:eastAsia="Arial" w:hAnsi="Arial"/>
                <w:sz w:val="18"/>
                <w:szCs w:val="18"/>
                <w:color w:val="auto"/>
              </w:rPr>
              <w:t>Cash equivalents (including restricted cash)</w:t>
            </w: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620"/>
              <w:spacing w:after="0"/>
              <w:rPr>
                <w:sz w:val="20"/>
                <w:szCs w:val="20"/>
                <w:color w:val="auto"/>
              </w:rPr>
            </w:pPr>
            <w:r>
              <w:rPr>
                <w:rFonts w:ascii="Arial" w:cs="Arial" w:eastAsia="Arial" w:hAnsi="Arial"/>
                <w:sz w:val="18"/>
                <w:szCs w:val="18"/>
                <w:color w:val="auto"/>
                <w:w w:val="90"/>
              </w:rPr>
              <w:t>28,283</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1100" w:type="dxa"/>
            <w:vAlign w:val="bottom"/>
            <w:gridSpan w:val="4"/>
          </w:tcPr>
          <w:p>
            <w:pPr>
              <w:jc w:val="right"/>
              <w:spacing w:after="0"/>
              <w:rPr>
                <w:sz w:val="20"/>
                <w:szCs w:val="20"/>
                <w:color w:val="auto"/>
              </w:rPr>
            </w:pPr>
            <w:r>
              <w:rPr>
                <w:rFonts w:ascii="Arial" w:cs="Arial" w:eastAsia="Arial" w:hAnsi="Arial"/>
                <w:sz w:val="18"/>
                <w:szCs w:val="18"/>
                <w:color w:val="auto"/>
              </w:rPr>
              <w:t>28,167</w:t>
            </w: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0"/>
        </w:trPr>
        <w:tc>
          <w:tcPr>
            <w:tcW w:w="5960" w:type="dxa"/>
            <w:vAlign w:val="bottom"/>
            <w:gridSpan w:val="3"/>
          </w:tcPr>
          <w:p>
            <w:pPr>
              <w:spacing w:after="0"/>
              <w:rPr>
                <w:sz w:val="20"/>
                <w:szCs w:val="20"/>
                <w:color w:val="auto"/>
              </w:rPr>
            </w:pPr>
            <w:r>
              <w:rPr>
                <w:rFonts w:ascii="Arial" w:cs="Arial" w:eastAsia="Arial" w:hAnsi="Arial"/>
                <w:sz w:val="18"/>
                <w:szCs w:val="18"/>
                <w:i w:val="1"/>
                <w:iCs w:val="1"/>
                <w:color w:val="auto"/>
              </w:rPr>
              <w:t>Financial Liabilities</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80" w:type="dxa"/>
            <w:vAlign w:val="bottom"/>
          </w:tcPr>
          <w:p>
            <w:pPr>
              <w:spacing w:after="0"/>
              <w:rPr>
                <w:sz w:val="24"/>
                <w:szCs w:val="24"/>
                <w:color w:val="auto"/>
              </w:rPr>
            </w:pPr>
          </w:p>
        </w:tc>
        <w:tc>
          <w:tcPr>
            <w:tcW w:w="5720" w:type="dxa"/>
            <w:vAlign w:val="bottom"/>
            <w:gridSpan w:val="3"/>
          </w:tcPr>
          <w:p>
            <w:pPr>
              <w:jc w:val="right"/>
              <w:spacing w:after="0"/>
              <w:rPr>
                <w:sz w:val="20"/>
                <w:szCs w:val="20"/>
                <w:color w:val="auto"/>
              </w:rPr>
            </w:pPr>
            <w:r>
              <w:rPr>
                <w:rFonts w:ascii="Arial" w:cs="Arial" w:eastAsia="Arial" w:hAnsi="Arial"/>
                <w:sz w:val="18"/>
                <w:szCs w:val="18"/>
                <w:color w:val="auto"/>
                <w:w w:val="94"/>
              </w:rPr>
              <w:t>The fair values of the Company’s financial liabilities are summarized below:</w:t>
            </w: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6"/>
          </w:tcPr>
          <w:p>
            <w:pPr>
              <w:ind w:left="600"/>
              <w:spacing w:after="0"/>
              <w:rPr>
                <w:sz w:val="20"/>
                <w:szCs w:val="20"/>
                <w:color w:val="auto"/>
              </w:rPr>
            </w:pPr>
            <w:r>
              <w:rPr>
                <w:rFonts w:ascii="Arial" w:cs="Arial" w:eastAsia="Arial" w:hAnsi="Arial"/>
                <w:sz w:val="14"/>
                <w:szCs w:val="14"/>
                <w:b w:val="1"/>
                <w:bCs w:val="1"/>
                <w:i w:val="1"/>
                <w:iCs w:val="1"/>
                <w:color w:val="auto"/>
                <w:w w:val="93"/>
              </w:rPr>
              <w:t>(in thousands)</w:t>
            </w: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3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20" w:type="dxa"/>
            <w:vAlign w:val="bottom"/>
            <w:gridSpan w:val="6"/>
          </w:tcPr>
          <w:p>
            <w:pPr>
              <w:ind w:left="600"/>
              <w:spacing w:after="0" w:line="155" w:lineRule="exact"/>
              <w:rPr>
                <w:sz w:val="20"/>
                <w:szCs w:val="20"/>
                <w:color w:val="auto"/>
              </w:rPr>
            </w:pPr>
            <w:r>
              <w:rPr>
                <w:rFonts w:ascii="Arial" w:cs="Arial" w:eastAsia="Arial" w:hAnsi="Arial"/>
                <w:sz w:val="14"/>
                <w:szCs w:val="14"/>
                <w:b w:val="1"/>
                <w:bCs w:val="1"/>
                <w:color w:val="auto"/>
              </w:rPr>
              <w:t>February 3, 2018</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0" w:type="dxa"/>
            <w:vAlign w:val="bottom"/>
            <w:gridSpan w:val="6"/>
          </w:tcPr>
          <w:p>
            <w:pPr>
              <w:jc w:val="right"/>
              <w:ind w:right="677"/>
              <w:spacing w:after="0" w:line="155" w:lineRule="exact"/>
              <w:rPr>
                <w:sz w:val="20"/>
                <w:szCs w:val="20"/>
                <w:color w:val="auto"/>
              </w:rPr>
            </w:pPr>
            <w:r>
              <w:rPr>
                <w:rFonts w:ascii="Arial" w:cs="Arial" w:eastAsia="Arial" w:hAnsi="Arial"/>
                <w:sz w:val="14"/>
                <w:szCs w:val="14"/>
                <w:b w:val="1"/>
                <w:bCs w:val="1"/>
                <w:color w:val="auto"/>
              </w:rPr>
              <w:t>January 28, 2017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2"/>
          </w:tcPr>
          <w:p>
            <w:pPr>
              <w:jc w:val="center"/>
              <w:ind w:right="400"/>
              <w:spacing w:after="0" w:line="133" w:lineRule="exact"/>
              <w:rPr>
                <w:sz w:val="20"/>
                <w:szCs w:val="20"/>
                <w:color w:val="auto"/>
              </w:rPr>
            </w:pPr>
            <w:r>
              <w:rPr>
                <w:rFonts w:ascii="Arial" w:cs="Arial" w:eastAsia="Arial" w:hAnsi="Arial"/>
                <w:sz w:val="14"/>
                <w:szCs w:val="14"/>
                <w:b w:val="1"/>
                <w:bCs w:val="1"/>
                <w:color w:val="auto"/>
                <w:w w:val="97"/>
              </w:rPr>
              <w:t>Carrying</w:t>
            </w: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center"/>
              <w:ind w:right="181"/>
              <w:spacing w:after="0" w:line="133" w:lineRule="exact"/>
              <w:rPr>
                <w:sz w:val="20"/>
                <w:szCs w:val="20"/>
                <w:color w:val="auto"/>
              </w:rPr>
            </w:pPr>
            <w:r>
              <w:rPr>
                <w:rFonts w:ascii="Arial" w:cs="Arial" w:eastAsia="Arial" w:hAnsi="Arial"/>
                <w:sz w:val="14"/>
                <w:szCs w:val="14"/>
                <w:b w:val="1"/>
                <w:bCs w:val="1"/>
                <w:color w:val="auto"/>
              </w:rPr>
              <w:t>Fair</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3"/>
          </w:tcPr>
          <w:p>
            <w:pPr>
              <w:jc w:val="center"/>
              <w:ind w:right="340"/>
              <w:spacing w:after="0" w:line="133" w:lineRule="exact"/>
              <w:rPr>
                <w:sz w:val="20"/>
                <w:szCs w:val="20"/>
                <w:color w:val="auto"/>
              </w:rPr>
            </w:pPr>
            <w:r>
              <w:rPr>
                <w:rFonts w:ascii="Arial" w:cs="Arial" w:eastAsia="Arial" w:hAnsi="Arial"/>
                <w:sz w:val="14"/>
                <w:szCs w:val="14"/>
                <w:b w:val="1"/>
                <w:bCs w:val="1"/>
                <w:color w:val="auto"/>
              </w:rPr>
              <w:t>Carrying</w:t>
            </w:r>
          </w:p>
        </w:tc>
        <w:tc>
          <w:tcPr>
            <w:tcW w:w="1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center"/>
              <w:ind w:right="77"/>
              <w:spacing w:after="0" w:line="133" w:lineRule="exact"/>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Amount (a)</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5"/>
              </w:rPr>
              <w:t>Value (a)</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4"/>
              </w:rPr>
              <w:t>Amount (a)</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Value (a)</w:t>
            </w:r>
          </w:p>
        </w:tc>
        <w:tc>
          <w:tcPr>
            <w:tcW w:w="0" w:type="dxa"/>
            <w:vAlign w:val="bottom"/>
          </w:tcPr>
          <w:p>
            <w:pPr>
              <w:spacing w:after="0"/>
              <w:rPr>
                <w:sz w:val="1"/>
                <w:szCs w:val="1"/>
                <w:color w:val="auto"/>
              </w:rPr>
            </w:pPr>
          </w:p>
        </w:tc>
      </w:tr>
      <w:tr>
        <w:trPr>
          <w:trHeight w:val="209"/>
        </w:trPr>
        <w:tc>
          <w:tcPr>
            <w:tcW w:w="596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w w:val="96"/>
              </w:rPr>
              <w:t>$1,200,000 senior secured term loan facility (Term B-5 Loans), LIBOR (with a</w:t>
            </w:r>
          </w:p>
        </w:tc>
        <w:tc>
          <w:tcPr>
            <w:tcW w:w="14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floor of 0.75%) plus 2.50%, matures on November 17, 2024</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1,108,913</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1,108,913</w:t>
            </w:r>
          </w:p>
        </w:tc>
        <w:tc>
          <w:tcPr>
            <w:tcW w:w="220" w:type="dxa"/>
            <w:vAlign w:val="bottom"/>
            <w:shd w:val="clear" w:color="auto" w:fill="CFF0FC"/>
          </w:tcPr>
          <w:p>
            <w:pPr>
              <w:spacing w:after="0"/>
              <w:rPr>
                <w:sz w:val="20"/>
                <w:szCs w:val="20"/>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5960" w:type="dxa"/>
            <w:vAlign w:val="bottom"/>
            <w:gridSpan w:val="3"/>
          </w:tcPr>
          <w:p>
            <w:pPr>
              <w:spacing w:after="0"/>
              <w:rPr>
                <w:sz w:val="20"/>
                <w:szCs w:val="20"/>
                <w:color w:val="auto"/>
              </w:rPr>
            </w:pPr>
            <w:r>
              <w:rPr>
                <w:rFonts w:ascii="Arial" w:cs="Arial" w:eastAsia="Arial" w:hAnsi="Arial"/>
                <w:sz w:val="18"/>
                <w:szCs w:val="18"/>
                <w:color w:val="auto"/>
                <w:w w:val="96"/>
              </w:rPr>
              <w:t>$1,200,000 senior secured term loan facility (Term B-4 Loans), LIBOR (with a</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60" w:type="dxa"/>
            <w:vAlign w:val="bottom"/>
            <w:gridSpan w:val="3"/>
          </w:tcPr>
          <w:p>
            <w:pPr>
              <w:spacing w:after="0"/>
              <w:rPr>
                <w:sz w:val="20"/>
                <w:szCs w:val="20"/>
                <w:color w:val="auto"/>
              </w:rPr>
            </w:pPr>
            <w:r>
              <w:rPr>
                <w:rFonts w:ascii="Arial" w:cs="Arial" w:eastAsia="Arial" w:hAnsi="Arial"/>
                <w:sz w:val="18"/>
                <w:szCs w:val="18"/>
                <w:color w:val="auto"/>
              </w:rPr>
              <w:t>floor of 0.75%) plus 2.75%, matures on August 13, 2021</w:t>
            </w:r>
          </w:p>
        </w:tc>
        <w:tc>
          <w:tcPr>
            <w:tcW w:w="14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4"/>
              </w:rPr>
              <w:t>1,112,044</w:t>
            </w:r>
          </w:p>
        </w:tc>
        <w:tc>
          <w:tcPr>
            <w:tcW w:w="120" w:type="dxa"/>
            <w:vAlign w:val="bottom"/>
          </w:tcPr>
          <w:p>
            <w:pPr>
              <w:spacing w:after="0"/>
              <w:rPr>
                <w:sz w:val="20"/>
                <w:szCs w:val="20"/>
                <w:color w:val="auto"/>
              </w:rPr>
            </w:pPr>
          </w:p>
        </w:tc>
        <w:tc>
          <w:tcPr>
            <w:tcW w:w="2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1,116,678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960" w:type="dxa"/>
            <w:vAlign w:val="bottom"/>
            <w:tcBorders>
              <w:top w:val="single" w:sz="8" w:color="CFF0FC"/>
              <w:bottom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Total debt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1,108,913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1,108,913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bottom w:val="single" w:sz="8" w:color="auto"/>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1,112,044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1,116,678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 w:type="dxa"/>
            <w:vAlign w:val="bottom"/>
            <w:vMerge w:val="restart"/>
          </w:tcPr>
          <w:p>
            <w:pPr>
              <w:ind w:left="60"/>
              <w:spacing w:after="0"/>
              <w:rPr>
                <w:sz w:val="20"/>
                <w:szCs w:val="20"/>
                <w:color w:val="auto"/>
              </w:rPr>
            </w:pPr>
            <w:r>
              <w:rPr>
                <w:rFonts w:ascii="Arial" w:cs="Arial" w:eastAsia="Arial" w:hAnsi="Arial"/>
                <w:sz w:val="18"/>
                <w:szCs w:val="18"/>
                <w:color w:val="auto"/>
              </w:rPr>
              <w:t>(a)</w:t>
            </w:r>
          </w:p>
        </w:tc>
        <w:tc>
          <w:tcPr>
            <w:tcW w:w="5580" w:type="dxa"/>
            <w:vAlign w:val="bottom"/>
            <w:gridSpan w:val="2"/>
            <w:vMerge w:val="restart"/>
          </w:tcPr>
          <w:p>
            <w:pPr>
              <w:ind w:left="520"/>
              <w:spacing w:after="0"/>
              <w:rPr>
                <w:sz w:val="20"/>
                <w:szCs w:val="20"/>
                <w:color w:val="auto"/>
              </w:rPr>
            </w:pPr>
            <w:r>
              <w:rPr>
                <w:rFonts w:ascii="Arial" w:cs="Arial" w:eastAsia="Arial" w:hAnsi="Arial"/>
                <w:sz w:val="18"/>
                <w:szCs w:val="18"/>
                <w:color w:val="auto"/>
              </w:rPr>
              <w:t>Capital lease obligations are excluded from the table above.</w:t>
            </w: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80" w:type="dxa"/>
            <w:vAlign w:val="bottom"/>
            <w:vMerge w:val="continue"/>
          </w:tcPr>
          <w:p>
            <w:pPr>
              <w:spacing w:after="0"/>
              <w:rPr>
                <w:sz w:val="24"/>
                <w:szCs w:val="24"/>
                <w:color w:val="auto"/>
              </w:rPr>
            </w:pPr>
          </w:p>
        </w:tc>
        <w:tc>
          <w:tcPr>
            <w:tcW w:w="558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The fair values presented herein are based on pertinent information available to management as of the respective year end dates. The estimated fair values of the Company’s debt are classified as Level 2 in the fair value hierarchy. Although management is not aware of any factors that could significantly affect the estimated fair value amounts, such amounts have not been comprehensively revalued for purposes of these financial statements since that date, and current estimates of fair value may differ from amounts presented herein.</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color w:val="auto"/>
        </w:rPr>
        <w:t>17.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w:t>
      </w:r>
    </w:p>
    <w:p>
      <w:pPr>
        <w:spacing w:after="0" w:line="117" w:lineRule="exact"/>
        <w:rPr>
          <w:sz w:val="20"/>
          <w:szCs w:val="20"/>
          <w:color w:val="auto"/>
        </w:rPr>
      </w:pPr>
    </w:p>
    <w:p>
      <w:pPr>
        <w:ind w:firstLine="518"/>
        <w:spacing w:after="0" w:line="287" w:lineRule="auto"/>
        <w:rPr>
          <w:sz w:val="20"/>
          <w:szCs w:val="20"/>
          <w:color w:val="auto"/>
        </w:rPr>
      </w:pPr>
      <w:r>
        <w:rPr>
          <w:rFonts w:ascii="Arial" w:cs="Arial" w:eastAsia="Arial" w:hAnsi="Arial"/>
          <w:sz w:val="16"/>
          <w:szCs w:val="16"/>
          <w:color w:val="auto"/>
        </w:rPr>
        <w:t>The Company establishes accruals relating to legal claims in connection with litigation to which the Company is party from time to time in the ordinary course of business. Like many retailers, the Company has been named in class or collective actions on behalf of various groups alleging violations of federal and state wage and hour and other labor statutes, and alleged violation of state consumer and/or privacy protection statutes. In the normal course of business, we are also party to various other lawsuits and regulatory proceedings including, among others, commercial, product, product safety, employee, customer, intellectual property and other claims. Actions against us are in various procedural stages. Many of these proceedings raise factual and legal issues and are subject to uncertainties. To determine the likelihood of a loss and/or the measurement of any loss can be complex. Consequently, we are unable to estimate the range of reasonably possible loss in excess of amounts accrued. The Company’s assessments are based on estimates and assumptions that have been deemed reasonable by management, but the assessment process relies heavily on estimates and assumptions that may prove to be incomplete or inaccurate, and unanticipated events and circumstances may occur that might cause us to change those estimates and assumptions. While no assurance can be given as to the ultimate outcome of these matters, the Company believes that the final resolution of these actions will not have a material adverse effect on the Company’s results of operations, financial position, liquidity or capital resources.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Letters of Credit</w:t>
      </w:r>
    </w:p>
    <w:p>
      <w:pPr>
        <w:spacing w:after="0" w:line="117" w:lineRule="exact"/>
        <w:rPr>
          <w:sz w:val="20"/>
          <w:szCs w:val="20"/>
          <w:color w:val="auto"/>
        </w:rPr>
      </w:pPr>
    </w:p>
    <w:p>
      <w:pPr>
        <w:ind w:right="620" w:firstLine="518"/>
        <w:spacing w:after="0" w:line="277" w:lineRule="auto"/>
        <w:rPr>
          <w:sz w:val="20"/>
          <w:szCs w:val="20"/>
          <w:color w:val="auto"/>
        </w:rPr>
      </w:pPr>
      <w:r>
        <w:rPr>
          <w:rFonts w:ascii="Arial" w:cs="Arial" w:eastAsia="Arial" w:hAnsi="Arial"/>
          <w:sz w:val="18"/>
          <w:szCs w:val="18"/>
          <w:color w:val="auto"/>
        </w:rPr>
        <w:t>The Company had irrevocable letters of credit in the amounts of $60.0 million and $53.1 million as of February 3, 2018 and January 28, 2017, respectively.</w:t>
      </w:r>
    </w:p>
    <w:p>
      <w:pPr>
        <w:spacing w:after="0" w:line="170"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Letters of credit outstanding as of February 3, 2018 and January 28, 2017 amounted to $51.9 million and $44.2 million, respectively, guaranteeing performance under various lease agreements, insurance contracts, and utility agreements. The Company also had outstanding letters of credit arrangements in the aggregate amount of $8.1 million and $8.9 million at February 3, 2018 and January 28, 2017, respectively, related to certain merchandising agreements. Based on the terms of the Amended ABL Credit Agreement relating to the ABL Line of Credit, the Company had available letters of credit of $455.8 million and $427.8 million as of February 3, 2018 and January 28, 2017, respectively.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 Purchase Commitments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had $854.4 million of purchase commitments related to goods that were not received as of February 3, 2018.</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Death Benefits</w:t>
      </w:r>
    </w:p>
    <w:p>
      <w:pPr>
        <w:spacing w:after="0" w:line="117" w:lineRule="exact"/>
        <w:rPr>
          <w:sz w:val="20"/>
          <w:szCs w:val="20"/>
          <w:color w:val="auto"/>
        </w:rPr>
      </w:pPr>
    </w:p>
    <w:p>
      <w:pPr>
        <w:ind w:right="400" w:firstLine="518"/>
        <w:spacing w:after="0" w:line="277" w:lineRule="auto"/>
        <w:rPr>
          <w:sz w:val="20"/>
          <w:szCs w:val="20"/>
          <w:color w:val="auto"/>
        </w:rPr>
      </w:pPr>
      <w:r>
        <w:rPr>
          <w:rFonts w:ascii="Arial" w:cs="Arial" w:eastAsia="Arial" w:hAnsi="Arial"/>
          <w:sz w:val="18"/>
          <w:szCs w:val="18"/>
          <w:color w:val="auto"/>
        </w:rPr>
        <w:t>In November 2005, the Company entered into agreements with three of the Company’s former executives whereby, upon each of their deaths, the Company will pay $1.0 million to each respective designated beneficiary.</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Related Party Transactions</w:t>
      </w:r>
    </w:p>
    <w:p>
      <w:pPr>
        <w:spacing w:after="0" w:line="229" w:lineRule="exact"/>
        <w:rPr>
          <w:sz w:val="20"/>
          <w:szCs w:val="20"/>
          <w:color w:val="auto"/>
        </w:rPr>
      </w:pPr>
    </w:p>
    <w:p>
      <w:pPr>
        <w:ind w:right="200" w:firstLine="518"/>
        <w:spacing w:after="0" w:line="312" w:lineRule="auto"/>
        <w:rPr>
          <w:sz w:val="20"/>
          <w:szCs w:val="20"/>
          <w:color w:val="auto"/>
        </w:rPr>
      </w:pPr>
      <w:r>
        <w:rPr>
          <w:rFonts w:ascii="Arial" w:cs="Arial" w:eastAsia="Arial" w:hAnsi="Arial"/>
          <w:sz w:val="16"/>
          <w:szCs w:val="16"/>
          <w:color w:val="auto"/>
        </w:rPr>
        <w:t>The brother-in-law of one of the Company’s Executive Vice Presidents is an independent sales representative of one of the Company’s suppliers of merchandise inventory. This relationship predated the commencement of the Executive Vice President’s employment with the Company. The Company has determined that the dollar amount of purchases through such supplier represents an insignificant amount of its inventory purchases.</w:t>
      </w: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40" w:right="25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color w:val="auto"/>
        </w:rPr>
        <w:t>19. Quarterly Results (Unaudited)</w:t>
      </w:r>
    </w:p>
    <w:p>
      <w:pPr>
        <w:spacing w:after="0" w:line="121" w:lineRule="exact"/>
        <w:rPr>
          <w:sz w:val="20"/>
          <w:szCs w:val="20"/>
          <w:color w:val="auto"/>
        </w:rPr>
      </w:pPr>
    </w:p>
    <w:p>
      <w:pPr>
        <w:jc w:val="both"/>
        <w:ind w:right="80" w:firstLine="518"/>
        <w:spacing w:after="0" w:line="264" w:lineRule="auto"/>
        <w:rPr>
          <w:sz w:val="20"/>
          <w:szCs w:val="20"/>
          <w:color w:val="auto"/>
        </w:rPr>
      </w:pPr>
      <w:r>
        <w:rPr>
          <w:rFonts w:ascii="Arial" w:cs="Arial" w:eastAsia="Arial" w:hAnsi="Arial"/>
          <w:sz w:val="18"/>
          <w:szCs w:val="18"/>
          <w:color w:val="auto"/>
        </w:rPr>
        <w:t>In the opinion of the Company’s management, the accompanying unaudited interim Consolidated Financial Statements contain all adjustments which are necessary for the fair presentation of the quarters presented. The operating results for any quarter are not necessarily indicative of the results of any future quarter.</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480" w:type="dxa"/>
            <w:vAlign w:val="bottom"/>
            <w:gridSpan w:val="3"/>
            <w:vMerge w:val="restart"/>
          </w:tcPr>
          <w:p>
            <w:pPr>
              <w:ind w:left="580"/>
              <w:spacing w:after="0"/>
              <w:rPr>
                <w:sz w:val="20"/>
                <w:szCs w:val="20"/>
                <w:color w:val="auto"/>
              </w:rPr>
            </w:pPr>
            <w:r>
              <w:rPr>
                <w:rFonts w:ascii="Arial" w:cs="Arial" w:eastAsia="Arial" w:hAnsi="Arial"/>
                <w:sz w:val="18"/>
                <w:szCs w:val="18"/>
                <w:b w:val="1"/>
                <w:bCs w:val="1"/>
                <w:color w:val="auto"/>
              </w:rPr>
              <w:t>Year ended February 3, 2018:</w:t>
            </w:r>
          </w:p>
        </w:tc>
        <w:tc>
          <w:tcPr>
            <w:tcW w:w="14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4"/>
          </w:tcPr>
          <w:p>
            <w:pPr>
              <w:jc w:val="right"/>
              <w:ind w:right="95"/>
              <w:spacing w:after="0"/>
              <w:rPr>
                <w:sz w:val="20"/>
                <w:szCs w:val="20"/>
                <w:color w:val="auto"/>
              </w:rPr>
            </w:pPr>
            <w:r>
              <w:rPr>
                <w:rFonts w:ascii="Arial" w:cs="Arial" w:eastAsia="Arial" w:hAnsi="Arial"/>
                <w:sz w:val="14"/>
                <w:szCs w:val="14"/>
                <w:b w:val="1"/>
                <w:bCs w:val="1"/>
                <w:i w:val="1"/>
                <w:iCs w:val="1"/>
                <w:color w:val="auto"/>
                <w:w w:val="88"/>
              </w:rPr>
              <w:t>(in thousands, except share data)</w:t>
            </w: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480" w:type="dxa"/>
            <w:vAlign w:val="bottom"/>
            <w:gridSpan w:val="3"/>
            <w:vMerge w:val="continue"/>
          </w:tcPr>
          <w:p>
            <w:pPr>
              <w:spacing w:after="0"/>
              <w:rPr>
                <w:sz w:val="19"/>
                <w:szCs w:val="19"/>
                <w:color w:val="auto"/>
              </w:rPr>
            </w:pPr>
          </w:p>
        </w:tc>
        <w:tc>
          <w:tcPr>
            <w:tcW w:w="14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gridSpan w:val="4"/>
          </w:tcPr>
          <w:p>
            <w:pPr>
              <w:jc w:val="right"/>
              <w:ind w:right="595"/>
              <w:spacing w:after="0"/>
              <w:rPr>
                <w:sz w:val="20"/>
                <w:szCs w:val="20"/>
                <w:color w:val="auto"/>
              </w:rPr>
            </w:pPr>
            <w:r>
              <w:rPr>
                <w:rFonts w:ascii="Arial" w:cs="Arial" w:eastAsia="Arial" w:hAnsi="Arial"/>
                <w:sz w:val="14"/>
                <w:szCs w:val="14"/>
                <w:b w:val="1"/>
                <w:bCs w:val="1"/>
                <w:color w:val="auto"/>
              </w:rPr>
              <w:t>Quarter Ended</w:t>
            </w: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58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jc w:val="center"/>
              <w:ind w:right="95"/>
              <w:spacing w:after="0" w:line="133" w:lineRule="exact"/>
              <w:rPr>
                <w:sz w:val="20"/>
                <w:szCs w:val="20"/>
                <w:color w:val="auto"/>
              </w:rPr>
            </w:pPr>
            <w:r>
              <w:rPr>
                <w:rFonts w:ascii="Arial" w:cs="Arial" w:eastAsia="Arial" w:hAnsi="Arial"/>
                <w:sz w:val="14"/>
                <w:szCs w:val="14"/>
                <w:b w:val="1"/>
                <w:bCs w:val="1"/>
                <w:color w:val="auto"/>
                <w:w w:val="97"/>
              </w:rPr>
              <w:t>April 29,</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center"/>
              <w:ind w:right="78"/>
              <w:spacing w:after="0" w:line="133" w:lineRule="exact"/>
              <w:rPr>
                <w:sz w:val="20"/>
                <w:szCs w:val="20"/>
                <w:color w:val="auto"/>
              </w:rPr>
            </w:pPr>
            <w:r>
              <w:rPr>
                <w:rFonts w:ascii="Arial" w:cs="Arial" w:eastAsia="Arial" w:hAnsi="Arial"/>
                <w:sz w:val="14"/>
                <w:szCs w:val="14"/>
                <w:b w:val="1"/>
                <w:bCs w:val="1"/>
                <w:color w:val="auto"/>
                <w:w w:val="93"/>
              </w:rPr>
              <w:t>July 29,</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right"/>
              <w:ind w:right="95"/>
              <w:spacing w:after="0" w:line="133" w:lineRule="exact"/>
              <w:rPr>
                <w:sz w:val="20"/>
                <w:szCs w:val="20"/>
                <w:color w:val="auto"/>
              </w:rPr>
            </w:pPr>
            <w:r>
              <w:rPr>
                <w:rFonts w:ascii="Arial" w:cs="Arial" w:eastAsia="Arial" w:hAnsi="Arial"/>
                <w:sz w:val="14"/>
                <w:szCs w:val="14"/>
                <w:b w:val="1"/>
                <w:bCs w:val="1"/>
                <w:color w:val="auto"/>
                <w:w w:val="93"/>
              </w:rPr>
              <w:t>October 28,</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right"/>
              <w:ind w:right="95"/>
              <w:spacing w:after="0" w:line="133" w:lineRule="exact"/>
              <w:rPr>
                <w:sz w:val="20"/>
                <w:szCs w:val="20"/>
                <w:color w:val="auto"/>
              </w:rPr>
            </w:pPr>
            <w:r>
              <w:rPr>
                <w:rFonts w:ascii="Arial" w:cs="Arial" w:eastAsia="Arial" w:hAnsi="Arial"/>
                <w:sz w:val="14"/>
                <w:szCs w:val="14"/>
                <w:b w:val="1"/>
                <w:bCs w:val="1"/>
                <w:color w:val="auto"/>
                <w:w w:val="97"/>
              </w:rPr>
              <w:t>February 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1720" w:type="dxa"/>
            <w:vAlign w:val="bottom"/>
            <w:tcBorders>
              <w:bottom w:val="single" w:sz="8" w:color="CFF0FC"/>
            </w:tcBorders>
          </w:tcPr>
          <w:p>
            <w:pPr>
              <w:spacing w:after="0"/>
              <w:rPr>
                <w:sz w:val="14"/>
                <w:szCs w:val="14"/>
                <w:color w:val="auto"/>
              </w:rPr>
            </w:pPr>
          </w:p>
        </w:tc>
        <w:tc>
          <w:tcPr>
            <w:tcW w:w="2180" w:type="dxa"/>
            <w:vAlign w:val="bottom"/>
            <w:tcBorders>
              <w:bottom w:val="single" w:sz="8" w:color="CFF0FC"/>
            </w:tcBorders>
          </w:tcPr>
          <w:p>
            <w:pPr>
              <w:spacing w:after="0"/>
              <w:rPr>
                <w:sz w:val="14"/>
                <w:szCs w:val="14"/>
                <w:color w:val="auto"/>
              </w:rPr>
            </w:pPr>
          </w:p>
        </w:tc>
        <w:tc>
          <w:tcPr>
            <w:tcW w:w="144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6"/>
              </w:rPr>
              <w:t>2017</w:t>
            </w:r>
          </w:p>
        </w:tc>
        <w:tc>
          <w:tcPr>
            <w:tcW w:w="2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89"/>
              </w:rPr>
              <w:t>2017</w:t>
            </w:r>
          </w:p>
        </w:tc>
        <w:tc>
          <w:tcPr>
            <w:tcW w:w="2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2018 (1)</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9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sales</w:t>
            </w:r>
          </w:p>
        </w:tc>
        <w:tc>
          <w:tcPr>
            <w:tcW w:w="144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1,346,546</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1,363,224</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1,438,167</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1,936,829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Gross margin(2)(3)</w:t>
            </w:r>
          </w:p>
        </w:tc>
        <w:tc>
          <w:tcPr>
            <w:tcW w:w="160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550,150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555,098</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606,439</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813,921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9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income (4)</w:t>
            </w:r>
          </w:p>
        </w:tc>
        <w:tc>
          <w:tcPr>
            <w:tcW w:w="160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52,368</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46,902</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44,879</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240,703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Net income per share—basic(5):</w:t>
            </w:r>
          </w:p>
        </w:tc>
        <w:tc>
          <w:tcPr>
            <w:tcW w:w="1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9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Common stockholders</w:t>
            </w:r>
          </w:p>
        </w:tc>
        <w:tc>
          <w:tcPr>
            <w:tcW w:w="160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0.76</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0.68</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0.66</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Net income per share—diluted(5):</w:t>
            </w:r>
          </w:p>
        </w:tc>
        <w:tc>
          <w:tcPr>
            <w:tcW w:w="1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9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Common stockholders</w:t>
            </w:r>
          </w:p>
        </w:tc>
        <w:tc>
          <w:tcPr>
            <w:tcW w:w="160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0.73</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0.66</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0.65</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46"/>
        </w:trPr>
        <w:tc>
          <w:tcPr>
            <w:tcW w:w="4480" w:type="dxa"/>
            <w:vAlign w:val="bottom"/>
            <w:gridSpan w:val="3"/>
            <w:vMerge w:val="restart"/>
          </w:tcPr>
          <w:p>
            <w:pPr>
              <w:ind w:left="580"/>
              <w:spacing w:after="0"/>
              <w:rPr>
                <w:sz w:val="20"/>
                <w:szCs w:val="20"/>
                <w:color w:val="auto"/>
              </w:rPr>
            </w:pPr>
            <w:r>
              <w:rPr>
                <w:rFonts w:ascii="Arial" w:cs="Arial" w:eastAsia="Arial" w:hAnsi="Arial"/>
                <w:sz w:val="18"/>
                <w:szCs w:val="18"/>
                <w:b w:val="1"/>
                <w:bCs w:val="1"/>
                <w:color w:val="auto"/>
              </w:rPr>
              <w:t>Year ended January 28, 2017:</w:t>
            </w:r>
          </w:p>
        </w:tc>
        <w:tc>
          <w:tcPr>
            <w:tcW w:w="14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4"/>
          </w:tcPr>
          <w:p>
            <w:pPr>
              <w:jc w:val="right"/>
              <w:ind w:right="95"/>
              <w:spacing w:after="0"/>
              <w:rPr>
                <w:sz w:val="20"/>
                <w:szCs w:val="20"/>
                <w:color w:val="auto"/>
              </w:rPr>
            </w:pPr>
            <w:r>
              <w:rPr>
                <w:rFonts w:ascii="Arial" w:cs="Arial" w:eastAsia="Arial" w:hAnsi="Arial"/>
                <w:sz w:val="14"/>
                <w:szCs w:val="14"/>
                <w:b w:val="1"/>
                <w:bCs w:val="1"/>
                <w:i w:val="1"/>
                <w:iCs w:val="1"/>
                <w:color w:val="auto"/>
                <w:w w:val="88"/>
              </w:rPr>
              <w:t>(in thousands, except share data)</w:t>
            </w: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480" w:type="dxa"/>
            <w:vAlign w:val="bottom"/>
            <w:gridSpan w:val="3"/>
            <w:vMerge w:val="continue"/>
          </w:tcPr>
          <w:p>
            <w:pPr>
              <w:spacing w:after="0"/>
              <w:rPr>
                <w:sz w:val="19"/>
                <w:szCs w:val="19"/>
                <w:color w:val="auto"/>
              </w:rPr>
            </w:pPr>
          </w:p>
        </w:tc>
        <w:tc>
          <w:tcPr>
            <w:tcW w:w="14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gridSpan w:val="4"/>
          </w:tcPr>
          <w:p>
            <w:pPr>
              <w:jc w:val="right"/>
              <w:ind w:right="595"/>
              <w:spacing w:after="0"/>
              <w:rPr>
                <w:sz w:val="20"/>
                <w:szCs w:val="20"/>
                <w:color w:val="auto"/>
              </w:rPr>
            </w:pPr>
            <w:r>
              <w:rPr>
                <w:rFonts w:ascii="Arial" w:cs="Arial" w:eastAsia="Arial" w:hAnsi="Arial"/>
                <w:sz w:val="14"/>
                <w:szCs w:val="14"/>
                <w:b w:val="1"/>
                <w:bCs w:val="1"/>
                <w:color w:val="auto"/>
              </w:rPr>
              <w:t>Quarter Ended</w:t>
            </w: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58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jc w:val="center"/>
              <w:ind w:right="95"/>
              <w:spacing w:after="0" w:line="133" w:lineRule="exact"/>
              <w:rPr>
                <w:sz w:val="20"/>
                <w:szCs w:val="20"/>
                <w:color w:val="auto"/>
              </w:rPr>
            </w:pPr>
            <w:r>
              <w:rPr>
                <w:rFonts w:ascii="Arial" w:cs="Arial" w:eastAsia="Arial" w:hAnsi="Arial"/>
                <w:sz w:val="14"/>
                <w:szCs w:val="14"/>
                <w:b w:val="1"/>
                <w:bCs w:val="1"/>
                <w:color w:val="auto"/>
                <w:w w:val="97"/>
              </w:rPr>
              <w:t>April 30,</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center"/>
              <w:ind w:right="78"/>
              <w:spacing w:after="0" w:line="133" w:lineRule="exact"/>
              <w:rPr>
                <w:sz w:val="20"/>
                <w:szCs w:val="20"/>
                <w:color w:val="auto"/>
              </w:rPr>
            </w:pPr>
            <w:r>
              <w:rPr>
                <w:rFonts w:ascii="Arial" w:cs="Arial" w:eastAsia="Arial" w:hAnsi="Arial"/>
                <w:sz w:val="14"/>
                <w:szCs w:val="14"/>
                <w:b w:val="1"/>
                <w:bCs w:val="1"/>
                <w:color w:val="auto"/>
                <w:w w:val="93"/>
              </w:rPr>
              <w:t>July 30,</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right"/>
              <w:ind w:right="95"/>
              <w:spacing w:after="0" w:line="133" w:lineRule="exact"/>
              <w:rPr>
                <w:sz w:val="20"/>
                <w:szCs w:val="20"/>
                <w:color w:val="auto"/>
              </w:rPr>
            </w:pPr>
            <w:r>
              <w:rPr>
                <w:rFonts w:ascii="Arial" w:cs="Arial" w:eastAsia="Arial" w:hAnsi="Arial"/>
                <w:sz w:val="14"/>
                <w:szCs w:val="14"/>
                <w:b w:val="1"/>
                <w:bCs w:val="1"/>
                <w:color w:val="auto"/>
                <w:w w:val="93"/>
              </w:rPr>
              <w:t>October 29,</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right"/>
              <w:ind w:right="95"/>
              <w:spacing w:after="0" w:line="133" w:lineRule="exact"/>
              <w:rPr>
                <w:sz w:val="20"/>
                <w:szCs w:val="20"/>
                <w:color w:val="auto"/>
              </w:rPr>
            </w:pPr>
            <w:r>
              <w:rPr>
                <w:rFonts w:ascii="Arial" w:cs="Arial" w:eastAsia="Arial" w:hAnsi="Arial"/>
                <w:sz w:val="14"/>
                <w:szCs w:val="14"/>
                <w:b w:val="1"/>
                <w:bCs w:val="1"/>
                <w:color w:val="auto"/>
                <w:w w:val="95"/>
              </w:rPr>
              <w:t>January 28,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1720" w:type="dxa"/>
            <w:vAlign w:val="bottom"/>
            <w:tcBorders>
              <w:bottom w:val="single" w:sz="8" w:color="CFF0FC"/>
            </w:tcBorders>
          </w:tcPr>
          <w:p>
            <w:pPr>
              <w:spacing w:after="0"/>
              <w:rPr>
                <w:sz w:val="14"/>
                <w:szCs w:val="14"/>
                <w:color w:val="auto"/>
              </w:rPr>
            </w:pPr>
          </w:p>
        </w:tc>
        <w:tc>
          <w:tcPr>
            <w:tcW w:w="2180" w:type="dxa"/>
            <w:vAlign w:val="bottom"/>
            <w:tcBorders>
              <w:bottom w:val="single" w:sz="8" w:color="CFF0FC"/>
            </w:tcBorders>
          </w:tcPr>
          <w:p>
            <w:pPr>
              <w:spacing w:after="0"/>
              <w:rPr>
                <w:sz w:val="14"/>
                <w:szCs w:val="14"/>
                <w:color w:val="auto"/>
              </w:rPr>
            </w:pPr>
          </w:p>
        </w:tc>
        <w:tc>
          <w:tcPr>
            <w:tcW w:w="144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6"/>
              </w:rPr>
              <w:t>2016</w:t>
            </w:r>
          </w:p>
        </w:tc>
        <w:tc>
          <w:tcPr>
            <w:tcW w:w="2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89"/>
              </w:rPr>
              <w:t>2016</w:t>
            </w:r>
          </w:p>
        </w:tc>
        <w:tc>
          <w:tcPr>
            <w:tcW w:w="2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9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sales</w:t>
            </w:r>
          </w:p>
        </w:tc>
        <w:tc>
          <w:tcPr>
            <w:tcW w:w="144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1,282,670</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1,255,053</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1,342,600</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1,685,715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Gross margin(1)(2)</w:t>
            </w:r>
          </w:p>
        </w:tc>
        <w:tc>
          <w:tcPr>
            <w:tcW w:w="160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513,989</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497,431</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552,742</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704,503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9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income (3)</w:t>
            </w:r>
          </w:p>
        </w:tc>
        <w:tc>
          <w:tcPr>
            <w:tcW w:w="160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37,514</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20,394</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32,404</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125,561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Net income per share—basic(4):</w:t>
            </w:r>
          </w:p>
        </w:tc>
        <w:tc>
          <w:tcPr>
            <w:tcW w:w="1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9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Common stockholders</w:t>
            </w:r>
          </w:p>
        </w:tc>
        <w:tc>
          <w:tcPr>
            <w:tcW w:w="160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0.53</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0.29</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0.46</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Net income per share—diluted(4):</w:t>
            </w:r>
          </w:p>
        </w:tc>
        <w:tc>
          <w:tcPr>
            <w:tcW w:w="1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9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Common stockholders</w:t>
            </w:r>
          </w:p>
        </w:tc>
        <w:tc>
          <w:tcPr>
            <w:tcW w:w="160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0.52</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0.28</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0.45</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81"/>
        </w:trPr>
        <w:tc>
          <w:tcPr>
            <w:tcW w:w="580" w:type="dxa"/>
            <w:vAlign w:val="bottom"/>
            <w:tcBorders>
              <w:bottom w:val="single" w:sz="8" w:color="auto"/>
            </w:tcBorders>
          </w:tcPr>
          <w:p>
            <w:pPr>
              <w:spacing w:after="0"/>
              <w:rPr>
                <w:sz w:val="7"/>
                <w:szCs w:val="7"/>
                <w:color w:val="auto"/>
              </w:rPr>
            </w:pPr>
          </w:p>
        </w:tc>
        <w:tc>
          <w:tcPr>
            <w:tcW w:w="1720" w:type="dxa"/>
            <w:vAlign w:val="bottom"/>
            <w:tcBorders>
              <w:bottom w:val="single" w:sz="8" w:color="auto"/>
            </w:tcBorders>
          </w:tcPr>
          <w:p>
            <w:pPr>
              <w:spacing w:after="0"/>
              <w:rPr>
                <w:sz w:val="7"/>
                <w:szCs w:val="7"/>
                <w:color w:val="auto"/>
              </w:rPr>
            </w:pPr>
          </w:p>
        </w:tc>
        <w:tc>
          <w:tcPr>
            <w:tcW w:w="2180" w:type="dxa"/>
            <w:vAlign w:val="bottom"/>
          </w:tcPr>
          <w:p>
            <w:pPr>
              <w:spacing w:after="0"/>
              <w:rPr>
                <w:sz w:val="7"/>
                <w:szCs w:val="7"/>
                <w:color w:val="auto"/>
              </w:rPr>
            </w:pPr>
          </w:p>
        </w:tc>
        <w:tc>
          <w:tcPr>
            <w:tcW w:w="1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20" w:hanging="512"/>
        <w:spacing w:after="0"/>
        <w:tabs>
          <w:tab w:leader="none" w:pos="5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fiscal quarter ended February 3, 2018 consisted of 14 weeks. All other fiscal quarters presented in the table above consisted of 13 weeks.</w:t>
      </w:r>
    </w:p>
    <w:p>
      <w:pPr>
        <w:spacing w:after="0" w:line="61" w:lineRule="exact"/>
        <w:rPr>
          <w:rFonts w:ascii="Arial" w:cs="Arial" w:eastAsia="Arial" w:hAnsi="Arial"/>
          <w:sz w:val="17"/>
          <w:szCs w:val="17"/>
          <w:color w:val="auto"/>
        </w:rPr>
      </w:pPr>
    </w:p>
    <w:p>
      <w:pPr>
        <w:ind w:left="520" w:hanging="512"/>
        <w:spacing w:after="0"/>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Gross margin is equal to net sales less cost of sales.</w:t>
      </w:r>
    </w:p>
    <w:p>
      <w:pPr>
        <w:spacing w:after="0" w:line="23" w:lineRule="exact"/>
        <w:rPr>
          <w:rFonts w:ascii="Arial" w:cs="Arial" w:eastAsia="Arial" w:hAnsi="Arial"/>
          <w:sz w:val="18"/>
          <w:szCs w:val="18"/>
          <w:color w:val="auto"/>
        </w:rPr>
      </w:pPr>
    </w:p>
    <w:p>
      <w:pPr>
        <w:ind w:left="520" w:right="100" w:hanging="512"/>
        <w:spacing w:after="0" w:line="265" w:lineRule="auto"/>
        <w:tabs>
          <w:tab w:leader="none" w:pos="5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Gross margin for the quarterly periods ended February 3, 2018 and January 28, 2017 is inclusive of gains related to inventory shortage adjustments of $1.7 million and $5.1 million, respectively, as a result of actual shortage being less than what the Company had estimated.</w:t>
      </w:r>
    </w:p>
    <w:p>
      <w:pPr>
        <w:ind w:left="520" w:hanging="512"/>
        <w:spacing w:after="0" w:line="250" w:lineRule="auto"/>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Net income for the quarters ended January 28, 2017 and July 30, 2016 includes $2.1 million and $1.4 million, respectively, of charges related to certain litigation matters.</w:t>
      </w:r>
    </w:p>
    <w:p>
      <w:pPr>
        <w:ind w:left="520" w:hanging="512"/>
        <w:spacing w:after="0"/>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Quarterly net income per share results may not equal full year amounts due to rounding.</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color w:val="auto"/>
        </w:rPr>
        <w:t>Schedule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REGISTRANT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Parent Company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Burlington Stores,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jc w:val="right"/>
              <w:ind w:right="290"/>
              <w:spacing w:after="0"/>
              <w:rPr>
                <w:sz w:val="20"/>
                <w:szCs w:val="20"/>
                <w:color w:val="auto"/>
              </w:rPr>
            </w:pPr>
            <w:r>
              <w:rPr>
                <w:rFonts w:ascii="Arial" w:cs="Arial" w:eastAsia="Arial" w:hAnsi="Arial"/>
                <w:sz w:val="14"/>
                <w:szCs w:val="14"/>
                <w:b w:val="1"/>
                <w:bCs w:val="1"/>
                <w:color w:val="auto"/>
              </w:rPr>
              <w:t>As of</w:t>
            </w:r>
          </w:p>
        </w:tc>
        <w:tc>
          <w:tcPr>
            <w:tcW w:w="12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33"/>
        </w:trPr>
        <w:tc>
          <w:tcPr>
            <w:tcW w:w="7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0" w:type="dxa"/>
            <w:vAlign w:val="bottom"/>
            <w:gridSpan w:val="2"/>
          </w:tcPr>
          <w:p>
            <w:pPr>
              <w:ind w:left="160"/>
              <w:spacing w:after="0" w:line="133" w:lineRule="exact"/>
              <w:rPr>
                <w:sz w:val="20"/>
                <w:szCs w:val="20"/>
                <w:color w:val="auto"/>
              </w:rPr>
            </w:pPr>
            <w:r>
              <w:rPr>
                <w:rFonts w:ascii="Arial" w:cs="Arial" w:eastAsia="Arial" w:hAnsi="Arial"/>
                <w:sz w:val="14"/>
                <w:szCs w:val="14"/>
                <w:b w:val="1"/>
                <w:bCs w:val="1"/>
                <w:color w:val="auto"/>
              </w:rPr>
              <w:t>February 3,</w:t>
            </w: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40" w:type="dxa"/>
            <w:vAlign w:val="bottom"/>
          </w:tcPr>
          <w:p>
            <w:pPr>
              <w:jc w:val="right"/>
              <w:ind w:right="354"/>
              <w:spacing w:after="0" w:line="133" w:lineRule="exact"/>
              <w:rPr>
                <w:sz w:val="20"/>
                <w:szCs w:val="20"/>
                <w:color w:val="auto"/>
              </w:rPr>
            </w:pPr>
            <w:r>
              <w:rPr>
                <w:rFonts w:ascii="Arial" w:cs="Arial" w:eastAsia="Arial" w:hAnsi="Arial"/>
                <w:sz w:val="14"/>
                <w:szCs w:val="14"/>
                <w:b w:val="1"/>
                <w:bCs w:val="1"/>
                <w:color w:val="auto"/>
              </w:rPr>
              <w:t>January 28,</w:t>
            </w:r>
          </w:p>
        </w:tc>
        <w:tc>
          <w:tcPr>
            <w:tcW w:w="100" w:type="dxa"/>
            <w:vAlign w:val="bottom"/>
          </w:tcPr>
          <w:p>
            <w:pPr>
              <w:spacing w:after="0"/>
              <w:rPr>
                <w:sz w:val="11"/>
                <w:szCs w:val="11"/>
                <w:color w:val="auto"/>
              </w:rPr>
            </w:pPr>
          </w:p>
        </w:tc>
      </w:tr>
      <w:tr>
        <w:trPr>
          <w:trHeight w:val="171"/>
        </w:trPr>
        <w:tc>
          <w:tcPr>
            <w:tcW w:w="78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r>
      <w:tr>
        <w:trPr>
          <w:trHeight w:val="156"/>
        </w:trPr>
        <w:tc>
          <w:tcPr>
            <w:tcW w:w="7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940" w:type="dxa"/>
            <w:vAlign w:val="bottom"/>
            <w:gridSpan w:val="4"/>
          </w:tcPr>
          <w:p>
            <w:pPr>
              <w:jc w:val="right"/>
              <w:ind w:right="10"/>
              <w:spacing w:after="0" w:line="155" w:lineRule="exact"/>
              <w:rPr>
                <w:sz w:val="20"/>
                <w:szCs w:val="20"/>
                <w:color w:val="auto"/>
              </w:rPr>
            </w:pPr>
            <w:r>
              <w:rPr>
                <w:rFonts w:ascii="Arial" w:cs="Arial" w:eastAsia="Arial" w:hAnsi="Arial"/>
                <w:sz w:val="14"/>
                <w:szCs w:val="14"/>
                <w:b w:val="1"/>
                <w:bCs w:val="1"/>
                <w:color w:val="auto"/>
              </w:rPr>
              <w:t>(in thousands)</w:t>
            </w: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78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88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144</w:t>
            </w:r>
          </w:p>
        </w:tc>
        <w:tc>
          <w:tcPr>
            <w:tcW w:w="300" w:type="dxa"/>
            <w:vAlign w:val="bottom"/>
          </w:tcPr>
          <w:p>
            <w:pPr>
              <w:spacing w:after="0"/>
              <w:rPr>
                <w:sz w:val="19"/>
                <w:szCs w:val="19"/>
                <w:color w:val="auto"/>
              </w:rPr>
            </w:pPr>
          </w:p>
        </w:tc>
        <w:tc>
          <w:tcPr>
            <w:tcW w:w="340" w:type="dxa"/>
            <w:vAlign w:val="bottom"/>
            <w:gridSpan w:val="2"/>
          </w:tcPr>
          <w:p>
            <w:pPr>
              <w:jc w:val="right"/>
              <w:ind w:right="210"/>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r>
      <w:tr>
        <w:trPr>
          <w:trHeight w:val="223"/>
        </w:trPr>
        <w:tc>
          <w:tcPr>
            <w:tcW w:w="7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Investment in subsidiaries</w:t>
            </w: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86,630</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r>
      <w:tr>
        <w:trPr>
          <w:trHeight w:val="263"/>
        </w:trPr>
        <w:tc>
          <w:tcPr>
            <w:tcW w:w="788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Total assets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86,774</w:t>
            </w:r>
          </w:p>
        </w:tc>
        <w:tc>
          <w:tcPr>
            <w:tcW w:w="30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320" w:type="dxa"/>
            <w:vAlign w:val="bottom"/>
            <w:tcBorders>
              <w:bottom w:val="single" w:sz="8" w:color="auto"/>
            </w:tcBorders>
          </w:tcPr>
          <w:p>
            <w:pPr>
              <w:jc w:val="right"/>
              <w:ind w:right="210"/>
              <w:spacing w:after="0"/>
              <w:rPr>
                <w:sz w:val="20"/>
                <w:szCs w:val="20"/>
                <w:color w:val="auto"/>
              </w:rPr>
            </w:pPr>
            <w:r>
              <w:rPr>
                <w:rFonts w:ascii="Arial" w:cs="Arial" w:eastAsia="Arial" w:hAnsi="Arial"/>
                <w:sz w:val="10"/>
                <w:szCs w:val="10"/>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FF0FC"/>
            </w:tcBorders>
          </w:tcPr>
          <w:p>
            <w:pPr>
              <w:spacing w:after="0"/>
              <w:rPr>
                <w:sz w:val="22"/>
                <w:szCs w:val="22"/>
                <w:color w:val="auto"/>
              </w:rPr>
            </w:pPr>
          </w:p>
        </w:tc>
      </w:tr>
      <w:tr>
        <w:trPr>
          <w:trHeight w:val="210"/>
        </w:trPr>
        <w:tc>
          <w:tcPr>
            <w:tcW w:w="78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STOCKHOLDERS’ EQUITY (DEFICIT):</w:t>
            </w: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788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6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210"/>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7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Negative investment in subsidiaries</w:t>
            </w:r>
          </w:p>
        </w:tc>
        <w:tc>
          <w:tcPr>
            <w:tcW w:w="260" w:type="dxa"/>
            <w:vAlign w:val="bottom"/>
            <w:tcBorders>
              <w:top w:val="single" w:sz="8" w:color="auto"/>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49,859</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260" w:type="dxa"/>
            <w:vAlign w:val="bottom"/>
          </w:tcPr>
          <w:p>
            <w:pPr>
              <w:spacing w:after="0"/>
              <w:rPr>
                <w:sz w:val="19"/>
                <w:szCs w:val="19"/>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78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stockholders’ equity (deficit)</w:t>
            </w: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86,774</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(49,812)</w:t>
            </w:r>
          </w:p>
        </w:tc>
      </w:tr>
      <w:tr>
        <w:trPr>
          <w:trHeight w:val="223"/>
        </w:trPr>
        <w:tc>
          <w:tcPr>
            <w:tcW w:w="788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 (deficit)</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86,774</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0"/>
                <w:szCs w:val="10"/>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r>
      <w:tr>
        <w:trPr>
          <w:trHeight w:val="20"/>
        </w:trPr>
        <w:tc>
          <w:tcPr>
            <w:tcW w:w="7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CONDENSED 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REGISTRANT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Parent Company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Burlington Stores,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Income</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Fiscal Years Ended</w:t>
            </w:r>
          </w:p>
        </w:tc>
        <w:tc>
          <w:tcPr>
            <w:tcW w:w="2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3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jc w:val="center"/>
              <w:ind w:right="115"/>
              <w:spacing w:after="0" w:line="133" w:lineRule="exact"/>
              <w:rPr>
                <w:sz w:val="20"/>
                <w:szCs w:val="20"/>
                <w:color w:val="auto"/>
              </w:rPr>
            </w:pPr>
            <w:r>
              <w:rPr>
                <w:rFonts w:ascii="Arial" w:cs="Arial" w:eastAsia="Arial" w:hAnsi="Arial"/>
                <w:sz w:val="14"/>
                <w:szCs w:val="14"/>
                <w:b w:val="1"/>
                <w:bCs w:val="1"/>
                <w:color w:val="auto"/>
                <w:w w:val="97"/>
              </w:rPr>
              <w:t>February 3,</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vMerge w:val="restart"/>
          </w:tcPr>
          <w:p>
            <w:pPr>
              <w:jc w:val="center"/>
              <w:ind w:right="95"/>
              <w:spacing w:after="0"/>
              <w:rPr>
                <w:sz w:val="20"/>
                <w:szCs w:val="20"/>
                <w:color w:val="auto"/>
              </w:rPr>
            </w:pPr>
            <w:r>
              <w:rPr>
                <w:rFonts w:ascii="Arial" w:cs="Arial" w:eastAsia="Arial" w:hAnsi="Arial"/>
                <w:sz w:val="14"/>
                <w:szCs w:val="14"/>
                <w:b w:val="1"/>
                <w:bCs w:val="1"/>
                <w:color w:val="auto"/>
                <w:w w:val="93"/>
              </w:rPr>
              <w:t>January 28,</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January 30,</w:t>
            </w: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center"/>
              <w:ind w:right="115"/>
              <w:spacing w:after="0" w:line="149" w:lineRule="exact"/>
              <w:rPr>
                <w:sz w:val="20"/>
                <w:szCs w:val="20"/>
                <w:color w:val="auto"/>
              </w:rPr>
            </w:pPr>
            <w:r>
              <w:rPr>
                <w:rFonts w:ascii="Arial" w:cs="Arial" w:eastAsia="Arial" w:hAnsi="Arial"/>
                <w:sz w:val="14"/>
                <w:szCs w:val="14"/>
                <w:b w:val="1"/>
                <w:bCs w:val="1"/>
                <w:color w:val="auto"/>
                <w:w w:val="96"/>
              </w:rPr>
              <w:t>2018</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3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90"/>
              </w:rPr>
              <w:t>(53 Weeks)</w:t>
            </w:r>
          </w:p>
        </w:tc>
        <w:tc>
          <w:tcPr>
            <w:tcW w:w="2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89"/>
              </w:rPr>
              <w:t>2017</w:t>
            </w:r>
          </w:p>
        </w:tc>
        <w:tc>
          <w:tcPr>
            <w:tcW w:w="2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320" w:type="dxa"/>
            <w:vAlign w:val="bottom"/>
            <w:vMerge w:val="restart"/>
          </w:tcPr>
          <w:p>
            <w:pPr>
              <w:spacing w:after="0"/>
              <w:rPr>
                <w:sz w:val="20"/>
                <w:szCs w:val="20"/>
                <w:color w:val="auto"/>
              </w:rPr>
            </w:pPr>
            <w:r>
              <w:rPr>
                <w:rFonts w:ascii="Arial" w:cs="Arial" w:eastAsia="Arial" w:hAnsi="Arial"/>
                <w:sz w:val="18"/>
                <w:szCs w:val="18"/>
                <w:b w:val="1"/>
                <w:bCs w:val="1"/>
                <w:color w:val="auto"/>
              </w:rPr>
              <w:t>REVENUES:</w:t>
            </w: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jc w:val="center"/>
              <w:ind w:right="95"/>
              <w:spacing w:after="0"/>
              <w:rPr>
                <w:sz w:val="20"/>
                <w:szCs w:val="20"/>
                <w:color w:val="auto"/>
              </w:rPr>
            </w:pPr>
            <w:r>
              <w:rPr>
                <w:rFonts w:ascii="Arial" w:cs="Arial" w:eastAsia="Arial" w:hAnsi="Arial"/>
                <w:sz w:val="14"/>
                <w:szCs w:val="14"/>
                <w:b w:val="1"/>
                <w:bCs w:val="1"/>
                <w:color w:val="auto"/>
                <w:w w:val="91"/>
              </w:rPr>
              <w:t>(in thousands)</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5320" w:type="dxa"/>
            <w:vAlign w:val="bottom"/>
            <w:vMerge w:val="continue"/>
          </w:tcPr>
          <w:p>
            <w:pPr>
              <w:spacing w:after="0"/>
              <w:rPr>
                <w:sz w:val="17"/>
                <w:szCs w:val="17"/>
                <w:color w:val="auto"/>
              </w:rPr>
            </w:pP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revenue</w:t>
            </w:r>
          </w:p>
        </w:tc>
        <w:tc>
          <w:tcPr>
            <w:tcW w:w="166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b w:val="1"/>
                <w:bCs w:val="1"/>
                <w:color w:val="auto"/>
              </w:rPr>
              <w:t>COSTS AND EXPENSES:</w:t>
            </w:r>
          </w:p>
        </w:tc>
        <w:tc>
          <w:tcPr>
            <w:tcW w:w="1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Income from equity investment</w:t>
            </w:r>
          </w:p>
        </w:tc>
        <w:tc>
          <w:tcPr>
            <w:tcW w:w="14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3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costs and expenses</w:t>
            </w:r>
          </w:p>
        </w:tc>
        <w:tc>
          <w:tcPr>
            <w:tcW w:w="146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Income before provision for income tax</w:t>
            </w:r>
          </w:p>
        </w:tc>
        <w:tc>
          <w:tcPr>
            <w:tcW w:w="14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Provision for income tax</w:t>
            </w:r>
          </w:p>
        </w:tc>
        <w:tc>
          <w:tcPr>
            <w:tcW w:w="14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Earnings from equity investment, net of income taxes</w:t>
            </w:r>
          </w:p>
        </w:tc>
        <w:tc>
          <w:tcPr>
            <w:tcW w:w="14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384,852</w:t>
            </w:r>
          </w:p>
        </w:tc>
        <w:tc>
          <w:tcPr>
            <w:tcW w:w="2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215,873</w:t>
            </w:r>
          </w:p>
        </w:tc>
        <w:tc>
          <w:tcPr>
            <w:tcW w:w="2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150,482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income</w:t>
            </w:r>
          </w:p>
        </w:tc>
        <w:tc>
          <w:tcPr>
            <w:tcW w:w="146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384,852</w:t>
            </w:r>
          </w:p>
        </w:tc>
        <w:tc>
          <w:tcPr>
            <w:tcW w:w="26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215,873</w:t>
            </w:r>
          </w:p>
        </w:tc>
        <w:tc>
          <w:tcPr>
            <w:tcW w:w="26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150,482</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3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comprehensive income</w:t>
            </w:r>
          </w:p>
        </w:tc>
        <w:tc>
          <w:tcPr>
            <w:tcW w:w="14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384,852</w:t>
            </w:r>
          </w:p>
        </w:tc>
        <w:tc>
          <w:tcPr>
            <w:tcW w:w="2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215,873</w:t>
            </w:r>
          </w:p>
        </w:tc>
        <w:tc>
          <w:tcPr>
            <w:tcW w:w="2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150,482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CONDENSED 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REGISTRANT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Parent Company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Burlington Stores,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4"/>
                <w:szCs w:val="14"/>
                <w:b w:val="1"/>
                <w:bCs w:val="1"/>
                <w:color w:val="auto"/>
                <w:w w:val="91"/>
              </w:rPr>
              <w:t>Fiscal Years Ended</w:t>
            </w: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22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00" w:type="dxa"/>
            <w:vAlign w:val="bottom"/>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w w:val="97"/>
              </w:rPr>
              <w:t>February 3,</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January 28,</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January 30,</w:t>
            </w:r>
          </w:p>
        </w:tc>
        <w:tc>
          <w:tcPr>
            <w:tcW w:w="0" w:type="dxa"/>
            <w:vAlign w:val="bottom"/>
          </w:tcPr>
          <w:p>
            <w:pPr>
              <w:spacing w:after="0"/>
              <w:rPr>
                <w:sz w:val="1"/>
                <w:szCs w:val="1"/>
                <w:color w:val="auto"/>
              </w:rPr>
            </w:pPr>
          </w:p>
        </w:tc>
      </w:tr>
      <w:tr>
        <w:trPr>
          <w:trHeight w:val="149"/>
        </w:trPr>
        <w:tc>
          <w:tcPr>
            <w:tcW w:w="52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center"/>
              <w:ind w:right="113"/>
              <w:spacing w:after="0" w:line="149" w:lineRule="exact"/>
              <w:rPr>
                <w:sz w:val="20"/>
                <w:szCs w:val="20"/>
                <w:color w:val="auto"/>
              </w:rPr>
            </w:pPr>
            <w:r>
              <w:rPr>
                <w:rFonts w:ascii="Arial" w:cs="Arial" w:eastAsia="Arial" w:hAnsi="Arial"/>
                <w:sz w:val="14"/>
                <w:szCs w:val="14"/>
                <w:b w:val="1"/>
                <w:bCs w:val="1"/>
                <w:color w:val="auto"/>
                <w:w w:val="96"/>
              </w:rPr>
              <w:t>2018</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2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0"/>
              </w:rPr>
              <w:t>(53 Weeks)</w:t>
            </w: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89"/>
              </w:rPr>
              <w:t>2017</w:t>
            </w: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2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2"/>
          </w:tcPr>
          <w:p>
            <w:pPr>
              <w:jc w:val="center"/>
              <w:ind w:right="34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ACTIVITIES:</w:t>
            </w:r>
          </w:p>
        </w:tc>
        <w:tc>
          <w:tcPr>
            <w:tcW w:w="15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Net cash provided by operations</w:t>
            </w:r>
          </w:p>
        </w:tc>
        <w:tc>
          <w:tcPr>
            <w:tcW w:w="17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INVESTING ACTIVITIES:</w:t>
            </w:r>
          </w:p>
        </w:tc>
        <w:tc>
          <w:tcPr>
            <w:tcW w:w="15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Receipt of dividends</w:t>
            </w:r>
          </w:p>
        </w:tc>
        <w:tc>
          <w:tcPr>
            <w:tcW w:w="1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used in investing activities</w:t>
            </w:r>
          </w:p>
        </w:tc>
        <w:tc>
          <w:tcPr>
            <w:tcW w:w="15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2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1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Proceeds from initial public offering</w:t>
            </w:r>
          </w:p>
        </w:tc>
        <w:tc>
          <w:tcPr>
            <w:tcW w:w="15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Offering costs</w:t>
            </w:r>
          </w:p>
        </w:tc>
        <w:tc>
          <w:tcPr>
            <w:tcW w:w="1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Receipt of dividends</w:t>
            </w:r>
          </w:p>
        </w:tc>
        <w:tc>
          <w:tcPr>
            <w:tcW w:w="15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Payment of dividends</w:t>
            </w:r>
          </w:p>
        </w:tc>
        <w:tc>
          <w:tcPr>
            <w:tcW w:w="1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Purchase of treasury shares</w:t>
            </w:r>
          </w:p>
        </w:tc>
        <w:tc>
          <w:tcPr>
            <w:tcW w:w="15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(289,777)</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(202,371)</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(201,670)</w:t>
            </w: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Intercompany financing transactions</w:t>
            </w:r>
          </w:p>
        </w:tc>
        <w:tc>
          <w:tcPr>
            <w:tcW w:w="1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280,701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197,910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198,090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Proceeds from stock option exercises</w:t>
            </w:r>
          </w:p>
        </w:tc>
        <w:tc>
          <w:tcPr>
            <w:tcW w:w="15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9,173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4,484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(used in) provided by financing activities</w:t>
            </w:r>
          </w:p>
        </w:tc>
        <w:tc>
          <w:tcPr>
            <w:tcW w:w="15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(Decrease) increase in cash and cash equivalents</w:t>
            </w:r>
          </w:p>
        </w:tc>
        <w:tc>
          <w:tcPr>
            <w:tcW w:w="15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at beginning of period</w:t>
            </w:r>
          </w:p>
        </w:tc>
        <w:tc>
          <w:tcPr>
            <w:tcW w:w="15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 at end of period</w:t>
            </w:r>
          </w:p>
        </w:tc>
        <w:tc>
          <w:tcPr>
            <w:tcW w:w="15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4" w:name="page85"/>
    <w:bookmarkEnd w:id="84"/>
    <w:p>
      <w:pPr>
        <w:jc w:val="center"/>
        <w:ind w:right="-79"/>
        <w:spacing w:after="0"/>
        <w:rPr>
          <w:sz w:val="20"/>
          <w:szCs w:val="20"/>
          <w:color w:val="auto"/>
        </w:rPr>
      </w:pPr>
      <w:r>
        <w:rPr>
          <w:rFonts w:ascii="Arial" w:cs="Arial" w:eastAsia="Arial" w:hAnsi="Arial"/>
          <w:sz w:val="18"/>
          <w:szCs w:val="18"/>
          <w:b w:val="1"/>
          <w:bCs w:val="1"/>
          <w:color w:val="auto"/>
        </w:rPr>
        <w:t>CONDENSED FINANCIAL INFORMATION</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OF REGISTRANT</w:t>
      </w:r>
    </w:p>
    <w:p>
      <w:pPr>
        <w:spacing w:after="0" w:line="20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Parent Company Information</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Burlington Stores, Inc.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121" w:lineRule="exact"/>
        <w:rPr>
          <w:sz w:val="20"/>
          <w:szCs w:val="20"/>
          <w:color w:val="auto"/>
        </w:rPr>
      </w:pPr>
    </w:p>
    <w:p>
      <w:pPr>
        <w:ind w:right="160" w:firstLine="518"/>
        <w:spacing w:after="0" w:line="302" w:lineRule="auto"/>
        <w:rPr>
          <w:sz w:val="20"/>
          <w:szCs w:val="20"/>
          <w:color w:val="auto"/>
        </w:rPr>
      </w:pPr>
      <w:r>
        <w:rPr>
          <w:rFonts w:ascii="Arial" w:cs="Arial" w:eastAsia="Arial" w:hAnsi="Arial"/>
          <w:sz w:val="16"/>
          <w:szCs w:val="16"/>
          <w:color w:val="auto"/>
        </w:rPr>
        <w:t>Burlington Stores, Inc. (the Parent Company) is a holding company that conducts substantially all of its business operations through its subsidiaries. The Parent Company’s ability to pay dividends on Parent Company’s common stock will be limited by restrictions on the ability of Parent Company’s subsidiaries to pay dividends or make distributions under the terms of current and future agreements governing the indebtedness of Parent Company’s subsidiaries, so long as the pro forma consolidated secured leverage ratio of Parent Company’s subsidiaries does not exceed 3.50 to 1.00.</w:t>
      </w:r>
    </w:p>
    <w:p>
      <w:pPr>
        <w:spacing w:after="0" w:line="154" w:lineRule="exact"/>
        <w:rPr>
          <w:sz w:val="20"/>
          <w:szCs w:val="20"/>
          <w:color w:val="auto"/>
        </w:rPr>
      </w:pPr>
    </w:p>
    <w:p>
      <w:pPr>
        <w:ind w:firstLine="518"/>
        <w:spacing w:after="0" w:line="302" w:lineRule="auto"/>
        <w:rPr>
          <w:sz w:val="20"/>
          <w:szCs w:val="20"/>
          <w:color w:val="auto"/>
        </w:rPr>
      </w:pPr>
      <w:r>
        <w:rPr>
          <w:rFonts w:ascii="Arial" w:cs="Arial" w:eastAsia="Arial" w:hAnsi="Arial"/>
          <w:sz w:val="16"/>
          <w:szCs w:val="16"/>
          <w:color w:val="auto"/>
        </w:rPr>
        <w:t>The accompanying Condensed Financial Statements include the accounts of the Parent Company and, on an equity basis, its consolidated subsidiaries and affiliates. Accordingly, these Condensed Financial Statements have been presented on a “parent-only” basis. Under a parent-only presentation, the Parent Company’s investments in its consolidated subsidiaries are presented under the equity method of accounting. These parent-only financial statements should be read in conjunction with Burlington Stores, Inc.’s audited Consolidated Financial Statements included elsewhere herein.</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Dividends</w:t>
      </w:r>
    </w:p>
    <w:p>
      <w:pPr>
        <w:spacing w:after="0" w:line="121" w:lineRule="exact"/>
        <w:rPr>
          <w:sz w:val="20"/>
          <w:szCs w:val="20"/>
          <w:color w:val="auto"/>
        </w:rPr>
      </w:pPr>
    </w:p>
    <w:p>
      <w:pPr>
        <w:ind w:right="1000" w:firstLine="518"/>
        <w:spacing w:after="0" w:line="277" w:lineRule="auto"/>
        <w:rPr>
          <w:sz w:val="20"/>
          <w:szCs w:val="20"/>
          <w:color w:val="auto"/>
        </w:rPr>
      </w:pPr>
      <w:r>
        <w:rPr>
          <w:rFonts w:ascii="Arial" w:cs="Arial" w:eastAsia="Arial" w:hAnsi="Arial"/>
          <w:sz w:val="18"/>
          <w:szCs w:val="18"/>
          <w:color w:val="auto"/>
        </w:rPr>
        <w:t>As discussed above, payment of dividends is prohibited under the credit agreements of Parent Company’s subsidiaries, except in limited circumstances.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Stock-Based Compensation</w:t>
      </w:r>
    </w:p>
    <w:p>
      <w:pPr>
        <w:spacing w:after="0" w:line="121" w:lineRule="exact"/>
        <w:rPr>
          <w:sz w:val="20"/>
          <w:szCs w:val="20"/>
          <w:color w:val="auto"/>
        </w:rPr>
      </w:pPr>
    </w:p>
    <w:p>
      <w:pPr>
        <w:ind w:right="80" w:firstLine="518"/>
        <w:spacing w:after="0" w:line="309" w:lineRule="auto"/>
        <w:rPr>
          <w:sz w:val="20"/>
          <w:szCs w:val="20"/>
          <w:color w:val="auto"/>
        </w:rPr>
      </w:pPr>
      <w:r>
        <w:rPr>
          <w:rFonts w:ascii="Arial" w:cs="Arial" w:eastAsia="Arial" w:hAnsi="Arial"/>
          <w:sz w:val="18"/>
          <w:szCs w:val="18"/>
          <w:color w:val="auto"/>
        </w:rPr>
        <w:t>Non-cash stock compensation expense of $27.0 million, $16.0 million and $11.2 million has been pushed down to Parent Company’s subsidiaries for Fiscal 2017, Fiscal 2016 and Fiscal 2015, respectively.</w:t>
      </w:r>
    </w:p>
    <w:p>
      <w:pPr>
        <w:spacing w:after="0" w:line="14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337" w:right="31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BURLINGTON STORES,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II—Valuation and Qualifying Accounts and Reserves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amounts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1"/>
              </w:rPr>
              <w:t>Balance at</w:t>
            </w:r>
          </w:p>
        </w:tc>
        <w:tc>
          <w:tcPr>
            <w:tcW w:w="140" w:type="dxa"/>
            <w:vAlign w:val="bottom"/>
          </w:tcPr>
          <w:p>
            <w:pPr>
              <w:spacing w:after="0"/>
              <w:rPr>
                <w:sz w:val="14"/>
                <w:szCs w:val="14"/>
                <w:color w:val="auto"/>
              </w:rPr>
            </w:pPr>
          </w:p>
        </w:tc>
        <w:tc>
          <w:tcPr>
            <w:tcW w:w="10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Charged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Charged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Accounts</w:t>
            </w:r>
          </w:p>
        </w:tc>
        <w:tc>
          <w:tcPr>
            <w:tcW w:w="140" w:type="dxa"/>
            <w:vAlign w:val="bottom"/>
          </w:tcPr>
          <w:p>
            <w:pPr>
              <w:spacing w:after="0"/>
              <w:rPr>
                <w:sz w:val="14"/>
                <w:szCs w:val="14"/>
                <w:color w:val="auto"/>
              </w:rPr>
            </w:pPr>
          </w:p>
        </w:tc>
        <w:tc>
          <w:tcPr>
            <w:tcW w:w="10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49"/>
        </w:trPr>
        <w:tc>
          <w:tcPr>
            <w:tcW w:w="4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9"/>
              </w:rPr>
              <w:t>Written Off</w:t>
            </w: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0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Beginning</w:t>
            </w:r>
          </w:p>
        </w:tc>
        <w:tc>
          <w:tcPr>
            <w:tcW w:w="14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to Costs &amp;</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to Other</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9"/>
              </w:rPr>
              <w:t>or</w:t>
            </w: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End of</w:t>
            </w:r>
          </w:p>
        </w:tc>
        <w:tc>
          <w:tcPr>
            <w:tcW w:w="0" w:type="dxa"/>
            <w:vAlign w:val="bottom"/>
          </w:tcPr>
          <w:p>
            <w:pPr>
              <w:spacing w:after="0"/>
              <w:rPr>
                <w:sz w:val="1"/>
                <w:szCs w:val="1"/>
                <w:color w:val="auto"/>
              </w:rPr>
            </w:pPr>
          </w:p>
        </w:tc>
      </w:tr>
      <w:tr>
        <w:trPr>
          <w:trHeight w:val="171"/>
        </w:trPr>
        <w:tc>
          <w:tcPr>
            <w:tcW w:w="4300" w:type="dxa"/>
            <w:vAlign w:val="bottom"/>
            <w:vMerge w:val="continue"/>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of Period</w:t>
            </w:r>
          </w:p>
        </w:tc>
        <w:tc>
          <w:tcPr>
            <w:tcW w:w="140" w:type="dxa"/>
            <w:vAlign w:val="bottom"/>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Expenses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Accounts(1)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Deductions(2)</w:t>
            </w:r>
          </w:p>
        </w:tc>
        <w:tc>
          <w:tcPr>
            <w:tcW w:w="1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Period</w:t>
            </w:r>
          </w:p>
        </w:tc>
        <w:tc>
          <w:tcPr>
            <w:tcW w:w="0" w:type="dxa"/>
            <w:vAlign w:val="bottom"/>
          </w:tcPr>
          <w:p>
            <w:pPr>
              <w:spacing w:after="0"/>
              <w:rPr>
                <w:sz w:val="1"/>
                <w:szCs w:val="1"/>
                <w:color w:val="auto"/>
              </w:rPr>
            </w:pPr>
          </w:p>
        </w:tc>
      </w:tr>
      <w:tr>
        <w:trPr>
          <w:trHeight w:val="223"/>
        </w:trPr>
        <w:tc>
          <w:tcPr>
            <w:tcW w:w="4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Year ended February 3, 2018</w:t>
            </w:r>
          </w:p>
        </w:tc>
        <w:tc>
          <w:tcPr>
            <w:tcW w:w="9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tcPr>
          <w:p>
            <w:pPr>
              <w:ind w:left="260"/>
              <w:spacing w:after="0"/>
              <w:rPr>
                <w:sz w:val="20"/>
                <w:szCs w:val="20"/>
                <w:color w:val="auto"/>
              </w:rPr>
            </w:pPr>
            <w:r>
              <w:rPr>
                <w:rFonts w:ascii="Arial" w:cs="Arial" w:eastAsia="Arial" w:hAnsi="Arial"/>
                <w:sz w:val="18"/>
                <w:szCs w:val="18"/>
                <w:color w:val="auto"/>
              </w:rPr>
              <w:t>Allowance for doubtful accounts</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262</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411</w:t>
            </w:r>
          </w:p>
        </w:tc>
        <w:tc>
          <w:tcPr>
            <w:tcW w:w="140" w:type="dxa"/>
            <w:vAlign w:val="bottom"/>
          </w:tcPr>
          <w:p>
            <w:pPr>
              <w:spacing w:after="0"/>
              <w:rPr>
                <w:sz w:val="19"/>
                <w:szCs w:val="19"/>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574</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Sales reserves</w:t>
            </w: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3,419</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(524)</w:t>
            </w: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335,675</w:t>
            </w:r>
          </w:p>
        </w:tc>
        <w:tc>
          <w:tcPr>
            <w:tcW w:w="1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334,802</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tcPr>
          <w:p>
            <w:pPr>
              <w:ind w:left="260"/>
              <w:spacing w:after="0"/>
              <w:rPr>
                <w:sz w:val="20"/>
                <w:szCs w:val="20"/>
                <w:color w:val="auto"/>
              </w:rPr>
            </w:pPr>
            <w:r>
              <w:rPr>
                <w:rFonts w:ascii="Arial" w:cs="Arial" w:eastAsia="Arial" w:hAnsi="Arial"/>
                <w:sz w:val="18"/>
                <w:szCs w:val="18"/>
                <w:color w:val="auto"/>
              </w:rPr>
              <w:t>Valuation allowances on deferred tax assets</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7,388</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988</w:t>
            </w:r>
          </w:p>
        </w:tc>
        <w:tc>
          <w:tcPr>
            <w:tcW w:w="14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8,376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Year ended January 28, 2017</w:t>
            </w: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tcPr>
          <w:p>
            <w:pPr>
              <w:ind w:left="260"/>
              <w:spacing w:after="0"/>
              <w:rPr>
                <w:sz w:val="20"/>
                <w:szCs w:val="20"/>
                <w:color w:val="auto"/>
              </w:rPr>
            </w:pPr>
            <w:r>
              <w:rPr>
                <w:rFonts w:ascii="Arial" w:cs="Arial" w:eastAsia="Arial" w:hAnsi="Arial"/>
                <w:sz w:val="18"/>
                <w:szCs w:val="18"/>
                <w:color w:val="auto"/>
              </w:rPr>
              <w:t>Allowance for doubtful accounts</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272</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508</w:t>
            </w:r>
          </w:p>
        </w:tc>
        <w:tc>
          <w:tcPr>
            <w:tcW w:w="140" w:type="dxa"/>
            <w:vAlign w:val="bottom"/>
          </w:tcPr>
          <w:p>
            <w:pPr>
              <w:spacing w:after="0"/>
              <w:rPr>
                <w:sz w:val="19"/>
                <w:szCs w:val="19"/>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518</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Sales reserves</w:t>
            </w: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3,264</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(230)</w:t>
            </w: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318,214</w:t>
            </w:r>
          </w:p>
        </w:tc>
        <w:tc>
          <w:tcPr>
            <w:tcW w:w="1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317,829</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tcPr>
          <w:p>
            <w:pPr>
              <w:ind w:left="260"/>
              <w:spacing w:after="0"/>
              <w:rPr>
                <w:sz w:val="20"/>
                <w:szCs w:val="20"/>
                <w:color w:val="auto"/>
              </w:rPr>
            </w:pPr>
            <w:r>
              <w:rPr>
                <w:rFonts w:ascii="Arial" w:cs="Arial" w:eastAsia="Arial" w:hAnsi="Arial"/>
                <w:sz w:val="18"/>
                <w:szCs w:val="18"/>
                <w:color w:val="auto"/>
              </w:rPr>
              <w:t>Valuation allowances on deferred tax assets</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12,858</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(5,470)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7,388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Year ended January 30, 2016</w:t>
            </w: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tcPr>
          <w:p>
            <w:pPr>
              <w:ind w:left="260"/>
              <w:spacing w:after="0"/>
              <w:rPr>
                <w:sz w:val="20"/>
                <w:szCs w:val="20"/>
                <w:color w:val="auto"/>
              </w:rPr>
            </w:pPr>
            <w:r>
              <w:rPr>
                <w:rFonts w:ascii="Arial" w:cs="Arial" w:eastAsia="Arial" w:hAnsi="Arial"/>
                <w:sz w:val="18"/>
                <w:szCs w:val="18"/>
                <w:color w:val="auto"/>
              </w:rPr>
              <w:t>Allowance for doubtful accounts</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111</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740</w:t>
            </w:r>
          </w:p>
        </w:tc>
        <w:tc>
          <w:tcPr>
            <w:tcW w:w="140" w:type="dxa"/>
            <w:vAlign w:val="bottom"/>
          </w:tcPr>
          <w:p>
            <w:pPr>
              <w:spacing w:after="0"/>
              <w:rPr>
                <w:sz w:val="19"/>
                <w:szCs w:val="19"/>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579</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Sales reserves</w:t>
            </w: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3,052</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(317)</w:t>
            </w: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313,737</w:t>
            </w:r>
          </w:p>
        </w:tc>
        <w:tc>
          <w:tcPr>
            <w:tcW w:w="1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313,208</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tcPr>
          <w:p>
            <w:pPr>
              <w:ind w:left="260"/>
              <w:spacing w:after="0"/>
              <w:rPr>
                <w:sz w:val="20"/>
                <w:szCs w:val="20"/>
                <w:color w:val="auto"/>
              </w:rPr>
            </w:pPr>
            <w:r>
              <w:rPr>
                <w:rFonts w:ascii="Arial" w:cs="Arial" w:eastAsia="Arial" w:hAnsi="Arial"/>
                <w:sz w:val="18"/>
                <w:szCs w:val="18"/>
                <w:color w:val="auto"/>
              </w:rPr>
              <w:t>Valuation allowances on deferred tax assets</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10,653</w:t>
            </w:r>
          </w:p>
        </w:tc>
        <w:tc>
          <w:tcPr>
            <w:tcW w:w="2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2,205</w:t>
            </w:r>
          </w:p>
        </w:tc>
        <w:tc>
          <w:tcPr>
            <w:tcW w:w="14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12,858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147510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475105" cy="8890"/>
                    </a:xfrm>
                    <a:prstGeom prst="rect">
                      <a:avLst/>
                    </a:prstGeom>
                    <a:noFill/>
                  </pic:spPr>
                </pic:pic>
              </a:graphicData>
            </a:graphic>
          </wp:anchor>
        </w:drawing>
      </w:r>
    </w:p>
    <w:p>
      <w:pPr>
        <w:spacing w:after="0" w:line="115" w:lineRule="exact"/>
        <w:rPr>
          <w:sz w:val="20"/>
          <w:szCs w:val="20"/>
          <w:color w:val="auto"/>
        </w:rPr>
      </w:pPr>
    </w:p>
    <w:p>
      <w:pPr>
        <w:ind w:left="520" w:right="100" w:hanging="512"/>
        <w:spacing w:after="0" w:line="258" w:lineRule="auto"/>
        <w:tabs>
          <w:tab w:leader="none" w:pos="5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Amounts related to sales reserves are charged to net sales and cost of sales, and amounts related to valuation allowances on deferred taxes are charged to income tax expense.</w:t>
      </w:r>
    </w:p>
    <w:p>
      <w:pPr>
        <w:spacing w:after="0" w:line="1" w:lineRule="exact"/>
        <w:rPr>
          <w:rFonts w:ascii="Arial" w:cs="Arial" w:eastAsia="Arial" w:hAnsi="Arial"/>
          <w:sz w:val="18"/>
          <w:szCs w:val="18"/>
          <w:color w:val="auto"/>
        </w:rPr>
      </w:pPr>
    </w:p>
    <w:p>
      <w:pPr>
        <w:ind w:left="520" w:hanging="512"/>
        <w:spacing w:after="0"/>
        <w:tabs>
          <w:tab w:leader="none" w:pos="5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Actual returns and allowances.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6" w:name="page87"/>
    <w:bookmarkEnd w:id="86"/>
    <w:p>
      <w:pPr>
        <w:spacing w:after="0"/>
        <w:tabs>
          <w:tab w:leader="none" w:pos="114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20" w:firstLine="518"/>
        <w:spacing w:after="0" w:line="289" w:lineRule="auto"/>
        <w:rPr>
          <w:sz w:val="20"/>
          <w:szCs w:val="20"/>
          <w:color w:val="auto"/>
        </w:rPr>
      </w:pPr>
      <w:r>
        <w:rPr>
          <w:rFonts w:ascii="Arial" w:cs="Arial" w:eastAsia="Arial" w:hAnsi="Arial"/>
          <w:sz w:val="16"/>
          <w:szCs w:val="16"/>
          <w:color w:val="auto"/>
        </w:rPr>
        <w:t>Our management team, under the supervision and with the participation of our principal executive officer and our principal financial officer, evaluated the effectiveness of the design and operation of our disclosure controls and procedures as such term is defined under Rule 13a-15(e) promulgated under the Exchange Act, as of the last day of the fiscal period covered by this report, February 3, 2018. The term disclosure controls and procedures means our controls and other procedures that are designed to ensure that information required to be disclosed by us in the reports that we file or submit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the reports that we file or submit under the Exchange Act is accumulated and communicated to management, including our principal executive and principal financial officer, or persons performing similar functions, as appropriate to allow timely decisions regarding required disclosure. Based on this evaluation, our principal executive officer and our principal financial officer concluded that our disclosure controls and procedures were effective as of February 3, 2018.</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21"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Management is responsible for establishing and maintaining adequate internal control over financial reporting. Internal control over financial reporting is defined in Rule 13a-15(f) and Rule 15d-15(f) under the Exchange Act as a process designed by, or under the supervision of, the issuer’s principal executive and principal financial officers, or persons performing similar functions, and effected by the issuer’s board of directors, management and other personnel, to provide reasonable assurance regarding the reliability of financial reporting and the preparation of financial statements for external purposes in accordance with GAAP and includes those policies and procedures that:</w:t>
      </w:r>
    </w:p>
    <w:p>
      <w:pPr>
        <w:spacing w:after="0" w:line="80" w:lineRule="exact"/>
        <w:rPr>
          <w:sz w:val="20"/>
          <w:szCs w:val="20"/>
          <w:color w:val="auto"/>
        </w:rPr>
      </w:pPr>
    </w:p>
    <w:p>
      <w:pPr>
        <w:ind w:left="1040" w:right="60" w:hanging="519"/>
        <w:spacing w:after="0" w:line="277" w:lineRule="auto"/>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issuer;</w:t>
      </w:r>
    </w:p>
    <w:p>
      <w:pPr>
        <w:spacing w:after="0" w:line="62" w:lineRule="exact"/>
        <w:rPr>
          <w:rFonts w:ascii="Arial" w:cs="Arial" w:eastAsia="Arial" w:hAnsi="Arial"/>
          <w:sz w:val="18"/>
          <w:szCs w:val="18"/>
          <w:color w:val="auto"/>
        </w:rPr>
      </w:pPr>
    </w:p>
    <w:p>
      <w:pPr>
        <w:ind w:left="1040" w:right="140" w:hanging="519"/>
        <w:spacing w:after="0" w:line="264" w:lineRule="auto"/>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GAAP, and that receipts and expenditures of the issuer are being made only in accordance with authorizations of management and directors of the issuer; and</w:t>
      </w:r>
    </w:p>
    <w:p>
      <w:pPr>
        <w:spacing w:after="0" w:line="73" w:lineRule="exact"/>
        <w:rPr>
          <w:rFonts w:ascii="Arial" w:cs="Arial" w:eastAsia="Arial" w:hAnsi="Arial"/>
          <w:sz w:val="18"/>
          <w:szCs w:val="18"/>
          <w:color w:val="auto"/>
        </w:rPr>
      </w:pPr>
    </w:p>
    <w:p>
      <w:pPr>
        <w:ind w:left="1040" w:right="120" w:hanging="519"/>
        <w:spacing w:after="0" w:line="277" w:lineRule="auto"/>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issuer’s assets that could have a material effect on the financial statements.</w:t>
      </w:r>
    </w:p>
    <w:p>
      <w:pPr>
        <w:spacing w:after="0" w:line="170" w:lineRule="exact"/>
        <w:rPr>
          <w:sz w:val="20"/>
          <w:szCs w:val="20"/>
          <w:color w:val="auto"/>
        </w:rPr>
      </w:pPr>
    </w:p>
    <w:p>
      <w:pPr>
        <w:ind w:right="180" w:firstLine="518"/>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ind w:right="280" w:firstLine="518"/>
        <w:spacing w:after="0" w:line="264" w:lineRule="auto"/>
        <w:rPr>
          <w:sz w:val="20"/>
          <w:szCs w:val="20"/>
          <w:color w:val="auto"/>
        </w:rPr>
      </w:pPr>
      <w:r>
        <w:rPr>
          <w:rFonts w:ascii="Arial" w:cs="Arial" w:eastAsia="Arial" w:hAnsi="Arial"/>
          <w:sz w:val="18"/>
          <w:szCs w:val="18"/>
          <w:color w:val="auto"/>
        </w:rPr>
        <w:t xml:space="preserve">In accordance with the internal control reporting requirement of the SEC, management completed an assessment of the adequacy of our internal control over financial reporting as of February 3, 2018. In making this assessment, management used the criteria set forth by the Committee of Sponsoring Organizations of the Treadway Commission (COSO) in </w:t>
      </w:r>
      <w:r>
        <w:rPr>
          <w:rFonts w:ascii="Arial" w:cs="Arial" w:eastAsia="Arial" w:hAnsi="Arial"/>
          <w:sz w:val="18"/>
          <w:szCs w:val="18"/>
          <w:i w:val="1"/>
          <w:iCs w:val="1"/>
          <w:color w:val="auto"/>
        </w:rPr>
        <w:t>Internal Control—Integrated Framework (2013)</w:t>
      </w:r>
      <w:r>
        <w:rPr>
          <w:rFonts w:ascii="Arial" w:cs="Arial" w:eastAsia="Arial" w:hAnsi="Arial"/>
          <w:sz w:val="18"/>
          <w:szCs w:val="18"/>
          <w:color w:val="auto"/>
        </w:rPr>
        <w:t>.</w:t>
      </w:r>
    </w:p>
    <w:p>
      <w:pPr>
        <w:spacing w:after="0" w:line="181"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color w:val="auto"/>
        </w:rPr>
        <w:t>Based on this assessment and the criteria in the COSO framework, management has concluded that, as of February 3, 2018, our internal control over financial reporting was effective.</w:t>
      </w:r>
    </w:p>
    <w:p>
      <w:pPr>
        <w:spacing w:after="0" w:line="170"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Deloitte &amp; Touche LLP, the independent registered public accounting firm that audited and reported on our consolidated financial statements contained herein, has audited the effectiveness of our internal control over financial reporting as of February 3, 2018, and has issued an attestation report on the effectiveness of our internal control over financial reporting included herein.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340" w:firstLine="518"/>
        <w:spacing w:after="0" w:line="277" w:lineRule="auto"/>
        <w:rPr>
          <w:sz w:val="20"/>
          <w:szCs w:val="20"/>
          <w:color w:val="auto"/>
        </w:rPr>
      </w:pPr>
      <w:r>
        <w:rPr>
          <w:rFonts w:ascii="Arial" w:cs="Arial" w:eastAsia="Arial" w:hAnsi="Arial"/>
          <w:sz w:val="18"/>
          <w:szCs w:val="18"/>
          <w:color w:val="auto"/>
        </w:rPr>
        <w:t>During the fourth quarter of Fiscal 2017, there were no changes in our internal control over financial reporting that have materially affected, or are reasonably likely to materially affect, our internal control over financial reporting.</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Burlington Stores,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Opinion on Internal Control over Financial Reporting</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have audited the internal control over financial reporting of Burlington Stores, Inc. and subsidiaries (the “Company”) as of February 3, 2018, based on criteria established in Internal Control — Integrated Framework (2013) issued by the Committee of Sponsoring Organizations of the Treadway Commission (COSO). In our opinion, the Company maintained, in all material respects, effective internal control over financial reporting as of February 3, 2018, based on criteria established in Internal Control — Integrated Framework (2013) issued by COSO.</w:t>
      </w:r>
    </w:p>
    <w:p>
      <w:pPr>
        <w:spacing w:after="0" w:line="18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consolidated statements of income, comprehensive income, stockholders' deficit, and cash flows, as of and for the fiscal year ended February 3, 2018, of the Company and our report dated March 20, 2018, expressed an unqualified opinion on those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Basis for Opinion</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8"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Definition and Limitations of Internal Control over Financial Reporting</w:t>
      </w:r>
    </w:p>
    <w:p>
      <w:pPr>
        <w:spacing w:after="0" w:line="22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Parsippany, New Jersey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20, 2018</w:t>
      </w: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8" w:name="page89"/>
    <w:bookmarkEnd w:id="88"/>
    <w:p>
      <w:pPr>
        <w:spacing w:after="0"/>
        <w:tabs>
          <w:tab w:leader="none" w:pos="114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5420"/>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121"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For the information required by this Item 10, see “Election of Directors,” “Executive Officers of the Company,” “Corporate Governance,” “Board Committees,” and “Section 16(a) Beneficial Ownership Reporting Compliance” in the Proxy Statement for our 2018 Annual Meeting of Stockholders (the “Proxy Statement”), which information is incorporated herein by reference. The Proxy Statement will be filed within 120 days of the close of our 2017 fiscal year.</w:t>
      </w:r>
    </w:p>
    <w:p>
      <w:pPr>
        <w:spacing w:after="0" w:line="29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121"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For the information required by this Item 11, see “Executive Compensation” and “Director Compensation” in the Proxy Statement, which information is incorporated herein by reference.</w:t>
      </w:r>
    </w:p>
    <w:p>
      <w:pPr>
        <w:spacing w:after="0" w:line="27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121" w:lineRule="exact"/>
        <w:rPr>
          <w:sz w:val="20"/>
          <w:szCs w:val="20"/>
          <w:color w:val="auto"/>
        </w:rPr>
      </w:pPr>
    </w:p>
    <w:p>
      <w:pPr>
        <w:ind w:right="360" w:firstLine="518"/>
        <w:spacing w:after="0" w:line="277" w:lineRule="auto"/>
        <w:rPr>
          <w:sz w:val="20"/>
          <w:szCs w:val="20"/>
          <w:color w:val="auto"/>
        </w:rPr>
      </w:pPr>
      <w:r>
        <w:rPr>
          <w:rFonts w:ascii="Arial" w:cs="Arial" w:eastAsia="Arial" w:hAnsi="Arial"/>
          <w:sz w:val="18"/>
          <w:szCs w:val="18"/>
          <w:color w:val="auto"/>
        </w:rPr>
        <w:t>For the information required by this Item 12, see “Ownership of Securities” and “Securities Authorized for Issuance Under Equity Compensation Plans” in the Proxy Statement, which information is incorporated herein by reference.</w:t>
      </w:r>
    </w:p>
    <w:p>
      <w:pPr>
        <w:spacing w:after="0" w:line="27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121"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For the information required by this Item 13, see “Certain Relationships and Related Party Transactions” and “Corporate Governance” in the Proxy Statement, which information is incorporated herein by reference.</w:t>
      </w:r>
    </w:p>
    <w:p>
      <w:pPr>
        <w:spacing w:after="0" w:line="27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Accountant Fees and Services</w:t>
      </w:r>
    </w:p>
    <w:p>
      <w:pPr>
        <w:spacing w:after="0" w:line="121"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For the information required by this Item 14, see “Principal Accountant Fees and Services” and “Policy on Audit Committee Pre-Approval of Audit and Permissible Non-Audit Services of Independent Registered Certified Public Accounting Firm” in the Proxy Statement, which information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89" w:name="page90"/>
    <w:bookmarkEnd w:id="89"/>
    <w:p>
      <w:pPr>
        <w:jc w:val="center"/>
        <w:ind w:right="2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and Financial Statement Schedules</w:t>
      </w:r>
    </w:p>
    <w:p>
      <w:pPr>
        <w:spacing w:after="0" w:line="121" w:lineRule="exact"/>
        <w:rPr>
          <w:sz w:val="20"/>
          <w:szCs w:val="20"/>
          <w:color w:val="auto"/>
        </w:rPr>
      </w:pPr>
    </w:p>
    <w:p>
      <w:pPr>
        <w:ind w:left="520" w:hanging="512"/>
        <w:spacing w:after="0"/>
        <w:tabs>
          <w:tab w:leader="none" w:pos="520"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Documents Filed as Part of this Report</w:t>
      </w:r>
    </w:p>
    <w:p>
      <w:pPr>
        <w:spacing w:after="0" w:line="221" w:lineRule="exact"/>
        <w:rPr>
          <w:sz w:val="20"/>
          <w:szCs w:val="20"/>
          <w:color w:val="auto"/>
        </w:rPr>
      </w:pPr>
    </w:p>
    <w:p>
      <w:pPr>
        <w:ind w:right="600" w:firstLine="8"/>
        <w:spacing w:after="0" w:line="282" w:lineRule="auto"/>
        <w:tabs>
          <w:tab w:leader="none" w:pos="255"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Statements</w:t>
      </w:r>
      <w:r>
        <w:rPr>
          <w:rFonts w:ascii="Arial" w:cs="Arial" w:eastAsia="Arial" w:hAnsi="Arial"/>
          <w:sz w:val="18"/>
          <w:szCs w:val="18"/>
          <w:color w:val="auto"/>
        </w:rPr>
        <w:t>. The Consolidated Financial Statements filed as part of this Annual Report are listed on the Index to Consolidated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Statements on page 45 of this Annual Report.</w:t>
      </w:r>
    </w:p>
    <w:p>
      <w:pPr>
        <w:spacing w:after="0" w:line="161" w:lineRule="exact"/>
        <w:rPr>
          <w:rFonts w:ascii="Arial" w:cs="Arial" w:eastAsia="Arial" w:hAnsi="Arial"/>
          <w:sz w:val="18"/>
          <w:szCs w:val="18"/>
          <w:b w:val="1"/>
          <w:bCs w:val="1"/>
          <w:color w:val="auto"/>
        </w:rPr>
      </w:pPr>
    </w:p>
    <w:p>
      <w:pPr>
        <w:ind w:left="260" w:hanging="252"/>
        <w:spacing w:after="0"/>
        <w:tabs>
          <w:tab w:leader="none" w:pos="260" w:val="left"/>
        </w:tabs>
        <w:numPr>
          <w:ilvl w:val="0"/>
          <w:numId w:val="44"/>
        </w:numPr>
        <w:rPr>
          <w:rFonts w:ascii="Arial" w:cs="Arial" w:eastAsia="Arial" w:hAnsi="Arial"/>
          <w:sz w:val="16"/>
          <w:szCs w:val="16"/>
          <w:b w:val="1"/>
          <w:bCs w:val="1"/>
          <w:color w:val="auto"/>
        </w:rPr>
      </w:pPr>
      <w:r>
        <w:rPr>
          <w:rFonts w:ascii="Arial" w:cs="Arial" w:eastAsia="Arial" w:hAnsi="Arial"/>
          <w:sz w:val="16"/>
          <w:szCs w:val="16"/>
          <w:b w:val="1"/>
          <w:bCs w:val="1"/>
          <w:color w:val="auto"/>
        </w:rPr>
        <w:t>Financial Statement Schedules</w:t>
      </w:r>
      <w:r>
        <w:rPr>
          <w:rFonts w:ascii="Arial" w:cs="Arial" w:eastAsia="Arial" w:hAnsi="Arial"/>
          <w:sz w:val="16"/>
          <w:szCs w:val="16"/>
          <w:color w:val="auto"/>
        </w:rPr>
        <w:t>. Schedule I—Condensed Financial Information of Registrant filed as part of this Annual Report is set forth on pages 80-</w:t>
      </w:r>
    </w:p>
    <w:p>
      <w:pPr>
        <w:spacing w:after="0" w:line="50" w:lineRule="exact"/>
        <w:rPr>
          <w:rFonts w:ascii="Arial" w:cs="Arial" w:eastAsia="Arial" w:hAnsi="Arial"/>
          <w:sz w:val="16"/>
          <w:szCs w:val="16"/>
          <w:b w:val="1"/>
          <w:bCs w:val="1"/>
          <w:color w:val="auto"/>
        </w:rPr>
      </w:pPr>
    </w:p>
    <w:p>
      <w:pPr>
        <w:ind w:right="440"/>
        <w:spacing w:after="0" w:line="255" w:lineRule="auto"/>
        <w:rPr>
          <w:rFonts w:ascii="Arial" w:cs="Arial" w:eastAsia="Arial" w:hAnsi="Arial"/>
          <w:sz w:val="16"/>
          <w:szCs w:val="16"/>
          <w:b w:val="1"/>
          <w:bCs w:val="1"/>
          <w:color w:val="auto"/>
        </w:rPr>
      </w:pPr>
      <w:r>
        <w:rPr>
          <w:rFonts w:ascii="Arial" w:cs="Arial" w:eastAsia="Arial" w:hAnsi="Arial"/>
          <w:sz w:val="18"/>
          <w:szCs w:val="18"/>
          <w:color w:val="auto"/>
        </w:rPr>
        <w:t>83. Schedule II—Valuation and Qualifying Accounts filed as part of this Annual Report is set forth on page 84 of this Annual Report. All other financial statement schedules have been omitted here because they are not applicable, not required, or the information is shown in the Consolidated Financial Statements or notes thereto.</w:t>
      </w:r>
    </w:p>
    <w:p>
      <w:pPr>
        <w:spacing w:after="0" w:line="294" w:lineRule="exact"/>
        <w:rPr>
          <w:rFonts w:ascii="Arial" w:cs="Arial" w:eastAsia="Arial" w:hAnsi="Arial"/>
          <w:sz w:val="16"/>
          <w:szCs w:val="16"/>
          <w:b w:val="1"/>
          <w:bCs w:val="1"/>
          <w:color w:val="auto"/>
        </w:rPr>
      </w:pPr>
    </w:p>
    <w:p>
      <w:pPr>
        <w:ind w:left="260" w:hanging="252"/>
        <w:spacing w:after="0"/>
        <w:tabs>
          <w:tab w:leader="none" w:pos="26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Exhibits Required by Item 601 of Regulation S-K</w:t>
      </w:r>
      <w:r>
        <w:rPr>
          <w:rFonts w:ascii="Arial" w:cs="Arial" w:eastAsia="Arial" w:hAnsi="Arial"/>
          <w:sz w:val="18"/>
          <w:szCs w:val="18"/>
          <w:i w:val="1"/>
          <w:iCs w:val="1"/>
          <w:color w:val="auto"/>
        </w:rPr>
        <w:t>.</w:t>
      </w:r>
    </w:p>
    <w:p>
      <w:pPr>
        <w:spacing w:after="0" w:line="121" w:lineRule="exact"/>
        <w:rPr>
          <w:sz w:val="20"/>
          <w:szCs w:val="20"/>
          <w:color w:val="auto"/>
        </w:rPr>
      </w:pPr>
    </w:p>
    <w:p>
      <w:pPr>
        <w:ind w:right="140" w:firstLine="518"/>
        <w:spacing w:after="0" w:line="277" w:lineRule="auto"/>
        <w:rPr>
          <w:sz w:val="20"/>
          <w:szCs w:val="20"/>
          <w:color w:val="auto"/>
        </w:rPr>
      </w:pPr>
      <w:r>
        <w:rPr>
          <w:rFonts w:ascii="Arial" w:cs="Arial" w:eastAsia="Arial" w:hAnsi="Arial"/>
          <w:sz w:val="18"/>
          <w:szCs w:val="18"/>
          <w:color w:val="auto"/>
        </w:rPr>
        <w:t>The following is a list of exhibits required by Item 601 of Regulation S-K and filed as part of this Report. Exhibits that previously have been filed are incorporated herein by reference.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440" w:type="dxa"/>
            <w:vAlign w:val="bottom"/>
            <w:tcBorders>
              <w:right w:val="single" w:sz="8" w:color="auto"/>
            </w:tcBorders>
          </w:tcPr>
          <w:p>
            <w:pPr>
              <w:spacing w:after="0"/>
              <w:rPr>
                <w:sz w:val="18"/>
                <w:szCs w:val="18"/>
                <w:color w:val="auto"/>
              </w:rPr>
            </w:pPr>
          </w:p>
        </w:tc>
        <w:tc>
          <w:tcPr>
            <w:tcW w:w="660" w:type="dxa"/>
            <w:vAlign w:val="bottom"/>
            <w:tcBorders>
              <w:top w:val="single" w:sz="8" w:color="auto"/>
              <w:right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40" w:type="dxa"/>
            <w:vAlign w:val="bottom"/>
            <w:tcBorders>
              <w:top w:val="single" w:sz="8" w:color="auto"/>
              <w:right w:val="single" w:sz="8" w:color="auto"/>
            </w:tcBorders>
          </w:tcPr>
          <w:p>
            <w:pPr>
              <w:spacing w:after="0"/>
              <w:rPr>
                <w:sz w:val="18"/>
                <w:szCs w:val="18"/>
                <w:color w:val="auto"/>
              </w:rPr>
            </w:pPr>
          </w:p>
        </w:tc>
        <w:tc>
          <w:tcPr>
            <w:tcW w:w="1680" w:type="dxa"/>
            <w:vAlign w:val="bottom"/>
            <w:tcBorders>
              <w:top w:val="single" w:sz="8" w:color="auto"/>
              <w:right w:val="single" w:sz="8" w:color="auto"/>
            </w:tcBorders>
            <w:gridSpan w:val="2"/>
          </w:tcPr>
          <w:p>
            <w:pPr>
              <w:jc w:val="right"/>
              <w:ind w:right="130"/>
              <w:spacing w:after="0"/>
              <w:rPr>
                <w:sz w:val="20"/>
                <w:szCs w:val="20"/>
                <w:color w:val="auto"/>
              </w:rPr>
            </w:pPr>
            <w:r>
              <w:rPr>
                <w:rFonts w:ascii="Arial" w:cs="Arial" w:eastAsia="Arial" w:hAnsi="Arial"/>
                <w:sz w:val="18"/>
                <w:szCs w:val="18"/>
                <w:b w:val="1"/>
                <w:bCs w:val="1"/>
                <w:color w:val="auto"/>
              </w:rPr>
              <w:t>Incorporated by</w:t>
            </w:r>
          </w:p>
        </w:tc>
        <w:tc>
          <w:tcPr>
            <w:tcW w:w="1400" w:type="dxa"/>
            <w:vAlign w:val="bottom"/>
          </w:tcPr>
          <w:p>
            <w:pPr>
              <w:spacing w:after="0"/>
              <w:rPr>
                <w:sz w:val="18"/>
                <w:szCs w:val="18"/>
                <w:color w:val="auto"/>
              </w:rPr>
            </w:pPr>
          </w:p>
        </w:tc>
      </w:tr>
      <w:tr>
        <w:trPr>
          <w:trHeight w:val="234"/>
        </w:trPr>
        <w:tc>
          <w:tcPr>
            <w:tcW w:w="144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gridSpan w:val="2"/>
          </w:tcPr>
          <w:p>
            <w:pPr>
              <w:ind w:left="440"/>
              <w:spacing w:after="0"/>
              <w:rPr>
                <w:sz w:val="20"/>
                <w:szCs w:val="20"/>
                <w:color w:val="auto"/>
              </w:rPr>
            </w:pPr>
            <w:r>
              <w:rPr>
                <w:rFonts w:ascii="Arial" w:cs="Arial" w:eastAsia="Arial" w:hAnsi="Arial"/>
                <w:sz w:val="18"/>
                <w:szCs w:val="18"/>
                <w:b w:val="1"/>
                <w:bCs w:val="1"/>
                <w:color w:val="auto"/>
              </w:rPr>
              <w:t>Reference</w:t>
            </w:r>
          </w:p>
        </w:tc>
        <w:tc>
          <w:tcPr>
            <w:tcW w:w="1400" w:type="dxa"/>
            <w:vAlign w:val="bottom"/>
          </w:tcPr>
          <w:p>
            <w:pPr>
              <w:spacing w:after="0"/>
              <w:rPr>
                <w:sz w:val="20"/>
                <w:szCs w:val="20"/>
                <w:color w:val="auto"/>
              </w:rPr>
            </w:pPr>
          </w:p>
        </w:tc>
      </w:tr>
      <w:tr>
        <w:trPr>
          <w:trHeight w:val="191"/>
        </w:trPr>
        <w:tc>
          <w:tcPr>
            <w:tcW w:w="1440" w:type="dxa"/>
            <w:vAlign w:val="bottom"/>
            <w:tcBorders>
              <w:right w:val="single" w:sz="8" w:color="auto"/>
            </w:tcBorders>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2"/>
              </w:rPr>
              <w:t>Form and</w:t>
            </w:r>
          </w:p>
        </w:tc>
        <w:tc>
          <w:tcPr>
            <w:tcW w:w="780" w:type="dxa"/>
            <w:vAlign w:val="bottom"/>
            <w:tcBorders>
              <w:right w:val="single" w:sz="8" w:color="auto"/>
            </w:tcBorders>
          </w:tcPr>
          <w:p>
            <w:pPr>
              <w:spacing w:after="0"/>
              <w:rPr>
                <w:sz w:val="16"/>
                <w:szCs w:val="16"/>
                <w:color w:val="auto"/>
              </w:rPr>
            </w:pPr>
          </w:p>
        </w:tc>
        <w:tc>
          <w:tcPr>
            <w:tcW w:w="1400" w:type="dxa"/>
            <w:vAlign w:val="bottom"/>
          </w:tcPr>
          <w:p>
            <w:pPr>
              <w:spacing w:after="0"/>
              <w:rPr>
                <w:sz w:val="16"/>
                <w:szCs w:val="16"/>
                <w:color w:val="auto"/>
              </w:rPr>
            </w:pPr>
          </w:p>
        </w:tc>
      </w:tr>
      <w:tr>
        <w:trPr>
          <w:trHeight w:val="216"/>
        </w:trPr>
        <w:tc>
          <w:tcPr>
            <w:tcW w:w="144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Exhibit</w:t>
            </w: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SEC file</w:t>
            </w:r>
          </w:p>
        </w:tc>
        <w:tc>
          <w:tcPr>
            <w:tcW w:w="780" w:type="dxa"/>
            <w:vAlign w:val="bottom"/>
            <w:tcBorders>
              <w:right w:val="single" w:sz="8" w:color="auto"/>
            </w:tcBorders>
          </w:tcPr>
          <w:p>
            <w:pPr>
              <w:ind w:left="160"/>
              <w:spacing w:after="0"/>
              <w:rPr>
                <w:sz w:val="20"/>
                <w:szCs w:val="20"/>
                <w:color w:val="auto"/>
              </w:rPr>
            </w:pPr>
            <w:r>
              <w:rPr>
                <w:rFonts w:ascii="Arial" w:cs="Arial" w:eastAsia="Arial" w:hAnsi="Arial"/>
                <w:sz w:val="18"/>
                <w:szCs w:val="18"/>
                <w:b w:val="1"/>
                <w:bCs w:val="1"/>
                <w:color w:val="auto"/>
              </w:rPr>
              <w:t>Filing</w:t>
            </w:r>
          </w:p>
        </w:tc>
        <w:tc>
          <w:tcPr>
            <w:tcW w:w="1400" w:type="dxa"/>
            <w:vAlign w:val="bottom"/>
          </w:tcPr>
          <w:p>
            <w:pPr>
              <w:spacing w:after="0"/>
              <w:rPr>
                <w:sz w:val="18"/>
                <w:szCs w:val="18"/>
                <w:color w:val="auto"/>
              </w:rPr>
            </w:pPr>
          </w:p>
        </w:tc>
      </w:tr>
      <w:tr>
        <w:trPr>
          <w:trHeight w:val="234"/>
        </w:trPr>
        <w:tc>
          <w:tcPr>
            <w:tcW w:w="1440" w:type="dxa"/>
            <w:vAlign w:val="bottom"/>
            <w:tcBorders>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Number</w:t>
            </w:r>
          </w:p>
        </w:tc>
        <w:tc>
          <w:tcPr>
            <w:tcW w:w="4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5340" w:type="dxa"/>
            <w:vAlign w:val="bottom"/>
            <w:tcBorders>
              <w:bottom w:val="single" w:sz="8" w:color="auto"/>
              <w:right w:val="single" w:sz="8" w:color="auto"/>
            </w:tcBorders>
            <w:gridSpan w:val="15"/>
          </w:tcPr>
          <w:p>
            <w:pPr>
              <w:ind w:left="1440"/>
              <w:spacing w:after="0"/>
              <w:rPr>
                <w:sz w:val="20"/>
                <w:szCs w:val="20"/>
                <w:color w:val="auto"/>
              </w:rPr>
            </w:pPr>
            <w:r>
              <w:rPr>
                <w:rFonts w:ascii="Arial" w:cs="Arial" w:eastAsia="Arial" w:hAnsi="Arial"/>
                <w:sz w:val="18"/>
                <w:szCs w:val="18"/>
                <w:b w:val="1"/>
                <w:bCs w:val="1"/>
                <w:color w:val="auto"/>
              </w:rPr>
              <w:t>Exhibit Description</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No.</w:t>
            </w:r>
          </w:p>
        </w:tc>
        <w:tc>
          <w:tcPr>
            <w:tcW w:w="780" w:type="dxa"/>
            <w:vAlign w:val="bottom"/>
            <w:tcBorders>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Date</w:t>
            </w:r>
          </w:p>
        </w:tc>
        <w:tc>
          <w:tcPr>
            <w:tcW w:w="1400" w:type="dxa"/>
            <w:vAlign w:val="bottom"/>
          </w:tcPr>
          <w:p>
            <w:pPr>
              <w:spacing w:after="0"/>
              <w:rPr>
                <w:sz w:val="20"/>
                <w:szCs w:val="20"/>
                <w:color w:val="auto"/>
              </w:rPr>
            </w:pPr>
          </w:p>
        </w:tc>
      </w:tr>
      <w:tr>
        <w:trPr>
          <w:trHeight w:val="169"/>
        </w:trPr>
        <w:tc>
          <w:tcPr>
            <w:tcW w:w="1440" w:type="dxa"/>
            <w:vAlign w:val="bottom"/>
            <w:tcBorders>
              <w:right w:val="single" w:sz="8" w:color="auto"/>
            </w:tcBorders>
          </w:tcPr>
          <w:p>
            <w:pPr>
              <w:spacing w:after="0"/>
              <w:rPr>
                <w:sz w:val="14"/>
                <w:szCs w:val="14"/>
                <w:color w:val="auto"/>
              </w:rPr>
            </w:pPr>
          </w:p>
        </w:tc>
        <w:tc>
          <w:tcPr>
            <w:tcW w:w="660" w:type="dxa"/>
            <w:vAlign w:val="bottom"/>
            <w:tcBorders>
              <w:right w:val="single" w:sz="8" w:color="auto"/>
            </w:tcBorders>
          </w:tcPr>
          <w:p>
            <w:pPr>
              <w:spacing w:after="0" w:line="170" w:lineRule="exact"/>
              <w:rPr>
                <w:sz w:val="20"/>
                <w:szCs w:val="20"/>
                <w:color w:val="auto"/>
              </w:rPr>
            </w:pPr>
            <w:r>
              <w:rPr>
                <w:rFonts w:ascii="Arial" w:cs="Arial" w:eastAsia="Arial" w:hAnsi="Arial"/>
                <w:sz w:val="18"/>
                <w:szCs w:val="18"/>
                <w:color w:val="auto"/>
              </w:rPr>
              <w:t>3.1</w:t>
            </w:r>
          </w:p>
        </w:tc>
        <w:tc>
          <w:tcPr>
            <w:tcW w:w="6260" w:type="dxa"/>
            <w:vAlign w:val="bottom"/>
            <w:tcBorders>
              <w:right w:val="single" w:sz="8" w:color="auto"/>
            </w:tcBorders>
            <w:gridSpan w:val="17"/>
          </w:tcPr>
          <w:p>
            <w:pPr>
              <w:spacing w:after="0" w:line="170" w:lineRule="exact"/>
              <w:rPr>
                <w:rFonts w:ascii="Arial" w:cs="Arial" w:eastAsia="Arial" w:hAnsi="Arial"/>
                <w:sz w:val="18"/>
                <w:szCs w:val="18"/>
                <w:color w:val="0000EE"/>
              </w:rPr>
            </w:pPr>
            <w:hyperlink r:id="rId126">
              <w:r>
                <w:rPr>
                  <w:rFonts w:ascii="Arial" w:cs="Arial" w:eastAsia="Arial" w:hAnsi="Arial"/>
                  <w:sz w:val="18"/>
                  <w:szCs w:val="18"/>
                  <w:color w:val="0000EE"/>
                </w:rPr>
                <w:t>Amended and Restated Certificate of Incorporation of Burlington Stores, Inc.</w:t>
              </w:r>
            </w:hyperlink>
          </w:p>
        </w:tc>
        <w:tc>
          <w:tcPr>
            <w:tcW w:w="900" w:type="dxa"/>
            <w:vAlign w:val="bottom"/>
            <w:tcBorders>
              <w:right w:val="single" w:sz="8" w:color="auto"/>
            </w:tcBorders>
          </w:tcPr>
          <w:p>
            <w:pPr>
              <w:spacing w:after="0" w:line="170" w:lineRule="exact"/>
              <w:rPr>
                <w:sz w:val="20"/>
                <w:szCs w:val="20"/>
                <w:color w:val="auto"/>
              </w:rPr>
            </w:pPr>
            <w:r>
              <w:rPr>
                <w:rFonts w:ascii="Arial" w:cs="Arial" w:eastAsia="Arial" w:hAnsi="Arial"/>
                <w:sz w:val="18"/>
                <w:szCs w:val="18"/>
                <w:color w:val="auto"/>
                <w:w w:val="89"/>
              </w:rPr>
              <w:t>Registration</w:t>
            </w:r>
          </w:p>
        </w:tc>
        <w:tc>
          <w:tcPr>
            <w:tcW w:w="780" w:type="dxa"/>
            <w:vAlign w:val="bottom"/>
            <w:tcBorders>
              <w:right w:val="single" w:sz="8" w:color="auto"/>
            </w:tcBorders>
          </w:tcPr>
          <w:p>
            <w:pPr>
              <w:spacing w:after="0" w:line="170" w:lineRule="exact"/>
              <w:rPr>
                <w:sz w:val="20"/>
                <w:szCs w:val="20"/>
                <w:color w:val="auto"/>
              </w:rPr>
            </w:pPr>
            <w:r>
              <w:rPr>
                <w:rFonts w:ascii="Arial" w:cs="Arial" w:eastAsia="Arial" w:hAnsi="Arial"/>
                <w:sz w:val="18"/>
                <w:szCs w:val="18"/>
                <w:color w:val="auto"/>
                <w:w w:val="83"/>
              </w:rPr>
              <w:t>September</w:t>
            </w:r>
          </w:p>
        </w:tc>
        <w:tc>
          <w:tcPr>
            <w:tcW w:w="1400" w:type="dxa"/>
            <w:vAlign w:val="bottom"/>
          </w:tcPr>
          <w:p>
            <w:pPr>
              <w:spacing w:after="0"/>
              <w:rPr>
                <w:sz w:val="14"/>
                <w:szCs w:val="14"/>
                <w:color w:val="auto"/>
              </w:rPr>
            </w:pPr>
          </w:p>
        </w:tc>
      </w:tr>
      <w:tr>
        <w:trPr>
          <w:trHeight w:val="222"/>
        </w:trPr>
        <w:tc>
          <w:tcPr>
            <w:tcW w:w="1440" w:type="dxa"/>
            <w:vAlign w:val="bottom"/>
            <w:tcBorders>
              <w:right w:val="single" w:sz="8" w:color="auto"/>
            </w:tcBorders>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500" w:type="dxa"/>
            <w:vAlign w:val="bottom"/>
            <w:tcBorders>
              <w:top w:val="single" w:sz="8" w:color="0000EE"/>
            </w:tcBorders>
          </w:tcPr>
          <w:p>
            <w:pPr>
              <w:spacing w:after="0"/>
              <w:rPr>
                <w:sz w:val="19"/>
                <w:szCs w:val="19"/>
                <w:color w:val="auto"/>
              </w:rPr>
            </w:pPr>
          </w:p>
        </w:tc>
        <w:tc>
          <w:tcPr>
            <w:tcW w:w="1600" w:type="dxa"/>
            <w:vAlign w:val="bottom"/>
            <w:tcBorders>
              <w:top w:val="single" w:sz="8" w:color="0000EE"/>
            </w:tcBorders>
          </w:tcPr>
          <w:p>
            <w:pPr>
              <w:spacing w:after="0"/>
              <w:rPr>
                <w:sz w:val="19"/>
                <w:szCs w:val="19"/>
                <w:color w:val="auto"/>
              </w:rPr>
            </w:pPr>
          </w:p>
        </w:tc>
        <w:tc>
          <w:tcPr>
            <w:tcW w:w="1600" w:type="dxa"/>
            <w:vAlign w:val="bottom"/>
            <w:tcBorders>
              <w:top w:val="single" w:sz="8" w:color="0000EE"/>
            </w:tcBorders>
          </w:tcPr>
          <w:p>
            <w:pPr>
              <w:spacing w:after="0"/>
              <w:rPr>
                <w:sz w:val="19"/>
                <w:szCs w:val="19"/>
                <w:color w:val="auto"/>
              </w:rPr>
            </w:pPr>
          </w:p>
        </w:tc>
        <w:tc>
          <w:tcPr>
            <w:tcW w:w="1440" w:type="dxa"/>
            <w:vAlign w:val="bottom"/>
            <w:tcBorders>
              <w:top w:val="single" w:sz="8" w:color="0000EE"/>
            </w:tcBorders>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Statement</w:t>
            </w:r>
          </w:p>
        </w:tc>
        <w:tc>
          <w:tcPr>
            <w:tcW w:w="7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10, 2013</w:t>
            </w:r>
          </w:p>
        </w:tc>
        <w:tc>
          <w:tcPr>
            <w:tcW w:w="1400" w:type="dxa"/>
            <w:vAlign w:val="bottom"/>
          </w:tcPr>
          <w:p>
            <w:pPr>
              <w:spacing w:after="0"/>
              <w:rPr>
                <w:sz w:val="19"/>
                <w:szCs w:val="19"/>
                <w:color w:val="auto"/>
              </w:rPr>
            </w:pPr>
          </w:p>
        </w:tc>
      </w:tr>
      <w:tr>
        <w:trPr>
          <w:trHeight w:val="216"/>
        </w:trPr>
        <w:tc>
          <w:tcPr>
            <w:tcW w:w="144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5"/>
              </w:rPr>
              <w:t>on Form S-</w:t>
            </w:r>
          </w:p>
        </w:tc>
        <w:tc>
          <w:tcPr>
            <w:tcW w:w="780" w:type="dxa"/>
            <w:vAlign w:val="bottom"/>
            <w:tcBorders>
              <w:right w:val="single" w:sz="8" w:color="auto"/>
            </w:tcBorders>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144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1/A</w:t>
            </w:r>
          </w:p>
        </w:tc>
        <w:tc>
          <w:tcPr>
            <w:tcW w:w="780" w:type="dxa"/>
            <w:vAlign w:val="bottom"/>
            <w:tcBorders>
              <w:right w:val="single" w:sz="8" w:color="auto"/>
            </w:tcBorders>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144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(File No.</w:t>
            </w:r>
          </w:p>
        </w:tc>
        <w:tc>
          <w:tcPr>
            <w:tcW w:w="780" w:type="dxa"/>
            <w:vAlign w:val="bottom"/>
            <w:tcBorders>
              <w:right w:val="single" w:sz="8" w:color="auto"/>
            </w:tcBorders>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144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333-</w:t>
            </w:r>
          </w:p>
        </w:tc>
        <w:tc>
          <w:tcPr>
            <w:tcW w:w="780" w:type="dxa"/>
            <w:vAlign w:val="bottom"/>
            <w:tcBorders>
              <w:right w:val="single" w:sz="8" w:color="auto"/>
            </w:tcBorders>
          </w:tcPr>
          <w:p>
            <w:pPr>
              <w:spacing w:after="0"/>
              <w:rPr>
                <w:sz w:val="18"/>
                <w:szCs w:val="18"/>
                <w:color w:val="auto"/>
              </w:rPr>
            </w:pPr>
          </w:p>
        </w:tc>
        <w:tc>
          <w:tcPr>
            <w:tcW w:w="1400" w:type="dxa"/>
            <w:vAlign w:val="bottom"/>
          </w:tcPr>
          <w:p>
            <w:pPr>
              <w:spacing w:after="0"/>
              <w:rPr>
                <w:sz w:val="18"/>
                <w:szCs w:val="18"/>
                <w:color w:val="auto"/>
              </w:rPr>
            </w:pPr>
          </w:p>
        </w:tc>
      </w:tr>
      <w:tr>
        <w:trPr>
          <w:trHeight w:val="230"/>
        </w:trPr>
        <w:tc>
          <w:tcPr>
            <w:tcW w:w="1440" w:type="dxa"/>
            <w:vAlign w:val="bottom"/>
            <w:tcBorders>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189632)</w:t>
            </w:r>
          </w:p>
        </w:tc>
        <w:tc>
          <w:tcPr>
            <w:tcW w:w="780" w:type="dxa"/>
            <w:vAlign w:val="bottom"/>
            <w:tcBorders>
              <w:bottom w:val="single" w:sz="8" w:color="auto"/>
              <w:right w:val="single" w:sz="8" w:color="auto"/>
            </w:tcBorders>
          </w:tcPr>
          <w:p>
            <w:pPr>
              <w:spacing w:after="0"/>
              <w:rPr>
                <w:sz w:val="20"/>
                <w:szCs w:val="20"/>
                <w:color w:val="auto"/>
              </w:rPr>
            </w:pPr>
          </w:p>
        </w:tc>
        <w:tc>
          <w:tcPr>
            <w:tcW w:w="1400" w:type="dxa"/>
            <w:vAlign w:val="bottom"/>
          </w:tcPr>
          <w:p>
            <w:pPr>
              <w:spacing w:after="0"/>
              <w:rPr>
                <w:sz w:val="20"/>
                <w:szCs w:val="20"/>
                <w:color w:val="auto"/>
              </w:rPr>
            </w:pPr>
          </w:p>
        </w:tc>
      </w:tr>
      <w:tr>
        <w:trPr>
          <w:trHeight w:val="169"/>
        </w:trPr>
        <w:tc>
          <w:tcPr>
            <w:tcW w:w="1440" w:type="dxa"/>
            <w:vAlign w:val="bottom"/>
            <w:tcBorders>
              <w:right w:val="single" w:sz="8" w:color="auto"/>
            </w:tcBorders>
          </w:tcPr>
          <w:p>
            <w:pPr>
              <w:spacing w:after="0"/>
              <w:rPr>
                <w:sz w:val="14"/>
                <w:szCs w:val="14"/>
                <w:color w:val="auto"/>
              </w:rPr>
            </w:pPr>
          </w:p>
        </w:tc>
        <w:tc>
          <w:tcPr>
            <w:tcW w:w="660" w:type="dxa"/>
            <w:vAlign w:val="bottom"/>
            <w:tcBorders>
              <w:right w:val="single" w:sz="8" w:color="auto"/>
            </w:tcBorders>
          </w:tcPr>
          <w:p>
            <w:pPr>
              <w:spacing w:after="0" w:line="170" w:lineRule="exact"/>
              <w:rPr>
                <w:sz w:val="20"/>
                <w:szCs w:val="20"/>
                <w:color w:val="auto"/>
              </w:rPr>
            </w:pPr>
            <w:r>
              <w:rPr>
                <w:rFonts w:ascii="Arial" w:cs="Arial" w:eastAsia="Arial" w:hAnsi="Arial"/>
                <w:sz w:val="18"/>
                <w:szCs w:val="18"/>
                <w:color w:val="auto"/>
              </w:rPr>
              <w:t>3.2</w:t>
            </w:r>
          </w:p>
        </w:tc>
        <w:tc>
          <w:tcPr>
            <w:tcW w:w="6260" w:type="dxa"/>
            <w:vAlign w:val="bottom"/>
            <w:tcBorders>
              <w:right w:val="single" w:sz="8" w:color="auto"/>
            </w:tcBorders>
            <w:gridSpan w:val="17"/>
          </w:tcPr>
          <w:p>
            <w:pPr>
              <w:spacing w:after="0" w:line="170" w:lineRule="exact"/>
              <w:rPr>
                <w:rFonts w:ascii="Arial" w:cs="Arial" w:eastAsia="Arial" w:hAnsi="Arial"/>
                <w:sz w:val="18"/>
                <w:szCs w:val="18"/>
                <w:color w:val="0000EE"/>
              </w:rPr>
            </w:pPr>
            <w:hyperlink r:id="rId127">
              <w:r>
                <w:rPr>
                  <w:rFonts w:ascii="Arial" w:cs="Arial" w:eastAsia="Arial" w:hAnsi="Arial"/>
                  <w:sz w:val="18"/>
                  <w:szCs w:val="18"/>
                  <w:color w:val="0000EE"/>
                </w:rPr>
                <w:t>Amended and Restated Bylaws of Burlington Stores, Inc.</w:t>
              </w:r>
            </w:hyperlink>
          </w:p>
        </w:tc>
        <w:tc>
          <w:tcPr>
            <w:tcW w:w="900" w:type="dxa"/>
            <w:vAlign w:val="bottom"/>
            <w:tcBorders>
              <w:right w:val="single" w:sz="8" w:color="auto"/>
            </w:tcBorders>
          </w:tcPr>
          <w:p>
            <w:pPr>
              <w:spacing w:after="0" w:line="170" w:lineRule="exact"/>
              <w:rPr>
                <w:sz w:val="20"/>
                <w:szCs w:val="20"/>
                <w:color w:val="auto"/>
              </w:rPr>
            </w:pPr>
            <w:r>
              <w:rPr>
                <w:rFonts w:ascii="Arial" w:cs="Arial" w:eastAsia="Arial" w:hAnsi="Arial"/>
                <w:sz w:val="18"/>
                <w:szCs w:val="18"/>
                <w:color w:val="auto"/>
              </w:rPr>
              <w:t>Current</w:t>
            </w:r>
          </w:p>
        </w:tc>
        <w:tc>
          <w:tcPr>
            <w:tcW w:w="780" w:type="dxa"/>
            <w:vAlign w:val="bottom"/>
            <w:tcBorders>
              <w:right w:val="single" w:sz="8" w:color="auto"/>
            </w:tcBorders>
          </w:tcPr>
          <w:p>
            <w:pPr>
              <w:spacing w:after="0" w:line="170" w:lineRule="exact"/>
              <w:rPr>
                <w:sz w:val="20"/>
                <w:szCs w:val="20"/>
                <w:color w:val="auto"/>
              </w:rPr>
            </w:pPr>
            <w:r>
              <w:rPr>
                <w:rFonts w:ascii="Arial" w:cs="Arial" w:eastAsia="Arial" w:hAnsi="Arial"/>
                <w:sz w:val="18"/>
                <w:szCs w:val="18"/>
                <w:color w:val="auto"/>
              </w:rPr>
              <w:t>February</w:t>
            </w:r>
          </w:p>
        </w:tc>
        <w:tc>
          <w:tcPr>
            <w:tcW w:w="1400" w:type="dxa"/>
            <w:vAlign w:val="bottom"/>
          </w:tcPr>
          <w:p>
            <w:pPr>
              <w:spacing w:after="0"/>
              <w:rPr>
                <w:sz w:val="14"/>
                <w:szCs w:val="14"/>
                <w:color w:val="auto"/>
              </w:rPr>
            </w:pPr>
          </w:p>
        </w:tc>
      </w:tr>
      <w:tr>
        <w:trPr>
          <w:trHeight w:val="222"/>
        </w:trPr>
        <w:tc>
          <w:tcPr>
            <w:tcW w:w="1440" w:type="dxa"/>
            <w:vAlign w:val="bottom"/>
            <w:tcBorders>
              <w:right w:val="single" w:sz="8" w:color="auto"/>
            </w:tcBorders>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500" w:type="dxa"/>
            <w:vAlign w:val="bottom"/>
            <w:tcBorders>
              <w:top w:val="single" w:sz="8" w:color="0000EE"/>
            </w:tcBorders>
          </w:tcPr>
          <w:p>
            <w:pPr>
              <w:spacing w:after="0"/>
              <w:rPr>
                <w:sz w:val="19"/>
                <w:szCs w:val="19"/>
                <w:color w:val="auto"/>
              </w:rPr>
            </w:pPr>
          </w:p>
        </w:tc>
        <w:tc>
          <w:tcPr>
            <w:tcW w:w="1600" w:type="dxa"/>
            <w:vAlign w:val="bottom"/>
            <w:tcBorders>
              <w:top w:val="single" w:sz="8" w:color="0000EE"/>
            </w:tcBorders>
          </w:tcPr>
          <w:p>
            <w:pPr>
              <w:spacing w:after="0"/>
              <w:rPr>
                <w:sz w:val="19"/>
                <w:szCs w:val="19"/>
                <w:color w:val="auto"/>
              </w:rPr>
            </w:pPr>
          </w:p>
        </w:tc>
        <w:tc>
          <w:tcPr>
            <w:tcW w:w="1600" w:type="dxa"/>
            <w:vAlign w:val="bottom"/>
            <w:tcBorders>
              <w:top w:val="single" w:sz="8" w:color="0000EE"/>
            </w:tcBorders>
          </w:tcPr>
          <w:p>
            <w:pPr>
              <w:spacing w:after="0"/>
              <w:rPr>
                <w:sz w:val="19"/>
                <w:szCs w:val="19"/>
                <w:color w:val="auto"/>
              </w:rPr>
            </w:pPr>
          </w:p>
        </w:tc>
        <w:tc>
          <w:tcPr>
            <w:tcW w:w="1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Report on</w:t>
            </w:r>
          </w:p>
        </w:tc>
        <w:tc>
          <w:tcPr>
            <w:tcW w:w="7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27, 2018</w:t>
            </w:r>
          </w:p>
        </w:tc>
        <w:tc>
          <w:tcPr>
            <w:tcW w:w="1400" w:type="dxa"/>
            <w:vAlign w:val="bottom"/>
          </w:tcPr>
          <w:p>
            <w:pPr>
              <w:spacing w:after="0"/>
              <w:rPr>
                <w:sz w:val="19"/>
                <w:szCs w:val="19"/>
                <w:color w:val="auto"/>
              </w:rPr>
            </w:pPr>
          </w:p>
        </w:tc>
      </w:tr>
      <w:tr>
        <w:trPr>
          <w:trHeight w:val="216"/>
        </w:trPr>
        <w:tc>
          <w:tcPr>
            <w:tcW w:w="144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Form 8-K</w:t>
            </w:r>
          </w:p>
        </w:tc>
        <w:tc>
          <w:tcPr>
            <w:tcW w:w="780" w:type="dxa"/>
            <w:vAlign w:val="bottom"/>
            <w:tcBorders>
              <w:right w:val="single" w:sz="8" w:color="auto"/>
            </w:tcBorders>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144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(File No.</w:t>
            </w:r>
          </w:p>
        </w:tc>
        <w:tc>
          <w:tcPr>
            <w:tcW w:w="780" w:type="dxa"/>
            <w:vAlign w:val="bottom"/>
            <w:tcBorders>
              <w:right w:val="single" w:sz="8" w:color="auto"/>
            </w:tcBorders>
          </w:tcPr>
          <w:p>
            <w:pPr>
              <w:spacing w:after="0"/>
              <w:rPr>
                <w:sz w:val="18"/>
                <w:szCs w:val="18"/>
                <w:color w:val="auto"/>
              </w:rPr>
            </w:pPr>
          </w:p>
        </w:tc>
        <w:tc>
          <w:tcPr>
            <w:tcW w:w="1400" w:type="dxa"/>
            <w:vAlign w:val="bottom"/>
          </w:tcPr>
          <w:p>
            <w:pPr>
              <w:spacing w:after="0"/>
              <w:rPr>
                <w:sz w:val="18"/>
                <w:szCs w:val="18"/>
                <w:color w:val="auto"/>
              </w:rPr>
            </w:pPr>
          </w:p>
        </w:tc>
      </w:tr>
      <w:tr>
        <w:trPr>
          <w:trHeight w:val="230"/>
        </w:trPr>
        <w:tc>
          <w:tcPr>
            <w:tcW w:w="1440" w:type="dxa"/>
            <w:vAlign w:val="bottom"/>
            <w:tcBorders>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w w:val="93"/>
              </w:rPr>
              <w:t>001-36107)</w:t>
            </w:r>
          </w:p>
        </w:tc>
        <w:tc>
          <w:tcPr>
            <w:tcW w:w="780" w:type="dxa"/>
            <w:vAlign w:val="bottom"/>
            <w:tcBorders>
              <w:bottom w:val="single" w:sz="8" w:color="auto"/>
              <w:right w:val="single" w:sz="8" w:color="auto"/>
            </w:tcBorders>
          </w:tcPr>
          <w:p>
            <w:pPr>
              <w:spacing w:after="0"/>
              <w:rPr>
                <w:sz w:val="20"/>
                <w:szCs w:val="20"/>
                <w:color w:val="auto"/>
              </w:rPr>
            </w:pPr>
          </w:p>
        </w:tc>
        <w:tc>
          <w:tcPr>
            <w:tcW w:w="1400" w:type="dxa"/>
            <w:vAlign w:val="bottom"/>
          </w:tcPr>
          <w:p>
            <w:pPr>
              <w:spacing w:after="0"/>
              <w:rPr>
                <w:sz w:val="20"/>
                <w:szCs w:val="20"/>
                <w:color w:val="auto"/>
              </w:rPr>
            </w:pPr>
          </w:p>
        </w:tc>
      </w:tr>
      <w:tr>
        <w:trPr>
          <w:trHeight w:val="169"/>
        </w:trPr>
        <w:tc>
          <w:tcPr>
            <w:tcW w:w="1440" w:type="dxa"/>
            <w:vAlign w:val="bottom"/>
            <w:tcBorders>
              <w:right w:val="single" w:sz="8" w:color="auto"/>
            </w:tcBorders>
          </w:tcPr>
          <w:p>
            <w:pPr>
              <w:spacing w:after="0"/>
              <w:rPr>
                <w:sz w:val="14"/>
                <w:szCs w:val="14"/>
                <w:color w:val="auto"/>
              </w:rPr>
            </w:pPr>
          </w:p>
        </w:tc>
        <w:tc>
          <w:tcPr>
            <w:tcW w:w="660" w:type="dxa"/>
            <w:vAlign w:val="bottom"/>
            <w:tcBorders>
              <w:right w:val="single" w:sz="8" w:color="auto"/>
            </w:tcBorders>
          </w:tcPr>
          <w:p>
            <w:pPr>
              <w:spacing w:after="0" w:line="170" w:lineRule="exact"/>
              <w:rPr>
                <w:sz w:val="20"/>
                <w:szCs w:val="20"/>
                <w:color w:val="auto"/>
              </w:rPr>
            </w:pPr>
            <w:r>
              <w:rPr>
                <w:rFonts w:ascii="Arial" w:cs="Arial" w:eastAsia="Arial" w:hAnsi="Arial"/>
                <w:sz w:val="18"/>
                <w:szCs w:val="18"/>
                <w:color w:val="auto"/>
              </w:rPr>
              <w:t>10.1</w:t>
            </w:r>
          </w:p>
        </w:tc>
        <w:tc>
          <w:tcPr>
            <w:tcW w:w="6040" w:type="dxa"/>
            <w:vAlign w:val="bottom"/>
            <w:tcBorders>
              <w:bottom w:val="single" w:sz="8" w:color="0000EE"/>
            </w:tcBorders>
            <w:gridSpan w:val="9"/>
          </w:tcPr>
          <w:p>
            <w:pPr>
              <w:spacing w:after="0" w:line="170" w:lineRule="exact"/>
              <w:rPr>
                <w:rFonts w:ascii="Arial" w:cs="Arial" w:eastAsia="Arial" w:hAnsi="Arial"/>
                <w:sz w:val="18"/>
                <w:szCs w:val="18"/>
                <w:color w:val="0000EE"/>
                <w:w w:val="90"/>
              </w:rPr>
            </w:pPr>
            <w:hyperlink r:id="rId128">
              <w:r>
                <w:rPr>
                  <w:rFonts w:ascii="Arial" w:cs="Arial" w:eastAsia="Arial" w:hAnsi="Arial"/>
                  <w:sz w:val="18"/>
                  <w:szCs w:val="18"/>
                  <w:color w:val="0000EE"/>
                  <w:w w:val="90"/>
                </w:rPr>
                <w:t>Credit Agreement, dated February 24, 2011, by and among Burlington Coat Factory</w:t>
              </w:r>
            </w:hyperlink>
          </w:p>
        </w:tc>
        <w:tc>
          <w:tcPr>
            <w:tcW w:w="220" w:type="dxa"/>
            <w:vAlign w:val="bottom"/>
            <w:tcBorders>
              <w:right w:val="single" w:sz="8" w:color="auto"/>
            </w:tcBorders>
            <w:gridSpan w:val="8"/>
          </w:tcPr>
          <w:p>
            <w:pPr>
              <w:spacing w:after="0"/>
              <w:rPr>
                <w:sz w:val="14"/>
                <w:szCs w:val="14"/>
                <w:color w:val="auto"/>
              </w:rPr>
            </w:pPr>
          </w:p>
        </w:tc>
        <w:tc>
          <w:tcPr>
            <w:tcW w:w="900" w:type="dxa"/>
            <w:vAlign w:val="bottom"/>
            <w:tcBorders>
              <w:right w:val="single" w:sz="8" w:color="auto"/>
            </w:tcBorders>
          </w:tcPr>
          <w:p>
            <w:pPr>
              <w:spacing w:after="0" w:line="170" w:lineRule="exact"/>
              <w:rPr>
                <w:sz w:val="20"/>
                <w:szCs w:val="20"/>
                <w:color w:val="auto"/>
              </w:rPr>
            </w:pPr>
            <w:r>
              <w:rPr>
                <w:rFonts w:ascii="Arial" w:cs="Arial" w:eastAsia="Arial" w:hAnsi="Arial"/>
                <w:sz w:val="18"/>
                <w:szCs w:val="18"/>
                <w:color w:val="auto"/>
              </w:rPr>
              <w:t>Current</w:t>
            </w:r>
          </w:p>
        </w:tc>
        <w:tc>
          <w:tcPr>
            <w:tcW w:w="780" w:type="dxa"/>
            <w:vAlign w:val="bottom"/>
            <w:tcBorders>
              <w:right w:val="single" w:sz="8" w:color="auto"/>
            </w:tcBorders>
          </w:tcPr>
          <w:p>
            <w:pPr>
              <w:spacing w:after="0" w:line="170" w:lineRule="exact"/>
              <w:rPr>
                <w:sz w:val="20"/>
                <w:szCs w:val="20"/>
                <w:color w:val="auto"/>
              </w:rPr>
            </w:pPr>
            <w:r>
              <w:rPr>
                <w:rFonts w:ascii="Arial" w:cs="Arial" w:eastAsia="Arial" w:hAnsi="Arial"/>
                <w:sz w:val="18"/>
                <w:szCs w:val="18"/>
                <w:color w:val="auto"/>
              </w:rPr>
              <w:t>February</w:t>
            </w:r>
          </w:p>
        </w:tc>
        <w:tc>
          <w:tcPr>
            <w:tcW w:w="1400" w:type="dxa"/>
            <w:vAlign w:val="bottom"/>
          </w:tcPr>
          <w:p>
            <w:pPr>
              <w:spacing w:after="0"/>
              <w:rPr>
                <w:sz w:val="14"/>
                <w:szCs w:val="14"/>
                <w:color w:val="auto"/>
              </w:rPr>
            </w:pPr>
          </w:p>
        </w:tc>
      </w:tr>
      <w:tr>
        <w:trPr>
          <w:trHeight w:val="196"/>
        </w:trPr>
        <w:tc>
          <w:tcPr>
            <w:tcW w:w="14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260" w:type="dxa"/>
            <w:vAlign w:val="bottom"/>
            <w:tcBorders>
              <w:right w:val="single" w:sz="8" w:color="auto"/>
            </w:tcBorders>
            <w:gridSpan w:val="17"/>
          </w:tcPr>
          <w:p>
            <w:pPr>
              <w:spacing w:after="0" w:line="196" w:lineRule="exact"/>
              <w:rPr>
                <w:rFonts w:ascii="Arial" w:cs="Arial" w:eastAsia="Arial" w:hAnsi="Arial"/>
                <w:sz w:val="18"/>
                <w:szCs w:val="18"/>
                <w:color w:val="0000EE"/>
              </w:rPr>
            </w:pPr>
            <w:hyperlink r:id="rId128">
              <w:r>
                <w:rPr>
                  <w:rFonts w:ascii="Arial" w:cs="Arial" w:eastAsia="Arial" w:hAnsi="Arial"/>
                  <w:sz w:val="18"/>
                  <w:szCs w:val="18"/>
                  <w:color w:val="0000EE"/>
                </w:rPr>
                <w:t>Warehouse Corporation, as borrower, the facility guarantors signatory thereto,</w:t>
              </w:r>
            </w:hyperlink>
          </w:p>
        </w:tc>
        <w:tc>
          <w:tcPr>
            <w:tcW w:w="9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Report on</w:t>
            </w:r>
          </w:p>
        </w:tc>
        <w:tc>
          <w:tcPr>
            <w:tcW w:w="78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24, 2011</w:t>
            </w:r>
          </w:p>
        </w:tc>
        <w:tc>
          <w:tcPr>
            <w:tcW w:w="1400" w:type="dxa"/>
            <w:vAlign w:val="bottom"/>
          </w:tcPr>
          <w:p>
            <w:pPr>
              <w:spacing w:after="0"/>
              <w:rPr>
                <w:sz w:val="17"/>
                <w:szCs w:val="17"/>
                <w:color w:val="auto"/>
              </w:rPr>
            </w:pPr>
          </w:p>
        </w:tc>
      </w:tr>
      <w:tr>
        <w:trPr>
          <w:trHeight w:val="20"/>
        </w:trPr>
        <w:tc>
          <w:tcPr>
            <w:tcW w:w="1440" w:type="dxa"/>
            <w:vAlign w:val="bottom"/>
            <w:tcBorders>
              <w:right w:val="single" w:sz="8" w:color="auto"/>
            </w:tcBorders>
          </w:tcPr>
          <w:p>
            <w:pPr>
              <w:spacing w:after="0" w:line="20" w:lineRule="exact"/>
              <w:rPr>
                <w:sz w:val="1"/>
                <w:szCs w:val="1"/>
                <w:color w:val="auto"/>
              </w:rPr>
            </w:pPr>
          </w:p>
        </w:tc>
        <w:tc>
          <w:tcPr>
            <w:tcW w:w="66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308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900" w:type="dxa"/>
            <w:vAlign w:val="bottom"/>
            <w:tcBorders>
              <w:right w:val="single" w:sz="8" w:color="auto"/>
            </w:tcBorders>
          </w:tcPr>
          <w:p>
            <w:pPr>
              <w:spacing w:after="0" w:line="20" w:lineRule="exact"/>
              <w:rPr>
                <w:sz w:val="1"/>
                <w:szCs w:val="1"/>
                <w:color w:val="auto"/>
              </w:rPr>
            </w:pPr>
          </w:p>
        </w:tc>
        <w:tc>
          <w:tcPr>
            <w:tcW w:w="780" w:type="dxa"/>
            <w:vAlign w:val="bottom"/>
            <w:tcBorders>
              <w:right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96"/>
        </w:trPr>
        <w:tc>
          <w:tcPr>
            <w:tcW w:w="14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260" w:type="dxa"/>
            <w:vAlign w:val="bottom"/>
            <w:tcBorders>
              <w:right w:val="single" w:sz="8" w:color="auto"/>
            </w:tcBorders>
            <w:gridSpan w:val="17"/>
          </w:tcPr>
          <w:p>
            <w:pPr>
              <w:spacing w:after="0" w:line="196" w:lineRule="exact"/>
              <w:rPr>
                <w:rFonts w:ascii="Arial" w:cs="Arial" w:eastAsia="Arial" w:hAnsi="Arial"/>
                <w:sz w:val="18"/>
                <w:szCs w:val="18"/>
                <w:color w:val="0000EE"/>
                <w:w w:val="89"/>
              </w:rPr>
            </w:pPr>
            <w:hyperlink r:id="rId128">
              <w:r>
                <w:rPr>
                  <w:rFonts w:ascii="Arial" w:cs="Arial" w:eastAsia="Arial" w:hAnsi="Arial"/>
                  <w:sz w:val="18"/>
                  <w:szCs w:val="18"/>
                  <w:color w:val="0000EE"/>
                  <w:w w:val="89"/>
                </w:rPr>
                <w:t>JPMorgan Chase Bank, N.A., as administrative agent and as collateral agent, Goldman</w:t>
              </w:r>
            </w:hyperlink>
          </w:p>
        </w:tc>
        <w:tc>
          <w:tcPr>
            <w:tcW w:w="9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Form 8-K</w:t>
            </w:r>
          </w:p>
        </w:tc>
        <w:tc>
          <w:tcPr>
            <w:tcW w:w="780" w:type="dxa"/>
            <w:vAlign w:val="bottom"/>
            <w:tcBorders>
              <w:right w:val="single" w:sz="8" w:color="auto"/>
            </w:tcBorders>
          </w:tcPr>
          <w:p>
            <w:pPr>
              <w:spacing w:after="0"/>
              <w:rPr>
                <w:sz w:val="17"/>
                <w:szCs w:val="17"/>
                <w:color w:val="auto"/>
              </w:rPr>
            </w:pPr>
          </w:p>
        </w:tc>
        <w:tc>
          <w:tcPr>
            <w:tcW w:w="1400" w:type="dxa"/>
            <w:vAlign w:val="bottom"/>
          </w:tcPr>
          <w:p>
            <w:pPr>
              <w:spacing w:after="0"/>
              <w:rPr>
                <w:sz w:val="17"/>
                <w:szCs w:val="17"/>
                <w:color w:val="auto"/>
              </w:rPr>
            </w:pPr>
          </w:p>
        </w:tc>
      </w:tr>
      <w:tr>
        <w:trPr>
          <w:trHeight w:val="196"/>
        </w:trPr>
        <w:tc>
          <w:tcPr>
            <w:tcW w:w="14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220" w:type="dxa"/>
            <w:vAlign w:val="bottom"/>
            <w:tcBorders>
              <w:top w:val="single" w:sz="8" w:color="0000EE"/>
            </w:tcBorders>
            <w:gridSpan w:val="16"/>
          </w:tcPr>
          <w:p>
            <w:pPr>
              <w:spacing w:after="0" w:line="196" w:lineRule="exact"/>
              <w:rPr>
                <w:rFonts w:ascii="Arial" w:cs="Arial" w:eastAsia="Arial" w:hAnsi="Arial"/>
                <w:sz w:val="18"/>
                <w:szCs w:val="18"/>
                <w:color w:val="0000EE"/>
                <w:w w:val="93"/>
              </w:rPr>
            </w:pPr>
            <w:hyperlink r:id="rId128">
              <w:r>
                <w:rPr>
                  <w:rFonts w:ascii="Arial" w:cs="Arial" w:eastAsia="Arial" w:hAnsi="Arial"/>
                  <w:sz w:val="18"/>
                  <w:szCs w:val="18"/>
                  <w:color w:val="0000EE"/>
                  <w:w w:val="93"/>
                </w:rPr>
                <w:t>Sachs Lending Partners LLC, the lenders party thereto, and J.P. Morgan Securities</w:t>
              </w:r>
            </w:hyperlink>
          </w:p>
        </w:tc>
        <w:tc>
          <w:tcPr>
            <w:tcW w:w="4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(File No.</w:t>
            </w:r>
          </w:p>
        </w:tc>
        <w:tc>
          <w:tcPr>
            <w:tcW w:w="780" w:type="dxa"/>
            <w:vAlign w:val="bottom"/>
            <w:tcBorders>
              <w:right w:val="single" w:sz="8" w:color="auto"/>
            </w:tcBorders>
          </w:tcPr>
          <w:p>
            <w:pPr>
              <w:spacing w:after="0"/>
              <w:rPr>
                <w:sz w:val="17"/>
                <w:szCs w:val="17"/>
                <w:color w:val="auto"/>
              </w:rPr>
            </w:pPr>
          </w:p>
        </w:tc>
        <w:tc>
          <w:tcPr>
            <w:tcW w:w="1400" w:type="dxa"/>
            <w:vAlign w:val="bottom"/>
          </w:tcPr>
          <w:p>
            <w:pPr>
              <w:spacing w:after="0"/>
              <w:rPr>
                <w:sz w:val="17"/>
                <w:szCs w:val="17"/>
                <w:color w:val="auto"/>
              </w:rPr>
            </w:pPr>
          </w:p>
        </w:tc>
      </w:tr>
      <w:tr>
        <w:trPr>
          <w:trHeight w:val="20"/>
        </w:trPr>
        <w:tc>
          <w:tcPr>
            <w:tcW w:w="1440" w:type="dxa"/>
            <w:vAlign w:val="bottom"/>
            <w:tcBorders>
              <w:right w:val="single" w:sz="8" w:color="auto"/>
            </w:tcBorders>
          </w:tcPr>
          <w:p>
            <w:pPr>
              <w:spacing w:after="0" w:line="20" w:lineRule="exact"/>
              <w:rPr>
                <w:sz w:val="1"/>
                <w:szCs w:val="1"/>
                <w:color w:val="auto"/>
              </w:rPr>
            </w:pPr>
          </w:p>
        </w:tc>
        <w:tc>
          <w:tcPr>
            <w:tcW w:w="66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3140" w:type="dxa"/>
            <w:vAlign w:val="bottom"/>
            <w:gridSpan w:val="4"/>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right w:val="single" w:sz="8" w:color="auto"/>
            </w:tcBorders>
            <w:gridSpan w:val="2"/>
          </w:tcPr>
          <w:p>
            <w:pPr>
              <w:spacing w:after="0" w:line="20" w:lineRule="exact"/>
              <w:rPr>
                <w:sz w:val="1"/>
                <w:szCs w:val="1"/>
                <w:color w:val="auto"/>
              </w:rPr>
            </w:pPr>
          </w:p>
        </w:tc>
        <w:tc>
          <w:tcPr>
            <w:tcW w:w="900" w:type="dxa"/>
            <w:vAlign w:val="bottom"/>
            <w:tcBorders>
              <w:right w:val="single" w:sz="8" w:color="auto"/>
            </w:tcBorders>
          </w:tcPr>
          <w:p>
            <w:pPr>
              <w:spacing w:after="0" w:line="20" w:lineRule="exact"/>
              <w:rPr>
                <w:sz w:val="1"/>
                <w:szCs w:val="1"/>
                <w:color w:val="auto"/>
              </w:rPr>
            </w:pPr>
          </w:p>
        </w:tc>
        <w:tc>
          <w:tcPr>
            <w:tcW w:w="780" w:type="dxa"/>
            <w:vAlign w:val="bottom"/>
            <w:tcBorders>
              <w:right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96"/>
        </w:trPr>
        <w:tc>
          <w:tcPr>
            <w:tcW w:w="14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100" w:type="dxa"/>
            <w:vAlign w:val="bottom"/>
            <w:tcBorders>
              <w:bottom w:val="single" w:sz="8" w:color="0000EE"/>
            </w:tcBorders>
            <w:gridSpan w:val="12"/>
          </w:tcPr>
          <w:p>
            <w:pPr>
              <w:spacing w:after="0" w:line="196" w:lineRule="exact"/>
              <w:rPr>
                <w:rFonts w:ascii="Arial" w:cs="Arial" w:eastAsia="Arial" w:hAnsi="Arial"/>
                <w:sz w:val="18"/>
                <w:szCs w:val="18"/>
                <w:color w:val="0000EE"/>
                <w:w w:val="92"/>
              </w:rPr>
            </w:pPr>
            <w:hyperlink r:id="rId128">
              <w:r>
                <w:rPr>
                  <w:rFonts w:ascii="Arial" w:cs="Arial" w:eastAsia="Arial" w:hAnsi="Arial"/>
                  <w:sz w:val="18"/>
                  <w:szCs w:val="18"/>
                  <w:color w:val="0000EE"/>
                  <w:w w:val="92"/>
                </w:rPr>
                <w:t>LLC, Goldman Sachs Lending Partners LLC, Merrill Lynch, Pierce, Fenner &amp; Smith</w:t>
              </w:r>
            </w:hyperlink>
          </w:p>
        </w:tc>
        <w:tc>
          <w:tcPr>
            <w:tcW w:w="160" w:type="dxa"/>
            <w:vAlign w:val="bottom"/>
            <w:tcBorders>
              <w:right w:val="single" w:sz="8" w:color="auto"/>
            </w:tcBorders>
            <w:gridSpan w:val="5"/>
          </w:tcPr>
          <w:p>
            <w:pPr>
              <w:spacing w:after="0"/>
              <w:rPr>
                <w:sz w:val="17"/>
                <w:szCs w:val="17"/>
                <w:color w:val="auto"/>
              </w:rPr>
            </w:pPr>
          </w:p>
        </w:tc>
        <w:tc>
          <w:tcPr>
            <w:tcW w:w="9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333-</w:t>
            </w:r>
          </w:p>
        </w:tc>
        <w:tc>
          <w:tcPr>
            <w:tcW w:w="780" w:type="dxa"/>
            <w:vAlign w:val="bottom"/>
            <w:tcBorders>
              <w:right w:val="single" w:sz="8" w:color="auto"/>
            </w:tcBorders>
          </w:tcPr>
          <w:p>
            <w:pPr>
              <w:spacing w:after="0"/>
              <w:rPr>
                <w:sz w:val="17"/>
                <w:szCs w:val="17"/>
                <w:color w:val="auto"/>
              </w:rPr>
            </w:pPr>
          </w:p>
        </w:tc>
        <w:tc>
          <w:tcPr>
            <w:tcW w:w="1400" w:type="dxa"/>
            <w:vAlign w:val="bottom"/>
          </w:tcPr>
          <w:p>
            <w:pPr>
              <w:spacing w:after="0"/>
              <w:rPr>
                <w:sz w:val="17"/>
                <w:szCs w:val="17"/>
                <w:color w:val="auto"/>
              </w:rPr>
            </w:pPr>
          </w:p>
        </w:tc>
      </w:tr>
      <w:tr>
        <w:trPr>
          <w:trHeight w:val="196"/>
        </w:trPr>
        <w:tc>
          <w:tcPr>
            <w:tcW w:w="14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566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r:id="rId128">
              <w:r>
                <w:rPr>
                  <w:rFonts w:ascii="Arial" w:cs="Arial" w:eastAsia="Arial" w:hAnsi="Arial"/>
                  <w:sz w:val="18"/>
                  <w:szCs w:val="18"/>
                  <w:color w:val="0000EE"/>
                  <w:w w:val="90"/>
                </w:rPr>
                <w:t>Incorporated and Wells Fargo Securities, LLC, as joint lead arrangers and joint</w:t>
              </w:r>
            </w:hyperlink>
          </w:p>
        </w:tc>
        <w:tc>
          <w:tcPr>
            <w:tcW w:w="600" w:type="dxa"/>
            <w:vAlign w:val="bottom"/>
            <w:tcBorders>
              <w:right w:val="single" w:sz="8" w:color="auto"/>
            </w:tcBorders>
            <w:gridSpan w:val="10"/>
          </w:tcPr>
          <w:p>
            <w:pPr>
              <w:spacing w:after="0"/>
              <w:rPr>
                <w:sz w:val="17"/>
                <w:szCs w:val="17"/>
                <w:color w:val="auto"/>
              </w:rPr>
            </w:pPr>
          </w:p>
        </w:tc>
        <w:tc>
          <w:tcPr>
            <w:tcW w:w="9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137916-</w:t>
            </w:r>
          </w:p>
        </w:tc>
        <w:tc>
          <w:tcPr>
            <w:tcW w:w="780" w:type="dxa"/>
            <w:vAlign w:val="bottom"/>
            <w:tcBorders>
              <w:right w:val="single" w:sz="8" w:color="auto"/>
            </w:tcBorders>
          </w:tcPr>
          <w:p>
            <w:pPr>
              <w:spacing w:after="0"/>
              <w:rPr>
                <w:sz w:val="17"/>
                <w:szCs w:val="17"/>
                <w:color w:val="auto"/>
              </w:rPr>
            </w:pPr>
          </w:p>
        </w:tc>
        <w:tc>
          <w:tcPr>
            <w:tcW w:w="1400" w:type="dxa"/>
            <w:vAlign w:val="bottom"/>
          </w:tcPr>
          <w:p>
            <w:pPr>
              <w:spacing w:after="0"/>
              <w:rPr>
                <w:sz w:val="17"/>
                <w:szCs w:val="17"/>
                <w:color w:val="auto"/>
              </w:rPr>
            </w:pPr>
          </w:p>
        </w:tc>
      </w:tr>
      <w:tr>
        <w:trPr>
          <w:trHeight w:val="196"/>
        </w:trPr>
        <w:tc>
          <w:tcPr>
            <w:tcW w:w="14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260" w:type="dxa"/>
            <w:vAlign w:val="bottom"/>
            <w:tcBorders>
              <w:right w:val="single" w:sz="8" w:color="auto"/>
            </w:tcBorders>
            <w:gridSpan w:val="17"/>
          </w:tcPr>
          <w:p>
            <w:pPr>
              <w:spacing w:after="0" w:line="196" w:lineRule="exact"/>
              <w:rPr>
                <w:rFonts w:ascii="Arial" w:cs="Arial" w:eastAsia="Arial" w:hAnsi="Arial"/>
                <w:sz w:val="18"/>
                <w:szCs w:val="18"/>
                <w:color w:val="0000EE"/>
              </w:rPr>
            </w:pPr>
            <w:hyperlink r:id="rId128">
              <w:r>
                <w:rPr>
                  <w:rFonts w:ascii="Arial" w:cs="Arial" w:eastAsia="Arial" w:hAnsi="Arial"/>
                  <w:sz w:val="18"/>
                  <w:szCs w:val="18"/>
                  <w:color w:val="0000EE"/>
                </w:rPr>
                <w:t>bookrunners.</w:t>
              </w:r>
            </w:hyperlink>
          </w:p>
        </w:tc>
        <w:tc>
          <w:tcPr>
            <w:tcW w:w="9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110)</w:t>
            </w:r>
          </w:p>
        </w:tc>
        <w:tc>
          <w:tcPr>
            <w:tcW w:w="780" w:type="dxa"/>
            <w:vAlign w:val="bottom"/>
            <w:tcBorders>
              <w:right w:val="single" w:sz="8" w:color="auto"/>
            </w:tcBorders>
          </w:tcPr>
          <w:p>
            <w:pPr>
              <w:spacing w:after="0"/>
              <w:rPr>
                <w:sz w:val="17"/>
                <w:szCs w:val="17"/>
                <w:color w:val="auto"/>
              </w:rPr>
            </w:pPr>
          </w:p>
        </w:tc>
        <w:tc>
          <w:tcPr>
            <w:tcW w:w="1400" w:type="dxa"/>
            <w:vAlign w:val="bottom"/>
          </w:tcPr>
          <w:p>
            <w:pPr>
              <w:spacing w:after="0"/>
              <w:rPr>
                <w:sz w:val="17"/>
                <w:szCs w:val="17"/>
                <w:color w:val="auto"/>
              </w:rPr>
            </w:pPr>
          </w:p>
        </w:tc>
      </w:tr>
      <w:tr>
        <w:trPr>
          <w:trHeight w:val="21"/>
        </w:trPr>
        <w:tc>
          <w:tcPr>
            <w:tcW w:w="1440" w:type="dxa"/>
            <w:vAlign w:val="bottom"/>
            <w:tcBorders>
              <w:right w:val="single" w:sz="8" w:color="auto"/>
            </w:tcBorders>
          </w:tcPr>
          <w:p>
            <w:pPr>
              <w:spacing w:after="0" w:line="20" w:lineRule="exact"/>
              <w:rPr>
                <w:sz w:val="1"/>
                <w:szCs w:val="1"/>
                <w:color w:val="auto"/>
              </w:rPr>
            </w:pPr>
          </w:p>
        </w:tc>
        <w:tc>
          <w:tcPr>
            <w:tcW w:w="660" w:type="dxa"/>
            <w:vAlign w:val="bottom"/>
            <w:tcBorders>
              <w:bottom w:val="single" w:sz="8" w:color="auto"/>
              <w:right w:val="single" w:sz="8" w:color="auto"/>
            </w:tcBorders>
          </w:tcPr>
          <w:p>
            <w:pPr>
              <w:spacing w:after="0" w:line="20" w:lineRule="exact"/>
              <w:rPr>
                <w:sz w:val="1"/>
                <w:szCs w:val="1"/>
                <w:color w:val="auto"/>
              </w:rPr>
            </w:pPr>
          </w:p>
        </w:tc>
        <w:tc>
          <w:tcPr>
            <w:tcW w:w="420" w:type="dxa"/>
            <w:vAlign w:val="bottom"/>
            <w:tcBorders>
              <w:top w:val="single" w:sz="8" w:color="0000EE"/>
              <w:bottom w:val="single" w:sz="8" w:color="auto"/>
            </w:tcBorders>
          </w:tcPr>
          <w:p>
            <w:pPr>
              <w:spacing w:after="0" w:line="20" w:lineRule="exact"/>
              <w:rPr>
                <w:sz w:val="1"/>
                <w:szCs w:val="1"/>
                <w:color w:val="auto"/>
              </w:rPr>
            </w:pPr>
          </w:p>
        </w:tc>
        <w:tc>
          <w:tcPr>
            <w:tcW w:w="500" w:type="dxa"/>
            <w:vAlign w:val="bottom"/>
            <w:tcBorders>
              <w:top w:val="single" w:sz="8" w:color="0000EE"/>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90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69"/>
        </w:trPr>
        <w:tc>
          <w:tcPr>
            <w:tcW w:w="1440" w:type="dxa"/>
            <w:vAlign w:val="bottom"/>
            <w:tcBorders>
              <w:right w:val="single" w:sz="8" w:color="auto"/>
            </w:tcBorders>
          </w:tcPr>
          <w:p>
            <w:pPr>
              <w:spacing w:after="0"/>
              <w:rPr>
                <w:sz w:val="14"/>
                <w:szCs w:val="14"/>
                <w:color w:val="auto"/>
              </w:rPr>
            </w:pPr>
          </w:p>
        </w:tc>
        <w:tc>
          <w:tcPr>
            <w:tcW w:w="660" w:type="dxa"/>
            <w:vAlign w:val="bottom"/>
            <w:tcBorders>
              <w:right w:val="single" w:sz="8" w:color="auto"/>
            </w:tcBorders>
          </w:tcPr>
          <w:p>
            <w:pPr>
              <w:spacing w:after="0" w:line="170" w:lineRule="exact"/>
              <w:rPr>
                <w:sz w:val="20"/>
                <w:szCs w:val="20"/>
                <w:color w:val="auto"/>
              </w:rPr>
            </w:pPr>
            <w:r>
              <w:rPr>
                <w:rFonts w:ascii="Arial" w:cs="Arial" w:eastAsia="Arial" w:hAnsi="Arial"/>
                <w:sz w:val="18"/>
                <w:szCs w:val="18"/>
                <w:color w:val="auto"/>
              </w:rPr>
              <w:t>10.1.1</w:t>
            </w:r>
          </w:p>
        </w:tc>
        <w:tc>
          <w:tcPr>
            <w:tcW w:w="6260" w:type="dxa"/>
            <w:vAlign w:val="bottom"/>
            <w:tcBorders>
              <w:right w:val="single" w:sz="8" w:color="auto"/>
            </w:tcBorders>
            <w:gridSpan w:val="17"/>
          </w:tcPr>
          <w:p>
            <w:pPr>
              <w:spacing w:after="0" w:line="170" w:lineRule="exact"/>
              <w:rPr>
                <w:rFonts w:ascii="Arial" w:cs="Arial" w:eastAsia="Arial" w:hAnsi="Arial"/>
                <w:sz w:val="18"/>
                <w:szCs w:val="18"/>
                <w:color w:val="0000EE"/>
                <w:w w:val="91"/>
              </w:rPr>
            </w:pPr>
            <w:hyperlink r:id="rId129">
              <w:r>
                <w:rPr>
                  <w:rFonts w:ascii="Arial" w:cs="Arial" w:eastAsia="Arial" w:hAnsi="Arial"/>
                  <w:sz w:val="18"/>
                  <w:szCs w:val="18"/>
                  <w:color w:val="0000EE"/>
                  <w:w w:val="91"/>
                </w:rPr>
                <w:t>Amendment No. 1, dated May 16, 2012, to the Credit Agreement, dated February 24,</w:t>
              </w:r>
            </w:hyperlink>
          </w:p>
        </w:tc>
        <w:tc>
          <w:tcPr>
            <w:tcW w:w="900" w:type="dxa"/>
            <w:vAlign w:val="bottom"/>
            <w:tcBorders>
              <w:right w:val="single" w:sz="8" w:color="auto"/>
            </w:tcBorders>
          </w:tcPr>
          <w:p>
            <w:pPr>
              <w:spacing w:after="0" w:line="170" w:lineRule="exact"/>
              <w:rPr>
                <w:sz w:val="20"/>
                <w:szCs w:val="20"/>
                <w:color w:val="auto"/>
              </w:rPr>
            </w:pPr>
            <w:r>
              <w:rPr>
                <w:rFonts w:ascii="Arial" w:cs="Arial" w:eastAsia="Arial" w:hAnsi="Arial"/>
                <w:sz w:val="18"/>
                <w:szCs w:val="18"/>
                <w:color w:val="auto"/>
              </w:rPr>
              <w:t>Current</w:t>
            </w:r>
          </w:p>
        </w:tc>
        <w:tc>
          <w:tcPr>
            <w:tcW w:w="780" w:type="dxa"/>
            <w:vAlign w:val="bottom"/>
            <w:tcBorders>
              <w:right w:val="single" w:sz="8" w:color="auto"/>
            </w:tcBorders>
          </w:tcPr>
          <w:p>
            <w:pPr>
              <w:spacing w:after="0" w:line="170" w:lineRule="exact"/>
              <w:rPr>
                <w:sz w:val="20"/>
                <w:szCs w:val="20"/>
                <w:color w:val="auto"/>
              </w:rPr>
            </w:pPr>
            <w:r>
              <w:rPr>
                <w:rFonts w:ascii="Arial" w:cs="Arial" w:eastAsia="Arial" w:hAnsi="Arial"/>
                <w:sz w:val="18"/>
                <w:szCs w:val="18"/>
                <w:color w:val="auto"/>
              </w:rPr>
              <w:t>May 17,</w:t>
            </w:r>
          </w:p>
        </w:tc>
        <w:tc>
          <w:tcPr>
            <w:tcW w:w="1400" w:type="dxa"/>
            <w:vAlign w:val="bottom"/>
          </w:tcPr>
          <w:p>
            <w:pPr>
              <w:spacing w:after="0"/>
              <w:rPr>
                <w:sz w:val="14"/>
                <w:szCs w:val="14"/>
                <w:color w:val="auto"/>
              </w:rPr>
            </w:pPr>
          </w:p>
        </w:tc>
      </w:tr>
      <w:tr>
        <w:trPr>
          <w:trHeight w:val="196"/>
        </w:trPr>
        <w:tc>
          <w:tcPr>
            <w:tcW w:w="14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590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9"/>
              </w:rPr>
            </w:pPr>
            <w:hyperlink r:id="rId129">
              <w:r>
                <w:rPr>
                  <w:rFonts w:ascii="Arial" w:cs="Arial" w:eastAsia="Arial" w:hAnsi="Arial"/>
                  <w:sz w:val="18"/>
                  <w:szCs w:val="18"/>
                  <w:color w:val="0000EE"/>
                  <w:w w:val="89"/>
                </w:rPr>
                <w:t>2011, by and among Burlington Coat Factory Warehouse Corporation, the lenders</w:t>
              </w:r>
            </w:hyperlink>
          </w:p>
        </w:tc>
        <w:tc>
          <w:tcPr>
            <w:tcW w:w="220" w:type="dxa"/>
            <w:vAlign w:val="bottom"/>
            <w:tcBorders>
              <w:top w:val="single" w:sz="8" w:color="0000EE"/>
            </w:tcBorders>
            <w:gridSpan w:val="5"/>
          </w:tcPr>
          <w:p>
            <w:pPr>
              <w:spacing w:after="0"/>
              <w:rPr>
                <w:sz w:val="17"/>
                <w:szCs w:val="17"/>
                <w:color w:val="auto"/>
              </w:rPr>
            </w:pPr>
          </w:p>
        </w:tc>
        <w:tc>
          <w:tcPr>
            <w:tcW w:w="140" w:type="dxa"/>
            <w:vAlign w:val="bottom"/>
            <w:tcBorders>
              <w:right w:val="single" w:sz="8" w:color="auto"/>
            </w:tcBorders>
            <w:gridSpan w:val="4"/>
          </w:tcPr>
          <w:p>
            <w:pPr>
              <w:spacing w:after="0"/>
              <w:rPr>
                <w:sz w:val="17"/>
                <w:szCs w:val="17"/>
                <w:color w:val="auto"/>
              </w:rPr>
            </w:pPr>
          </w:p>
        </w:tc>
        <w:tc>
          <w:tcPr>
            <w:tcW w:w="9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Report on</w:t>
            </w:r>
          </w:p>
        </w:tc>
        <w:tc>
          <w:tcPr>
            <w:tcW w:w="78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2012</w:t>
            </w:r>
          </w:p>
        </w:tc>
        <w:tc>
          <w:tcPr>
            <w:tcW w:w="1400" w:type="dxa"/>
            <w:vAlign w:val="bottom"/>
          </w:tcPr>
          <w:p>
            <w:pPr>
              <w:spacing w:after="0"/>
              <w:rPr>
                <w:sz w:val="17"/>
                <w:szCs w:val="17"/>
                <w:color w:val="auto"/>
              </w:rPr>
            </w:pPr>
          </w:p>
        </w:tc>
      </w:tr>
      <w:tr>
        <w:trPr>
          <w:trHeight w:val="196"/>
        </w:trPr>
        <w:tc>
          <w:tcPr>
            <w:tcW w:w="14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04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r:id="rId129">
              <w:r>
                <w:rPr>
                  <w:rFonts w:ascii="Arial" w:cs="Arial" w:eastAsia="Arial" w:hAnsi="Arial"/>
                  <w:sz w:val="18"/>
                  <w:szCs w:val="18"/>
                  <w:color w:val="0000EE"/>
                  <w:w w:val="89"/>
                </w:rPr>
                <w:t>party thereto, JPMorgan Chase Bank, N.A., as administrative agent and as collateral</w:t>
              </w:r>
            </w:hyperlink>
          </w:p>
        </w:tc>
        <w:tc>
          <w:tcPr>
            <w:tcW w:w="220" w:type="dxa"/>
            <w:vAlign w:val="bottom"/>
            <w:tcBorders>
              <w:right w:val="single" w:sz="8" w:color="auto"/>
            </w:tcBorders>
            <w:gridSpan w:val="8"/>
          </w:tcPr>
          <w:p>
            <w:pPr>
              <w:spacing w:after="0"/>
              <w:rPr>
                <w:sz w:val="17"/>
                <w:szCs w:val="17"/>
                <w:color w:val="auto"/>
              </w:rPr>
            </w:pPr>
          </w:p>
        </w:tc>
        <w:tc>
          <w:tcPr>
            <w:tcW w:w="9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Form 8-K</w:t>
            </w:r>
          </w:p>
        </w:tc>
        <w:tc>
          <w:tcPr>
            <w:tcW w:w="780" w:type="dxa"/>
            <w:vAlign w:val="bottom"/>
            <w:tcBorders>
              <w:right w:val="single" w:sz="8" w:color="auto"/>
            </w:tcBorders>
          </w:tcPr>
          <w:p>
            <w:pPr>
              <w:spacing w:after="0"/>
              <w:rPr>
                <w:sz w:val="17"/>
                <w:szCs w:val="17"/>
                <w:color w:val="auto"/>
              </w:rPr>
            </w:pPr>
          </w:p>
        </w:tc>
        <w:tc>
          <w:tcPr>
            <w:tcW w:w="1400" w:type="dxa"/>
            <w:vAlign w:val="bottom"/>
          </w:tcPr>
          <w:p>
            <w:pPr>
              <w:spacing w:after="0"/>
              <w:rPr>
                <w:sz w:val="17"/>
                <w:szCs w:val="17"/>
                <w:color w:val="auto"/>
              </w:rPr>
            </w:pPr>
          </w:p>
        </w:tc>
      </w:tr>
      <w:tr>
        <w:trPr>
          <w:trHeight w:val="196"/>
        </w:trPr>
        <w:tc>
          <w:tcPr>
            <w:tcW w:w="14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260" w:type="dxa"/>
            <w:vAlign w:val="bottom"/>
            <w:tcBorders>
              <w:right w:val="single" w:sz="8" w:color="auto"/>
            </w:tcBorders>
            <w:gridSpan w:val="17"/>
          </w:tcPr>
          <w:p>
            <w:pPr>
              <w:spacing w:after="0" w:line="196" w:lineRule="exact"/>
              <w:rPr>
                <w:rFonts w:ascii="Arial" w:cs="Arial" w:eastAsia="Arial" w:hAnsi="Arial"/>
                <w:sz w:val="18"/>
                <w:szCs w:val="18"/>
                <w:color w:val="0000EE"/>
              </w:rPr>
            </w:pPr>
            <w:hyperlink r:id="rId129">
              <w:r>
                <w:rPr>
                  <w:rFonts w:ascii="Arial" w:cs="Arial" w:eastAsia="Arial" w:hAnsi="Arial"/>
                  <w:sz w:val="18"/>
                  <w:szCs w:val="18"/>
                  <w:color w:val="0000EE"/>
                </w:rPr>
                <w:t>agent, and the other parties thereto.</w:t>
              </w:r>
            </w:hyperlink>
          </w:p>
        </w:tc>
        <w:tc>
          <w:tcPr>
            <w:tcW w:w="9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(File No.</w:t>
            </w:r>
          </w:p>
        </w:tc>
        <w:tc>
          <w:tcPr>
            <w:tcW w:w="780" w:type="dxa"/>
            <w:vAlign w:val="bottom"/>
            <w:tcBorders>
              <w:right w:val="single" w:sz="8" w:color="auto"/>
            </w:tcBorders>
          </w:tcPr>
          <w:p>
            <w:pPr>
              <w:spacing w:after="0"/>
              <w:rPr>
                <w:sz w:val="17"/>
                <w:szCs w:val="17"/>
                <w:color w:val="auto"/>
              </w:rPr>
            </w:pPr>
          </w:p>
        </w:tc>
        <w:tc>
          <w:tcPr>
            <w:tcW w:w="1400" w:type="dxa"/>
            <w:vAlign w:val="bottom"/>
          </w:tcPr>
          <w:p>
            <w:pPr>
              <w:spacing w:after="0"/>
              <w:rPr>
                <w:sz w:val="17"/>
                <w:szCs w:val="17"/>
                <w:color w:val="auto"/>
              </w:rPr>
            </w:pPr>
          </w:p>
        </w:tc>
      </w:tr>
      <w:tr>
        <w:trPr>
          <w:trHeight w:val="222"/>
        </w:trPr>
        <w:tc>
          <w:tcPr>
            <w:tcW w:w="1440" w:type="dxa"/>
            <w:vAlign w:val="bottom"/>
            <w:tcBorders>
              <w:right w:val="single" w:sz="8" w:color="auto"/>
            </w:tcBorders>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500" w:type="dxa"/>
            <w:vAlign w:val="bottom"/>
            <w:tcBorders>
              <w:top w:val="single" w:sz="8" w:color="0000EE"/>
            </w:tcBorders>
          </w:tcPr>
          <w:p>
            <w:pPr>
              <w:spacing w:after="0"/>
              <w:rPr>
                <w:sz w:val="19"/>
                <w:szCs w:val="19"/>
                <w:color w:val="auto"/>
              </w:rPr>
            </w:pPr>
          </w:p>
        </w:tc>
        <w:tc>
          <w:tcPr>
            <w:tcW w:w="1600" w:type="dxa"/>
            <w:vAlign w:val="bottom"/>
            <w:tcBorders>
              <w:top w:val="single" w:sz="8" w:color="0000EE"/>
            </w:tcBorders>
          </w:tcPr>
          <w:p>
            <w:pPr>
              <w:spacing w:after="0"/>
              <w:rPr>
                <w:sz w:val="19"/>
                <w:szCs w:val="19"/>
                <w:color w:val="auto"/>
              </w:rPr>
            </w:pPr>
          </w:p>
        </w:tc>
        <w:tc>
          <w:tcPr>
            <w:tcW w:w="16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333-</w:t>
            </w:r>
          </w:p>
        </w:tc>
        <w:tc>
          <w:tcPr>
            <w:tcW w:w="780" w:type="dxa"/>
            <w:vAlign w:val="bottom"/>
            <w:tcBorders>
              <w:right w:val="single" w:sz="8" w:color="auto"/>
            </w:tcBorders>
          </w:tcPr>
          <w:p>
            <w:pPr>
              <w:spacing w:after="0"/>
              <w:rPr>
                <w:sz w:val="19"/>
                <w:szCs w:val="19"/>
                <w:color w:val="auto"/>
              </w:rPr>
            </w:pPr>
          </w:p>
        </w:tc>
        <w:tc>
          <w:tcPr>
            <w:tcW w:w="1400" w:type="dxa"/>
            <w:vAlign w:val="bottom"/>
          </w:tcPr>
          <w:p>
            <w:pPr>
              <w:spacing w:after="0"/>
              <w:rPr>
                <w:sz w:val="19"/>
                <w:szCs w:val="19"/>
                <w:color w:val="auto"/>
              </w:rPr>
            </w:pPr>
          </w:p>
        </w:tc>
      </w:tr>
      <w:tr>
        <w:trPr>
          <w:trHeight w:val="216"/>
        </w:trPr>
        <w:tc>
          <w:tcPr>
            <w:tcW w:w="144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137916-</w:t>
            </w:r>
          </w:p>
        </w:tc>
        <w:tc>
          <w:tcPr>
            <w:tcW w:w="780" w:type="dxa"/>
            <w:vAlign w:val="bottom"/>
            <w:tcBorders>
              <w:right w:val="single" w:sz="8" w:color="auto"/>
            </w:tcBorders>
          </w:tcPr>
          <w:p>
            <w:pPr>
              <w:spacing w:after="0"/>
              <w:rPr>
                <w:sz w:val="18"/>
                <w:szCs w:val="18"/>
                <w:color w:val="auto"/>
              </w:rPr>
            </w:pPr>
          </w:p>
        </w:tc>
        <w:tc>
          <w:tcPr>
            <w:tcW w:w="1400" w:type="dxa"/>
            <w:vAlign w:val="bottom"/>
          </w:tcPr>
          <w:p>
            <w:pPr>
              <w:spacing w:after="0"/>
              <w:rPr>
                <w:sz w:val="18"/>
                <w:szCs w:val="18"/>
                <w:color w:val="auto"/>
              </w:rPr>
            </w:pPr>
          </w:p>
        </w:tc>
      </w:tr>
      <w:tr>
        <w:trPr>
          <w:trHeight w:val="230"/>
        </w:trPr>
        <w:tc>
          <w:tcPr>
            <w:tcW w:w="1440" w:type="dxa"/>
            <w:vAlign w:val="bottom"/>
            <w:tcBorders>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110)</w:t>
            </w:r>
          </w:p>
        </w:tc>
        <w:tc>
          <w:tcPr>
            <w:tcW w:w="780" w:type="dxa"/>
            <w:vAlign w:val="bottom"/>
            <w:tcBorders>
              <w:bottom w:val="single" w:sz="8" w:color="auto"/>
              <w:right w:val="single" w:sz="8" w:color="auto"/>
            </w:tcBorders>
          </w:tcPr>
          <w:p>
            <w:pPr>
              <w:spacing w:after="0"/>
              <w:rPr>
                <w:sz w:val="20"/>
                <w:szCs w:val="20"/>
                <w:color w:val="auto"/>
              </w:rPr>
            </w:pPr>
          </w:p>
        </w:tc>
        <w:tc>
          <w:tcPr>
            <w:tcW w:w="1400" w:type="dxa"/>
            <w:vAlign w:val="bottom"/>
          </w:tcPr>
          <w:p>
            <w:pPr>
              <w:spacing w:after="0"/>
              <w:rPr>
                <w:sz w:val="20"/>
                <w:szCs w:val="20"/>
                <w:color w:val="auto"/>
              </w:rPr>
            </w:pPr>
          </w:p>
        </w:tc>
      </w:tr>
      <w:tr>
        <w:trPr>
          <w:trHeight w:val="169"/>
        </w:trPr>
        <w:tc>
          <w:tcPr>
            <w:tcW w:w="1440" w:type="dxa"/>
            <w:vAlign w:val="bottom"/>
            <w:tcBorders>
              <w:right w:val="single" w:sz="8" w:color="auto"/>
            </w:tcBorders>
          </w:tcPr>
          <w:p>
            <w:pPr>
              <w:spacing w:after="0"/>
              <w:rPr>
                <w:sz w:val="14"/>
                <w:szCs w:val="14"/>
                <w:color w:val="auto"/>
              </w:rPr>
            </w:pPr>
          </w:p>
        </w:tc>
        <w:tc>
          <w:tcPr>
            <w:tcW w:w="660" w:type="dxa"/>
            <w:vAlign w:val="bottom"/>
            <w:tcBorders>
              <w:right w:val="single" w:sz="8" w:color="auto"/>
            </w:tcBorders>
          </w:tcPr>
          <w:p>
            <w:pPr>
              <w:spacing w:after="0" w:line="170" w:lineRule="exact"/>
              <w:rPr>
                <w:sz w:val="20"/>
                <w:szCs w:val="20"/>
                <w:color w:val="auto"/>
              </w:rPr>
            </w:pPr>
            <w:r>
              <w:rPr>
                <w:rFonts w:ascii="Arial" w:cs="Arial" w:eastAsia="Arial" w:hAnsi="Arial"/>
                <w:sz w:val="18"/>
                <w:szCs w:val="18"/>
                <w:color w:val="auto"/>
              </w:rPr>
              <w:t>10.1.2</w:t>
            </w:r>
          </w:p>
        </w:tc>
        <w:tc>
          <w:tcPr>
            <w:tcW w:w="6180" w:type="dxa"/>
            <w:vAlign w:val="bottom"/>
            <w:tcBorders>
              <w:bottom w:val="single" w:sz="8" w:color="0000EE"/>
            </w:tcBorders>
            <w:gridSpan w:val="15"/>
          </w:tcPr>
          <w:p>
            <w:pPr>
              <w:spacing w:after="0" w:line="170" w:lineRule="exact"/>
              <w:rPr>
                <w:rFonts w:ascii="Arial" w:cs="Arial" w:eastAsia="Arial" w:hAnsi="Arial"/>
                <w:sz w:val="18"/>
                <w:szCs w:val="18"/>
                <w:color w:val="0000EE"/>
                <w:w w:val="89"/>
              </w:rPr>
            </w:pPr>
            <w:hyperlink r:id="rId130">
              <w:r>
                <w:rPr>
                  <w:rFonts w:ascii="Arial" w:cs="Arial" w:eastAsia="Arial" w:hAnsi="Arial"/>
                  <w:sz w:val="18"/>
                  <w:szCs w:val="18"/>
                  <w:color w:val="0000EE"/>
                  <w:w w:val="89"/>
                </w:rPr>
                <w:t>Amendment No. 2, dated February 15, 2013, to the Credit Agreement, dated February</w:t>
              </w:r>
            </w:hyperlink>
          </w:p>
        </w:tc>
        <w:tc>
          <w:tcPr>
            <w:tcW w:w="80" w:type="dxa"/>
            <w:vAlign w:val="bottom"/>
            <w:tcBorders>
              <w:right w:val="single" w:sz="8" w:color="auto"/>
            </w:tcBorders>
            <w:gridSpan w:val="2"/>
          </w:tcPr>
          <w:p>
            <w:pPr>
              <w:spacing w:after="0"/>
              <w:rPr>
                <w:sz w:val="14"/>
                <w:szCs w:val="14"/>
                <w:color w:val="auto"/>
              </w:rPr>
            </w:pPr>
          </w:p>
        </w:tc>
        <w:tc>
          <w:tcPr>
            <w:tcW w:w="900" w:type="dxa"/>
            <w:vAlign w:val="bottom"/>
            <w:tcBorders>
              <w:right w:val="single" w:sz="8" w:color="auto"/>
            </w:tcBorders>
          </w:tcPr>
          <w:p>
            <w:pPr>
              <w:spacing w:after="0" w:line="170" w:lineRule="exact"/>
              <w:rPr>
                <w:sz w:val="20"/>
                <w:szCs w:val="20"/>
                <w:color w:val="auto"/>
              </w:rPr>
            </w:pPr>
            <w:r>
              <w:rPr>
                <w:rFonts w:ascii="Arial" w:cs="Arial" w:eastAsia="Arial" w:hAnsi="Arial"/>
                <w:sz w:val="18"/>
                <w:szCs w:val="18"/>
                <w:color w:val="auto"/>
              </w:rPr>
              <w:t>Current</w:t>
            </w:r>
          </w:p>
        </w:tc>
        <w:tc>
          <w:tcPr>
            <w:tcW w:w="780" w:type="dxa"/>
            <w:vAlign w:val="bottom"/>
            <w:tcBorders>
              <w:right w:val="single" w:sz="8" w:color="auto"/>
            </w:tcBorders>
          </w:tcPr>
          <w:p>
            <w:pPr>
              <w:spacing w:after="0" w:line="170" w:lineRule="exact"/>
              <w:rPr>
                <w:sz w:val="20"/>
                <w:szCs w:val="20"/>
                <w:color w:val="auto"/>
              </w:rPr>
            </w:pPr>
            <w:r>
              <w:rPr>
                <w:rFonts w:ascii="Arial" w:cs="Arial" w:eastAsia="Arial" w:hAnsi="Arial"/>
                <w:sz w:val="18"/>
                <w:szCs w:val="18"/>
                <w:color w:val="auto"/>
              </w:rPr>
              <w:t>February</w:t>
            </w:r>
          </w:p>
        </w:tc>
        <w:tc>
          <w:tcPr>
            <w:tcW w:w="1400" w:type="dxa"/>
            <w:vAlign w:val="bottom"/>
          </w:tcPr>
          <w:p>
            <w:pPr>
              <w:spacing w:after="0"/>
              <w:rPr>
                <w:sz w:val="14"/>
                <w:szCs w:val="14"/>
                <w:color w:val="auto"/>
              </w:rPr>
            </w:pPr>
          </w:p>
        </w:tc>
      </w:tr>
      <w:tr>
        <w:trPr>
          <w:trHeight w:val="196"/>
        </w:trPr>
        <w:tc>
          <w:tcPr>
            <w:tcW w:w="14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08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r:id="rId130">
              <w:r>
                <w:rPr>
                  <w:rFonts w:ascii="Arial" w:cs="Arial" w:eastAsia="Arial" w:hAnsi="Arial"/>
                  <w:sz w:val="18"/>
                  <w:szCs w:val="18"/>
                  <w:color w:val="0000EE"/>
                  <w:w w:val="89"/>
                </w:rPr>
                <w:t>24, 2011, by and among Burlington Coat Factory Warehouse Corporation, the lender</w:t>
              </w:r>
            </w:hyperlink>
          </w:p>
        </w:tc>
        <w:tc>
          <w:tcPr>
            <w:tcW w:w="180" w:type="dxa"/>
            <w:vAlign w:val="bottom"/>
            <w:tcBorders>
              <w:right w:val="single" w:sz="8" w:color="auto"/>
            </w:tcBorders>
            <w:gridSpan w:val="6"/>
          </w:tcPr>
          <w:p>
            <w:pPr>
              <w:spacing w:after="0"/>
              <w:rPr>
                <w:sz w:val="17"/>
                <w:szCs w:val="17"/>
                <w:color w:val="auto"/>
              </w:rPr>
            </w:pPr>
          </w:p>
        </w:tc>
        <w:tc>
          <w:tcPr>
            <w:tcW w:w="9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Report on</w:t>
            </w:r>
          </w:p>
        </w:tc>
        <w:tc>
          <w:tcPr>
            <w:tcW w:w="78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21, 2013</w:t>
            </w:r>
          </w:p>
        </w:tc>
        <w:tc>
          <w:tcPr>
            <w:tcW w:w="1400" w:type="dxa"/>
            <w:vAlign w:val="bottom"/>
          </w:tcPr>
          <w:p>
            <w:pPr>
              <w:spacing w:after="0"/>
              <w:rPr>
                <w:sz w:val="17"/>
                <w:szCs w:val="17"/>
                <w:color w:val="auto"/>
              </w:rPr>
            </w:pPr>
          </w:p>
        </w:tc>
      </w:tr>
      <w:tr>
        <w:trPr>
          <w:trHeight w:val="196"/>
        </w:trPr>
        <w:tc>
          <w:tcPr>
            <w:tcW w:w="14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260" w:type="dxa"/>
            <w:vAlign w:val="bottom"/>
            <w:tcBorders>
              <w:right w:val="single" w:sz="8" w:color="auto"/>
            </w:tcBorders>
            <w:gridSpan w:val="17"/>
          </w:tcPr>
          <w:p>
            <w:pPr>
              <w:spacing w:after="0" w:line="196" w:lineRule="exact"/>
              <w:rPr>
                <w:rFonts w:ascii="Arial" w:cs="Arial" w:eastAsia="Arial" w:hAnsi="Arial"/>
                <w:sz w:val="18"/>
                <w:szCs w:val="18"/>
                <w:color w:val="0000EE"/>
                <w:w w:val="90"/>
              </w:rPr>
            </w:pPr>
            <w:hyperlink r:id="rId130">
              <w:r>
                <w:rPr>
                  <w:rFonts w:ascii="Arial" w:cs="Arial" w:eastAsia="Arial" w:hAnsi="Arial"/>
                  <w:sz w:val="18"/>
                  <w:szCs w:val="18"/>
                  <w:color w:val="0000EE"/>
                  <w:w w:val="90"/>
                </w:rPr>
                <w:t>parties thereto, JPMorgan Chase Bank, N.A., as administrative agent and as collateral</w:t>
              </w:r>
            </w:hyperlink>
          </w:p>
        </w:tc>
        <w:tc>
          <w:tcPr>
            <w:tcW w:w="9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Form 8-K</w:t>
            </w:r>
          </w:p>
        </w:tc>
        <w:tc>
          <w:tcPr>
            <w:tcW w:w="780" w:type="dxa"/>
            <w:vAlign w:val="bottom"/>
            <w:tcBorders>
              <w:right w:val="single" w:sz="8" w:color="auto"/>
            </w:tcBorders>
          </w:tcPr>
          <w:p>
            <w:pPr>
              <w:spacing w:after="0"/>
              <w:rPr>
                <w:sz w:val="17"/>
                <w:szCs w:val="17"/>
                <w:color w:val="auto"/>
              </w:rPr>
            </w:pPr>
          </w:p>
        </w:tc>
        <w:tc>
          <w:tcPr>
            <w:tcW w:w="1400" w:type="dxa"/>
            <w:vAlign w:val="bottom"/>
          </w:tcPr>
          <w:p>
            <w:pPr>
              <w:spacing w:after="0"/>
              <w:rPr>
                <w:sz w:val="17"/>
                <w:szCs w:val="17"/>
                <w:color w:val="auto"/>
              </w:rPr>
            </w:pPr>
          </w:p>
        </w:tc>
      </w:tr>
      <w:tr>
        <w:trPr>
          <w:trHeight w:val="196"/>
        </w:trPr>
        <w:tc>
          <w:tcPr>
            <w:tcW w:w="14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14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r:id="rId130">
              <w:r>
                <w:rPr>
                  <w:rFonts w:ascii="Arial" w:cs="Arial" w:eastAsia="Arial" w:hAnsi="Arial"/>
                  <w:sz w:val="18"/>
                  <w:szCs w:val="18"/>
                  <w:color w:val="0000EE"/>
                </w:rPr>
                <w:t>agent, and the other parties thereto.</w:t>
              </w:r>
            </w:hyperlink>
          </w:p>
        </w:tc>
        <w:tc>
          <w:tcPr>
            <w:tcW w:w="120" w:type="dxa"/>
            <w:vAlign w:val="bottom"/>
            <w:tcBorders>
              <w:right w:val="single" w:sz="8" w:color="auto"/>
            </w:tcBorders>
            <w:gridSpan w:val="3"/>
          </w:tcPr>
          <w:p>
            <w:pPr>
              <w:spacing w:after="0"/>
              <w:rPr>
                <w:sz w:val="17"/>
                <w:szCs w:val="17"/>
                <w:color w:val="auto"/>
              </w:rPr>
            </w:pPr>
          </w:p>
        </w:tc>
        <w:tc>
          <w:tcPr>
            <w:tcW w:w="9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(File No.</w:t>
            </w:r>
          </w:p>
        </w:tc>
        <w:tc>
          <w:tcPr>
            <w:tcW w:w="780" w:type="dxa"/>
            <w:vAlign w:val="bottom"/>
            <w:tcBorders>
              <w:right w:val="single" w:sz="8" w:color="auto"/>
            </w:tcBorders>
          </w:tcPr>
          <w:p>
            <w:pPr>
              <w:spacing w:after="0"/>
              <w:rPr>
                <w:sz w:val="17"/>
                <w:szCs w:val="17"/>
                <w:color w:val="auto"/>
              </w:rPr>
            </w:pPr>
          </w:p>
        </w:tc>
        <w:tc>
          <w:tcPr>
            <w:tcW w:w="1400" w:type="dxa"/>
            <w:vAlign w:val="bottom"/>
          </w:tcPr>
          <w:p>
            <w:pPr>
              <w:spacing w:after="0"/>
              <w:rPr>
                <w:sz w:val="17"/>
                <w:szCs w:val="17"/>
                <w:color w:val="auto"/>
              </w:rPr>
            </w:pPr>
          </w:p>
        </w:tc>
      </w:tr>
      <w:tr>
        <w:trPr>
          <w:trHeight w:val="222"/>
        </w:trPr>
        <w:tc>
          <w:tcPr>
            <w:tcW w:w="1440" w:type="dxa"/>
            <w:vAlign w:val="bottom"/>
            <w:tcBorders>
              <w:right w:val="single" w:sz="8" w:color="auto"/>
            </w:tcBorders>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500" w:type="dxa"/>
            <w:vAlign w:val="bottom"/>
            <w:tcBorders>
              <w:top w:val="single" w:sz="8" w:color="0000EE"/>
            </w:tcBorders>
          </w:tcPr>
          <w:p>
            <w:pPr>
              <w:spacing w:after="0"/>
              <w:rPr>
                <w:sz w:val="19"/>
                <w:szCs w:val="19"/>
                <w:color w:val="auto"/>
              </w:rPr>
            </w:pPr>
          </w:p>
        </w:tc>
        <w:tc>
          <w:tcPr>
            <w:tcW w:w="1600" w:type="dxa"/>
            <w:vAlign w:val="bottom"/>
            <w:tcBorders>
              <w:top w:val="single" w:sz="8" w:color="0000EE"/>
            </w:tcBorders>
          </w:tcPr>
          <w:p>
            <w:pPr>
              <w:spacing w:after="0"/>
              <w:rPr>
                <w:sz w:val="19"/>
                <w:szCs w:val="19"/>
                <w:color w:val="auto"/>
              </w:rPr>
            </w:pPr>
          </w:p>
        </w:tc>
        <w:tc>
          <w:tcPr>
            <w:tcW w:w="16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333-</w:t>
            </w:r>
          </w:p>
        </w:tc>
        <w:tc>
          <w:tcPr>
            <w:tcW w:w="780" w:type="dxa"/>
            <w:vAlign w:val="bottom"/>
            <w:tcBorders>
              <w:right w:val="single" w:sz="8" w:color="auto"/>
            </w:tcBorders>
          </w:tcPr>
          <w:p>
            <w:pPr>
              <w:spacing w:after="0"/>
              <w:rPr>
                <w:sz w:val="19"/>
                <w:szCs w:val="19"/>
                <w:color w:val="auto"/>
              </w:rPr>
            </w:pPr>
          </w:p>
        </w:tc>
        <w:tc>
          <w:tcPr>
            <w:tcW w:w="1400" w:type="dxa"/>
            <w:vAlign w:val="bottom"/>
          </w:tcPr>
          <w:p>
            <w:pPr>
              <w:spacing w:after="0"/>
              <w:rPr>
                <w:sz w:val="19"/>
                <w:szCs w:val="19"/>
                <w:color w:val="auto"/>
              </w:rPr>
            </w:pPr>
          </w:p>
        </w:tc>
      </w:tr>
      <w:tr>
        <w:trPr>
          <w:trHeight w:val="216"/>
        </w:trPr>
        <w:tc>
          <w:tcPr>
            <w:tcW w:w="144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137916-</w:t>
            </w:r>
          </w:p>
        </w:tc>
        <w:tc>
          <w:tcPr>
            <w:tcW w:w="780" w:type="dxa"/>
            <w:vAlign w:val="bottom"/>
            <w:tcBorders>
              <w:right w:val="single" w:sz="8" w:color="auto"/>
            </w:tcBorders>
          </w:tcPr>
          <w:p>
            <w:pPr>
              <w:spacing w:after="0"/>
              <w:rPr>
                <w:sz w:val="18"/>
                <w:szCs w:val="18"/>
                <w:color w:val="auto"/>
              </w:rPr>
            </w:pPr>
          </w:p>
        </w:tc>
        <w:tc>
          <w:tcPr>
            <w:tcW w:w="1400" w:type="dxa"/>
            <w:vAlign w:val="bottom"/>
          </w:tcPr>
          <w:p>
            <w:pPr>
              <w:spacing w:after="0"/>
              <w:rPr>
                <w:sz w:val="18"/>
                <w:szCs w:val="18"/>
                <w:color w:val="auto"/>
              </w:rPr>
            </w:pPr>
          </w:p>
        </w:tc>
      </w:tr>
      <w:tr>
        <w:trPr>
          <w:trHeight w:val="230"/>
        </w:trPr>
        <w:tc>
          <w:tcPr>
            <w:tcW w:w="1440" w:type="dxa"/>
            <w:vAlign w:val="bottom"/>
            <w:tcBorders>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110)</w:t>
            </w:r>
          </w:p>
        </w:tc>
        <w:tc>
          <w:tcPr>
            <w:tcW w:w="780" w:type="dxa"/>
            <w:vAlign w:val="bottom"/>
            <w:tcBorders>
              <w:bottom w:val="single" w:sz="8" w:color="auto"/>
              <w:right w:val="single" w:sz="8" w:color="auto"/>
            </w:tcBorders>
          </w:tcPr>
          <w:p>
            <w:pPr>
              <w:spacing w:after="0"/>
              <w:rPr>
                <w:sz w:val="20"/>
                <w:szCs w:val="20"/>
                <w:color w:val="auto"/>
              </w:rPr>
            </w:pPr>
          </w:p>
        </w:tc>
        <w:tc>
          <w:tcPr>
            <w:tcW w:w="1400" w:type="dxa"/>
            <w:vAlign w:val="bottom"/>
          </w:tcPr>
          <w:p>
            <w:pPr>
              <w:spacing w:after="0"/>
              <w:rPr>
                <w:sz w:val="20"/>
                <w:szCs w:val="20"/>
                <w:color w:val="auto"/>
              </w:rPr>
            </w:pPr>
          </w:p>
        </w:tc>
      </w:tr>
      <w:tr>
        <w:trPr>
          <w:trHeight w:val="169"/>
        </w:trPr>
        <w:tc>
          <w:tcPr>
            <w:tcW w:w="1440" w:type="dxa"/>
            <w:vAlign w:val="bottom"/>
            <w:tcBorders>
              <w:right w:val="single" w:sz="8" w:color="auto"/>
            </w:tcBorders>
          </w:tcPr>
          <w:p>
            <w:pPr>
              <w:spacing w:after="0"/>
              <w:rPr>
                <w:sz w:val="14"/>
                <w:szCs w:val="14"/>
                <w:color w:val="auto"/>
              </w:rPr>
            </w:pPr>
          </w:p>
        </w:tc>
        <w:tc>
          <w:tcPr>
            <w:tcW w:w="660" w:type="dxa"/>
            <w:vAlign w:val="bottom"/>
            <w:tcBorders>
              <w:right w:val="single" w:sz="8" w:color="auto"/>
            </w:tcBorders>
          </w:tcPr>
          <w:p>
            <w:pPr>
              <w:spacing w:after="0" w:line="170" w:lineRule="exact"/>
              <w:rPr>
                <w:sz w:val="20"/>
                <w:szCs w:val="20"/>
                <w:color w:val="auto"/>
              </w:rPr>
            </w:pPr>
            <w:r>
              <w:rPr>
                <w:rFonts w:ascii="Arial" w:cs="Arial" w:eastAsia="Arial" w:hAnsi="Arial"/>
                <w:sz w:val="18"/>
                <w:szCs w:val="18"/>
                <w:color w:val="auto"/>
              </w:rPr>
              <w:t>10.1.3</w:t>
            </w:r>
          </w:p>
        </w:tc>
        <w:tc>
          <w:tcPr>
            <w:tcW w:w="6260" w:type="dxa"/>
            <w:vAlign w:val="bottom"/>
            <w:tcBorders>
              <w:right w:val="single" w:sz="8" w:color="auto"/>
            </w:tcBorders>
            <w:gridSpan w:val="17"/>
          </w:tcPr>
          <w:p>
            <w:pPr>
              <w:spacing w:after="0" w:line="170" w:lineRule="exact"/>
              <w:rPr>
                <w:rFonts w:ascii="Arial" w:cs="Arial" w:eastAsia="Arial" w:hAnsi="Arial"/>
                <w:sz w:val="18"/>
                <w:szCs w:val="18"/>
                <w:color w:val="0000EE"/>
                <w:w w:val="91"/>
              </w:rPr>
            </w:pPr>
            <w:hyperlink r:id="rId131">
              <w:r>
                <w:rPr>
                  <w:rFonts w:ascii="Arial" w:cs="Arial" w:eastAsia="Arial" w:hAnsi="Arial"/>
                  <w:sz w:val="18"/>
                  <w:szCs w:val="18"/>
                  <w:color w:val="0000EE"/>
                  <w:w w:val="91"/>
                </w:rPr>
                <w:t>Amendment No. 3, dated May 17, 2013, to the Credit Agreement, dated February 24,</w:t>
              </w:r>
            </w:hyperlink>
          </w:p>
        </w:tc>
        <w:tc>
          <w:tcPr>
            <w:tcW w:w="900" w:type="dxa"/>
            <w:vAlign w:val="bottom"/>
            <w:tcBorders>
              <w:right w:val="single" w:sz="8" w:color="auto"/>
            </w:tcBorders>
          </w:tcPr>
          <w:p>
            <w:pPr>
              <w:spacing w:after="0" w:line="170" w:lineRule="exact"/>
              <w:rPr>
                <w:sz w:val="20"/>
                <w:szCs w:val="20"/>
                <w:color w:val="auto"/>
              </w:rPr>
            </w:pPr>
            <w:r>
              <w:rPr>
                <w:rFonts w:ascii="Arial" w:cs="Arial" w:eastAsia="Arial" w:hAnsi="Arial"/>
                <w:sz w:val="18"/>
                <w:szCs w:val="18"/>
                <w:color w:val="auto"/>
              </w:rPr>
              <w:t>Current</w:t>
            </w:r>
          </w:p>
        </w:tc>
        <w:tc>
          <w:tcPr>
            <w:tcW w:w="780" w:type="dxa"/>
            <w:vAlign w:val="bottom"/>
            <w:tcBorders>
              <w:right w:val="single" w:sz="8" w:color="auto"/>
            </w:tcBorders>
          </w:tcPr>
          <w:p>
            <w:pPr>
              <w:spacing w:after="0" w:line="170" w:lineRule="exact"/>
              <w:rPr>
                <w:sz w:val="20"/>
                <w:szCs w:val="20"/>
                <w:color w:val="auto"/>
              </w:rPr>
            </w:pPr>
            <w:r>
              <w:rPr>
                <w:rFonts w:ascii="Arial" w:cs="Arial" w:eastAsia="Arial" w:hAnsi="Arial"/>
                <w:sz w:val="18"/>
                <w:szCs w:val="18"/>
                <w:color w:val="auto"/>
              </w:rPr>
              <w:t>May 22,</w:t>
            </w:r>
          </w:p>
        </w:tc>
        <w:tc>
          <w:tcPr>
            <w:tcW w:w="1400" w:type="dxa"/>
            <w:vAlign w:val="bottom"/>
          </w:tcPr>
          <w:p>
            <w:pPr>
              <w:spacing w:after="0"/>
              <w:rPr>
                <w:sz w:val="14"/>
                <w:szCs w:val="14"/>
                <w:color w:val="auto"/>
              </w:rPr>
            </w:pPr>
          </w:p>
        </w:tc>
      </w:tr>
      <w:tr>
        <w:trPr>
          <w:trHeight w:val="196"/>
        </w:trPr>
        <w:tc>
          <w:tcPr>
            <w:tcW w:w="14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590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9"/>
              </w:rPr>
            </w:pPr>
            <w:hyperlink r:id="rId131">
              <w:r>
                <w:rPr>
                  <w:rFonts w:ascii="Arial" w:cs="Arial" w:eastAsia="Arial" w:hAnsi="Arial"/>
                  <w:sz w:val="18"/>
                  <w:szCs w:val="18"/>
                  <w:color w:val="0000EE"/>
                  <w:w w:val="89"/>
                </w:rPr>
                <w:t>2011, by and among Burlington Coat Factory Warehouse Corporation, the lenders</w:t>
              </w:r>
            </w:hyperlink>
          </w:p>
        </w:tc>
        <w:tc>
          <w:tcPr>
            <w:tcW w:w="220" w:type="dxa"/>
            <w:vAlign w:val="bottom"/>
            <w:tcBorders>
              <w:top w:val="single" w:sz="8" w:color="0000EE"/>
            </w:tcBorders>
            <w:gridSpan w:val="5"/>
          </w:tcPr>
          <w:p>
            <w:pPr>
              <w:spacing w:after="0"/>
              <w:rPr>
                <w:sz w:val="17"/>
                <w:szCs w:val="17"/>
                <w:color w:val="auto"/>
              </w:rPr>
            </w:pPr>
          </w:p>
        </w:tc>
        <w:tc>
          <w:tcPr>
            <w:tcW w:w="140" w:type="dxa"/>
            <w:vAlign w:val="bottom"/>
            <w:tcBorders>
              <w:right w:val="single" w:sz="8" w:color="auto"/>
            </w:tcBorders>
            <w:gridSpan w:val="4"/>
          </w:tcPr>
          <w:p>
            <w:pPr>
              <w:spacing w:after="0"/>
              <w:rPr>
                <w:sz w:val="17"/>
                <w:szCs w:val="17"/>
                <w:color w:val="auto"/>
              </w:rPr>
            </w:pPr>
          </w:p>
        </w:tc>
        <w:tc>
          <w:tcPr>
            <w:tcW w:w="9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Report on</w:t>
            </w:r>
          </w:p>
        </w:tc>
        <w:tc>
          <w:tcPr>
            <w:tcW w:w="78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2013</w:t>
            </w:r>
          </w:p>
        </w:tc>
        <w:tc>
          <w:tcPr>
            <w:tcW w:w="1400" w:type="dxa"/>
            <w:vAlign w:val="bottom"/>
          </w:tcPr>
          <w:p>
            <w:pPr>
              <w:spacing w:after="0"/>
              <w:rPr>
                <w:sz w:val="17"/>
                <w:szCs w:val="17"/>
                <w:color w:val="auto"/>
              </w:rPr>
            </w:pPr>
          </w:p>
        </w:tc>
      </w:tr>
      <w:tr>
        <w:trPr>
          <w:trHeight w:val="196"/>
        </w:trPr>
        <w:tc>
          <w:tcPr>
            <w:tcW w:w="14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04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r:id="rId131">
              <w:r>
                <w:rPr>
                  <w:rFonts w:ascii="Arial" w:cs="Arial" w:eastAsia="Arial" w:hAnsi="Arial"/>
                  <w:sz w:val="18"/>
                  <w:szCs w:val="18"/>
                  <w:color w:val="0000EE"/>
                  <w:w w:val="89"/>
                </w:rPr>
                <w:t>party thereto, JPMorgan Chase Bank, N.A., as administrative agent and as collateral</w:t>
              </w:r>
            </w:hyperlink>
          </w:p>
        </w:tc>
        <w:tc>
          <w:tcPr>
            <w:tcW w:w="220" w:type="dxa"/>
            <w:vAlign w:val="bottom"/>
            <w:tcBorders>
              <w:right w:val="single" w:sz="8" w:color="auto"/>
            </w:tcBorders>
            <w:gridSpan w:val="8"/>
          </w:tcPr>
          <w:p>
            <w:pPr>
              <w:spacing w:after="0"/>
              <w:rPr>
                <w:sz w:val="17"/>
                <w:szCs w:val="17"/>
                <w:color w:val="auto"/>
              </w:rPr>
            </w:pPr>
          </w:p>
        </w:tc>
        <w:tc>
          <w:tcPr>
            <w:tcW w:w="9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Form 8-K</w:t>
            </w:r>
          </w:p>
        </w:tc>
        <w:tc>
          <w:tcPr>
            <w:tcW w:w="780" w:type="dxa"/>
            <w:vAlign w:val="bottom"/>
            <w:tcBorders>
              <w:right w:val="single" w:sz="8" w:color="auto"/>
            </w:tcBorders>
          </w:tcPr>
          <w:p>
            <w:pPr>
              <w:spacing w:after="0"/>
              <w:rPr>
                <w:sz w:val="17"/>
                <w:szCs w:val="17"/>
                <w:color w:val="auto"/>
              </w:rPr>
            </w:pPr>
          </w:p>
        </w:tc>
        <w:tc>
          <w:tcPr>
            <w:tcW w:w="1400" w:type="dxa"/>
            <w:vAlign w:val="bottom"/>
          </w:tcPr>
          <w:p>
            <w:pPr>
              <w:spacing w:after="0"/>
              <w:rPr>
                <w:sz w:val="17"/>
                <w:szCs w:val="17"/>
                <w:color w:val="auto"/>
              </w:rPr>
            </w:pPr>
          </w:p>
        </w:tc>
      </w:tr>
      <w:tr>
        <w:trPr>
          <w:trHeight w:val="196"/>
        </w:trPr>
        <w:tc>
          <w:tcPr>
            <w:tcW w:w="14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260" w:type="dxa"/>
            <w:vAlign w:val="bottom"/>
            <w:tcBorders>
              <w:right w:val="single" w:sz="8" w:color="auto"/>
            </w:tcBorders>
            <w:gridSpan w:val="17"/>
          </w:tcPr>
          <w:p>
            <w:pPr>
              <w:spacing w:after="0" w:line="196" w:lineRule="exact"/>
              <w:rPr>
                <w:rFonts w:ascii="Arial" w:cs="Arial" w:eastAsia="Arial" w:hAnsi="Arial"/>
                <w:sz w:val="18"/>
                <w:szCs w:val="18"/>
                <w:color w:val="0000EE"/>
              </w:rPr>
            </w:pPr>
            <w:hyperlink r:id="rId131">
              <w:r>
                <w:rPr>
                  <w:rFonts w:ascii="Arial" w:cs="Arial" w:eastAsia="Arial" w:hAnsi="Arial"/>
                  <w:sz w:val="18"/>
                  <w:szCs w:val="18"/>
                  <w:color w:val="0000EE"/>
                </w:rPr>
                <w:t>agent.</w:t>
              </w:r>
            </w:hyperlink>
          </w:p>
        </w:tc>
        <w:tc>
          <w:tcPr>
            <w:tcW w:w="9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(File No.</w:t>
            </w:r>
          </w:p>
        </w:tc>
        <w:tc>
          <w:tcPr>
            <w:tcW w:w="780" w:type="dxa"/>
            <w:vAlign w:val="bottom"/>
            <w:tcBorders>
              <w:right w:val="single" w:sz="8" w:color="auto"/>
            </w:tcBorders>
          </w:tcPr>
          <w:p>
            <w:pPr>
              <w:spacing w:after="0"/>
              <w:rPr>
                <w:sz w:val="17"/>
                <w:szCs w:val="17"/>
                <w:color w:val="auto"/>
              </w:rPr>
            </w:pPr>
          </w:p>
        </w:tc>
        <w:tc>
          <w:tcPr>
            <w:tcW w:w="1400" w:type="dxa"/>
            <w:vAlign w:val="bottom"/>
          </w:tcPr>
          <w:p>
            <w:pPr>
              <w:spacing w:after="0"/>
              <w:rPr>
                <w:sz w:val="17"/>
                <w:szCs w:val="17"/>
                <w:color w:val="auto"/>
              </w:rPr>
            </w:pPr>
          </w:p>
        </w:tc>
      </w:tr>
      <w:tr>
        <w:trPr>
          <w:trHeight w:val="222"/>
        </w:trPr>
        <w:tc>
          <w:tcPr>
            <w:tcW w:w="1440" w:type="dxa"/>
            <w:vAlign w:val="bottom"/>
            <w:tcBorders>
              <w:right w:val="single" w:sz="8" w:color="auto"/>
            </w:tcBorders>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5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333-</w:t>
            </w:r>
          </w:p>
        </w:tc>
        <w:tc>
          <w:tcPr>
            <w:tcW w:w="780" w:type="dxa"/>
            <w:vAlign w:val="bottom"/>
            <w:tcBorders>
              <w:right w:val="single" w:sz="8" w:color="auto"/>
            </w:tcBorders>
          </w:tcPr>
          <w:p>
            <w:pPr>
              <w:spacing w:after="0"/>
              <w:rPr>
                <w:sz w:val="19"/>
                <w:szCs w:val="19"/>
                <w:color w:val="auto"/>
              </w:rPr>
            </w:pPr>
          </w:p>
        </w:tc>
        <w:tc>
          <w:tcPr>
            <w:tcW w:w="1400" w:type="dxa"/>
            <w:vAlign w:val="bottom"/>
          </w:tcPr>
          <w:p>
            <w:pPr>
              <w:spacing w:after="0"/>
              <w:rPr>
                <w:sz w:val="19"/>
                <w:szCs w:val="19"/>
                <w:color w:val="auto"/>
              </w:rPr>
            </w:pPr>
          </w:p>
        </w:tc>
      </w:tr>
      <w:tr>
        <w:trPr>
          <w:trHeight w:val="216"/>
        </w:trPr>
        <w:tc>
          <w:tcPr>
            <w:tcW w:w="144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137916-</w:t>
            </w:r>
          </w:p>
        </w:tc>
        <w:tc>
          <w:tcPr>
            <w:tcW w:w="780" w:type="dxa"/>
            <w:vAlign w:val="bottom"/>
            <w:tcBorders>
              <w:right w:val="single" w:sz="8" w:color="auto"/>
            </w:tcBorders>
          </w:tcPr>
          <w:p>
            <w:pPr>
              <w:spacing w:after="0"/>
              <w:rPr>
                <w:sz w:val="18"/>
                <w:szCs w:val="18"/>
                <w:color w:val="auto"/>
              </w:rPr>
            </w:pPr>
          </w:p>
        </w:tc>
        <w:tc>
          <w:tcPr>
            <w:tcW w:w="1400" w:type="dxa"/>
            <w:vAlign w:val="bottom"/>
          </w:tcPr>
          <w:p>
            <w:pPr>
              <w:spacing w:after="0"/>
              <w:rPr>
                <w:sz w:val="18"/>
                <w:szCs w:val="18"/>
                <w:color w:val="auto"/>
              </w:rPr>
            </w:pPr>
          </w:p>
        </w:tc>
      </w:tr>
      <w:tr>
        <w:trPr>
          <w:trHeight w:val="230"/>
        </w:trPr>
        <w:tc>
          <w:tcPr>
            <w:tcW w:w="1440" w:type="dxa"/>
            <w:vAlign w:val="bottom"/>
            <w:tcBorders>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110)</w:t>
            </w:r>
          </w:p>
        </w:tc>
        <w:tc>
          <w:tcPr>
            <w:tcW w:w="780" w:type="dxa"/>
            <w:vAlign w:val="bottom"/>
            <w:tcBorders>
              <w:bottom w:val="single" w:sz="8" w:color="auto"/>
              <w:right w:val="single" w:sz="8" w:color="auto"/>
            </w:tcBorders>
          </w:tcPr>
          <w:p>
            <w:pPr>
              <w:spacing w:after="0"/>
              <w:rPr>
                <w:sz w:val="20"/>
                <w:szCs w:val="20"/>
                <w:color w:val="auto"/>
              </w:rPr>
            </w:pPr>
          </w:p>
        </w:tc>
        <w:tc>
          <w:tcPr>
            <w:tcW w:w="1400" w:type="dxa"/>
            <w:vAlign w:val="bottom"/>
          </w:tcPr>
          <w:p>
            <w:pPr>
              <w:spacing w:after="0"/>
              <w:rPr>
                <w:sz w:val="20"/>
                <w:szCs w:val="20"/>
                <w:color w:val="auto"/>
              </w:rPr>
            </w:pPr>
          </w:p>
        </w:tc>
      </w:tr>
      <w:tr>
        <w:trPr>
          <w:trHeight w:val="169"/>
        </w:trPr>
        <w:tc>
          <w:tcPr>
            <w:tcW w:w="1440" w:type="dxa"/>
            <w:vAlign w:val="bottom"/>
            <w:tcBorders>
              <w:right w:val="single" w:sz="8" w:color="auto"/>
            </w:tcBorders>
          </w:tcPr>
          <w:p>
            <w:pPr>
              <w:spacing w:after="0"/>
              <w:rPr>
                <w:sz w:val="14"/>
                <w:szCs w:val="14"/>
                <w:color w:val="auto"/>
              </w:rPr>
            </w:pPr>
          </w:p>
        </w:tc>
        <w:tc>
          <w:tcPr>
            <w:tcW w:w="660" w:type="dxa"/>
            <w:vAlign w:val="bottom"/>
            <w:tcBorders>
              <w:right w:val="single" w:sz="8" w:color="auto"/>
            </w:tcBorders>
          </w:tcPr>
          <w:p>
            <w:pPr>
              <w:spacing w:after="0" w:line="170" w:lineRule="exact"/>
              <w:rPr>
                <w:sz w:val="20"/>
                <w:szCs w:val="20"/>
                <w:color w:val="auto"/>
              </w:rPr>
            </w:pPr>
            <w:r>
              <w:rPr>
                <w:rFonts w:ascii="Arial" w:cs="Arial" w:eastAsia="Arial" w:hAnsi="Arial"/>
                <w:sz w:val="18"/>
                <w:szCs w:val="18"/>
                <w:color w:val="auto"/>
              </w:rPr>
              <w:t>10.1.4</w:t>
            </w:r>
          </w:p>
        </w:tc>
        <w:tc>
          <w:tcPr>
            <w:tcW w:w="6060" w:type="dxa"/>
            <w:vAlign w:val="bottom"/>
            <w:tcBorders>
              <w:bottom w:val="single" w:sz="8" w:color="0000EE"/>
            </w:tcBorders>
            <w:gridSpan w:val="10"/>
          </w:tcPr>
          <w:p>
            <w:pPr>
              <w:spacing w:after="0" w:line="170" w:lineRule="exact"/>
              <w:rPr>
                <w:rFonts w:ascii="Arial" w:cs="Arial" w:eastAsia="Arial" w:hAnsi="Arial"/>
                <w:sz w:val="18"/>
                <w:szCs w:val="18"/>
                <w:color w:val="0000EE"/>
                <w:w w:val="90"/>
              </w:rPr>
            </w:pPr>
            <w:hyperlink r:id="rId132">
              <w:r>
                <w:rPr>
                  <w:rFonts w:ascii="Arial" w:cs="Arial" w:eastAsia="Arial" w:hAnsi="Arial"/>
                  <w:sz w:val="18"/>
                  <w:szCs w:val="18"/>
                  <w:color w:val="0000EE"/>
                  <w:w w:val="90"/>
                </w:rPr>
                <w:t>Amendment No. 4, dated August 13, 2014, to the Credit Agreement, dated February</w:t>
              </w:r>
            </w:hyperlink>
          </w:p>
        </w:tc>
        <w:tc>
          <w:tcPr>
            <w:tcW w:w="200" w:type="dxa"/>
            <w:vAlign w:val="bottom"/>
            <w:tcBorders>
              <w:right w:val="single" w:sz="8" w:color="auto"/>
            </w:tcBorders>
            <w:gridSpan w:val="7"/>
          </w:tcPr>
          <w:p>
            <w:pPr>
              <w:spacing w:after="0"/>
              <w:rPr>
                <w:sz w:val="14"/>
                <w:szCs w:val="14"/>
                <w:color w:val="auto"/>
              </w:rPr>
            </w:pPr>
          </w:p>
        </w:tc>
        <w:tc>
          <w:tcPr>
            <w:tcW w:w="900" w:type="dxa"/>
            <w:vAlign w:val="bottom"/>
            <w:tcBorders>
              <w:right w:val="single" w:sz="8" w:color="auto"/>
            </w:tcBorders>
          </w:tcPr>
          <w:p>
            <w:pPr>
              <w:spacing w:after="0" w:line="170" w:lineRule="exact"/>
              <w:rPr>
                <w:sz w:val="20"/>
                <w:szCs w:val="20"/>
                <w:color w:val="auto"/>
              </w:rPr>
            </w:pPr>
            <w:r>
              <w:rPr>
                <w:rFonts w:ascii="Arial" w:cs="Arial" w:eastAsia="Arial" w:hAnsi="Arial"/>
                <w:sz w:val="18"/>
                <w:szCs w:val="18"/>
                <w:color w:val="auto"/>
              </w:rPr>
              <w:t>Current</w:t>
            </w:r>
          </w:p>
        </w:tc>
        <w:tc>
          <w:tcPr>
            <w:tcW w:w="780" w:type="dxa"/>
            <w:vAlign w:val="bottom"/>
            <w:tcBorders>
              <w:right w:val="single" w:sz="8" w:color="auto"/>
            </w:tcBorders>
          </w:tcPr>
          <w:p>
            <w:pPr>
              <w:spacing w:after="0" w:line="170" w:lineRule="exact"/>
              <w:rPr>
                <w:sz w:val="20"/>
                <w:szCs w:val="20"/>
                <w:color w:val="auto"/>
              </w:rPr>
            </w:pPr>
            <w:r>
              <w:rPr>
                <w:rFonts w:ascii="Arial" w:cs="Arial" w:eastAsia="Arial" w:hAnsi="Arial"/>
                <w:sz w:val="18"/>
                <w:szCs w:val="18"/>
                <w:color w:val="auto"/>
              </w:rPr>
              <w:t>August</w:t>
            </w:r>
          </w:p>
        </w:tc>
        <w:tc>
          <w:tcPr>
            <w:tcW w:w="1400" w:type="dxa"/>
            <w:vAlign w:val="bottom"/>
          </w:tcPr>
          <w:p>
            <w:pPr>
              <w:spacing w:after="0"/>
              <w:rPr>
                <w:sz w:val="14"/>
                <w:szCs w:val="14"/>
                <w:color w:val="auto"/>
              </w:rPr>
            </w:pPr>
          </w:p>
        </w:tc>
      </w:tr>
      <w:tr>
        <w:trPr>
          <w:trHeight w:val="196"/>
        </w:trPr>
        <w:tc>
          <w:tcPr>
            <w:tcW w:w="14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260" w:type="dxa"/>
            <w:vAlign w:val="bottom"/>
            <w:tcBorders>
              <w:right w:val="single" w:sz="8" w:color="auto"/>
            </w:tcBorders>
            <w:gridSpan w:val="17"/>
          </w:tcPr>
          <w:p>
            <w:pPr>
              <w:spacing w:after="0" w:line="196" w:lineRule="exact"/>
              <w:rPr>
                <w:rFonts w:ascii="Arial" w:cs="Arial" w:eastAsia="Arial" w:hAnsi="Arial"/>
                <w:sz w:val="18"/>
                <w:szCs w:val="18"/>
                <w:color w:val="0000EE"/>
                <w:w w:val="91"/>
              </w:rPr>
            </w:pPr>
            <w:hyperlink r:id="rId132">
              <w:r>
                <w:rPr>
                  <w:rFonts w:ascii="Arial" w:cs="Arial" w:eastAsia="Arial" w:hAnsi="Arial"/>
                  <w:sz w:val="18"/>
                  <w:szCs w:val="18"/>
                  <w:color w:val="0000EE"/>
                  <w:w w:val="91"/>
                </w:rPr>
                <w:t>24, 2011, by and among Burlington Coat Factory Warehouse Corporation, the lenders</w:t>
              </w:r>
            </w:hyperlink>
          </w:p>
        </w:tc>
        <w:tc>
          <w:tcPr>
            <w:tcW w:w="9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Report on</w:t>
            </w:r>
          </w:p>
        </w:tc>
        <w:tc>
          <w:tcPr>
            <w:tcW w:w="78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18, 2014</w:t>
            </w:r>
          </w:p>
        </w:tc>
        <w:tc>
          <w:tcPr>
            <w:tcW w:w="1400" w:type="dxa"/>
            <w:vAlign w:val="bottom"/>
          </w:tcPr>
          <w:p>
            <w:pPr>
              <w:spacing w:after="0"/>
              <w:rPr>
                <w:sz w:val="17"/>
                <w:szCs w:val="17"/>
                <w:color w:val="auto"/>
              </w:rPr>
            </w:pPr>
          </w:p>
        </w:tc>
      </w:tr>
      <w:tr>
        <w:trPr>
          <w:trHeight w:val="196"/>
        </w:trPr>
        <w:tc>
          <w:tcPr>
            <w:tcW w:w="14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04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9"/>
              </w:rPr>
            </w:pPr>
            <w:hyperlink r:id="rId132">
              <w:r>
                <w:rPr>
                  <w:rFonts w:ascii="Arial" w:cs="Arial" w:eastAsia="Arial" w:hAnsi="Arial"/>
                  <w:sz w:val="18"/>
                  <w:szCs w:val="18"/>
                  <w:color w:val="0000EE"/>
                  <w:w w:val="89"/>
                </w:rPr>
                <w:t>party thereto, JPMorgan Chase Bank, N.A., as administrative agent and as collateral</w:t>
              </w:r>
            </w:hyperlink>
          </w:p>
        </w:tc>
        <w:tc>
          <w:tcPr>
            <w:tcW w:w="100" w:type="dxa"/>
            <w:vAlign w:val="bottom"/>
            <w:tcBorders>
              <w:top w:val="single" w:sz="8" w:color="0000EE"/>
            </w:tcBorders>
            <w:gridSpan w:val="5"/>
          </w:tcPr>
          <w:p>
            <w:pPr>
              <w:spacing w:after="0"/>
              <w:rPr>
                <w:sz w:val="17"/>
                <w:szCs w:val="17"/>
                <w:color w:val="auto"/>
              </w:rPr>
            </w:pPr>
          </w:p>
        </w:tc>
        <w:tc>
          <w:tcPr>
            <w:tcW w:w="120" w:type="dxa"/>
            <w:vAlign w:val="bottom"/>
            <w:tcBorders>
              <w:right w:val="single" w:sz="8" w:color="auto"/>
            </w:tcBorders>
            <w:gridSpan w:val="3"/>
          </w:tcPr>
          <w:p>
            <w:pPr>
              <w:spacing w:after="0"/>
              <w:rPr>
                <w:sz w:val="17"/>
                <w:szCs w:val="17"/>
                <w:color w:val="auto"/>
              </w:rPr>
            </w:pPr>
          </w:p>
        </w:tc>
        <w:tc>
          <w:tcPr>
            <w:tcW w:w="9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Form 8-K</w:t>
            </w:r>
          </w:p>
        </w:tc>
        <w:tc>
          <w:tcPr>
            <w:tcW w:w="780" w:type="dxa"/>
            <w:vAlign w:val="bottom"/>
            <w:tcBorders>
              <w:right w:val="single" w:sz="8" w:color="auto"/>
            </w:tcBorders>
          </w:tcPr>
          <w:p>
            <w:pPr>
              <w:spacing w:after="0"/>
              <w:rPr>
                <w:sz w:val="17"/>
                <w:szCs w:val="17"/>
                <w:color w:val="auto"/>
              </w:rPr>
            </w:pPr>
          </w:p>
        </w:tc>
        <w:tc>
          <w:tcPr>
            <w:tcW w:w="1400" w:type="dxa"/>
            <w:vAlign w:val="bottom"/>
          </w:tcPr>
          <w:p>
            <w:pPr>
              <w:spacing w:after="0"/>
              <w:rPr>
                <w:sz w:val="17"/>
                <w:szCs w:val="17"/>
                <w:color w:val="auto"/>
              </w:rPr>
            </w:pPr>
          </w:p>
        </w:tc>
      </w:tr>
      <w:tr>
        <w:trPr>
          <w:trHeight w:val="196"/>
        </w:trPr>
        <w:tc>
          <w:tcPr>
            <w:tcW w:w="14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260" w:type="dxa"/>
            <w:vAlign w:val="bottom"/>
            <w:tcBorders>
              <w:right w:val="single" w:sz="8" w:color="auto"/>
            </w:tcBorders>
            <w:gridSpan w:val="17"/>
          </w:tcPr>
          <w:p>
            <w:pPr>
              <w:spacing w:after="0" w:line="196" w:lineRule="exact"/>
              <w:rPr>
                <w:rFonts w:ascii="Arial" w:cs="Arial" w:eastAsia="Arial" w:hAnsi="Arial"/>
                <w:sz w:val="18"/>
                <w:szCs w:val="18"/>
                <w:color w:val="0000EE"/>
              </w:rPr>
            </w:pPr>
            <w:hyperlink r:id="rId132">
              <w:r>
                <w:rPr>
                  <w:rFonts w:ascii="Arial" w:cs="Arial" w:eastAsia="Arial" w:hAnsi="Arial"/>
                  <w:sz w:val="18"/>
                  <w:szCs w:val="18"/>
                  <w:color w:val="0000EE"/>
                </w:rPr>
                <w:t>agent.</w:t>
              </w:r>
            </w:hyperlink>
          </w:p>
        </w:tc>
        <w:tc>
          <w:tcPr>
            <w:tcW w:w="9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(File No.</w:t>
            </w:r>
          </w:p>
        </w:tc>
        <w:tc>
          <w:tcPr>
            <w:tcW w:w="780" w:type="dxa"/>
            <w:vAlign w:val="bottom"/>
            <w:tcBorders>
              <w:right w:val="single" w:sz="8" w:color="auto"/>
            </w:tcBorders>
          </w:tcPr>
          <w:p>
            <w:pPr>
              <w:spacing w:after="0"/>
              <w:rPr>
                <w:sz w:val="17"/>
                <w:szCs w:val="17"/>
                <w:color w:val="auto"/>
              </w:rPr>
            </w:pPr>
          </w:p>
        </w:tc>
        <w:tc>
          <w:tcPr>
            <w:tcW w:w="1400" w:type="dxa"/>
            <w:vAlign w:val="bottom"/>
          </w:tcPr>
          <w:p>
            <w:pPr>
              <w:spacing w:after="0"/>
              <w:rPr>
                <w:sz w:val="17"/>
                <w:szCs w:val="17"/>
                <w:color w:val="auto"/>
              </w:rPr>
            </w:pPr>
          </w:p>
        </w:tc>
      </w:tr>
      <w:tr>
        <w:trPr>
          <w:trHeight w:val="237"/>
        </w:trPr>
        <w:tc>
          <w:tcPr>
            <w:tcW w:w="1440" w:type="dxa"/>
            <w:vAlign w:val="bottom"/>
            <w:tcBorders>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420" w:type="dxa"/>
            <w:vAlign w:val="bottom"/>
            <w:tcBorders>
              <w:top w:val="single" w:sz="8" w:color="0000EE"/>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w w:val="93"/>
              </w:rPr>
              <w:t>001-36107)</w:t>
            </w:r>
          </w:p>
        </w:tc>
        <w:tc>
          <w:tcPr>
            <w:tcW w:w="780" w:type="dxa"/>
            <w:vAlign w:val="bottom"/>
            <w:tcBorders>
              <w:bottom w:val="single" w:sz="8" w:color="auto"/>
              <w:right w:val="single" w:sz="8" w:color="auto"/>
            </w:tcBorders>
          </w:tcPr>
          <w:p>
            <w:pPr>
              <w:spacing w:after="0"/>
              <w:rPr>
                <w:sz w:val="20"/>
                <w:szCs w:val="20"/>
                <w:color w:val="auto"/>
              </w:rPr>
            </w:pPr>
          </w:p>
        </w:tc>
        <w:tc>
          <w:tcPr>
            <w:tcW w:w="1400" w:type="dxa"/>
            <w:vAlign w:val="bottom"/>
          </w:tcPr>
          <w:p>
            <w:pPr>
              <w:spacing w:after="0"/>
              <w:rPr>
                <w:sz w:val="20"/>
                <w:szCs w:val="20"/>
                <w:color w:val="auto"/>
              </w:rPr>
            </w:pPr>
          </w:p>
        </w:tc>
      </w:tr>
      <w:tr>
        <w:trPr>
          <w:trHeight w:val="426"/>
        </w:trPr>
        <w:tc>
          <w:tcPr>
            <w:tcW w:w="1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120" w:type="dxa"/>
            <w:vAlign w:val="bottom"/>
            <w:gridSpan w:val="4"/>
          </w:tcPr>
          <w:p>
            <w:pPr>
              <w:jc w:val="right"/>
              <w:ind w:right="420"/>
              <w:spacing w:after="0"/>
              <w:rPr>
                <w:sz w:val="20"/>
                <w:szCs w:val="20"/>
                <w:color w:val="auto"/>
              </w:rPr>
            </w:pPr>
            <w:r>
              <w:rPr>
                <w:rFonts w:ascii="Arial" w:cs="Arial" w:eastAsia="Arial" w:hAnsi="Arial"/>
                <w:sz w:val="18"/>
                <w:szCs w:val="18"/>
                <w:color w:val="auto"/>
              </w:rPr>
              <w:t>88</w:t>
            </w:r>
          </w:p>
        </w:tc>
        <w:tc>
          <w:tcPr>
            <w:tcW w:w="1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15"/>
        </w:trPr>
        <w:tc>
          <w:tcPr>
            <w:tcW w:w="14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414" w:gutter="0" w:footer="0" w:header="0"/>
        </w:sectPr>
      </w:pPr>
    </w:p>
    <w:bookmarkStart w:id="90" w:name="page91"/>
    <w:bookmarkEnd w:id="90"/>
    <w:p>
      <w:pPr>
        <w:spacing w:after="0" w:line="62" w:lineRule="exact"/>
        <w:rPr>
          <w:sz w:val="20"/>
          <w:szCs w:val="20"/>
          <w:color w:val="auto"/>
        </w:rPr>
      </w:pPr>
    </w:p>
    <w:tbl>
      <w:tblPr>
        <w:tblLayout w:type="fixed"/>
        <w:tblInd w:w="230" w:type="dxa"/>
        <w:tblCellMar>
          <w:top w:w="0" w:type="dxa"/>
          <w:left w:w="0" w:type="dxa"/>
          <w:bottom w:w="0" w:type="dxa"/>
          <w:right w:w="0" w:type="dxa"/>
        </w:tblCellMar>
      </w:tblPr>
      <w:tr>
        <w:trPr>
          <w:trHeight w:val="211"/>
        </w:trPr>
        <w:tc>
          <w:tcPr>
            <w:tcW w:w="680" w:type="dxa"/>
            <w:vAlign w:val="bottom"/>
            <w:tcBorders>
              <w:top w:val="single" w:sz="8" w:color="auto"/>
              <w:left w:val="single" w:sz="8" w:color="auto"/>
              <w:right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0" w:type="dxa"/>
            <w:vAlign w:val="bottom"/>
            <w:tcBorders>
              <w:top w:val="single" w:sz="8" w:color="auto"/>
              <w:right w:val="single" w:sz="8" w:color="auto"/>
            </w:tcBorders>
          </w:tcPr>
          <w:p>
            <w:pPr>
              <w:spacing w:after="0"/>
              <w:rPr>
                <w:sz w:val="18"/>
                <w:szCs w:val="18"/>
                <w:color w:val="auto"/>
              </w:rPr>
            </w:pPr>
          </w:p>
        </w:tc>
        <w:tc>
          <w:tcPr>
            <w:tcW w:w="1680" w:type="dxa"/>
            <w:vAlign w:val="bottom"/>
            <w:tcBorders>
              <w:top w:val="single" w:sz="8" w:color="auto"/>
              <w:right w:val="single" w:sz="8" w:color="auto"/>
            </w:tcBorders>
            <w:gridSpan w:val="2"/>
          </w:tcPr>
          <w:p>
            <w:pPr>
              <w:jc w:val="right"/>
              <w:ind w:right="130"/>
              <w:spacing w:after="0"/>
              <w:rPr>
                <w:sz w:val="20"/>
                <w:szCs w:val="20"/>
                <w:color w:val="auto"/>
              </w:rPr>
            </w:pPr>
            <w:r>
              <w:rPr>
                <w:rFonts w:ascii="Arial" w:cs="Arial" w:eastAsia="Arial" w:hAnsi="Arial"/>
                <w:sz w:val="18"/>
                <w:szCs w:val="18"/>
                <w:b w:val="1"/>
                <w:bCs w:val="1"/>
                <w:color w:val="auto"/>
              </w:rPr>
              <w:t>Incorporated by</w:t>
            </w:r>
          </w:p>
        </w:tc>
      </w:tr>
      <w:tr>
        <w:trPr>
          <w:trHeight w:val="234"/>
        </w:trPr>
        <w:tc>
          <w:tcPr>
            <w:tcW w:w="680" w:type="dxa"/>
            <w:vAlign w:val="bottom"/>
            <w:tcBorders>
              <w:left w:val="single" w:sz="8" w:color="auto"/>
              <w:righ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gridSpan w:val="2"/>
          </w:tcPr>
          <w:p>
            <w:pPr>
              <w:ind w:left="440"/>
              <w:spacing w:after="0"/>
              <w:rPr>
                <w:sz w:val="20"/>
                <w:szCs w:val="20"/>
                <w:color w:val="auto"/>
              </w:rPr>
            </w:pPr>
            <w:r>
              <w:rPr>
                <w:rFonts w:ascii="Arial" w:cs="Arial" w:eastAsia="Arial" w:hAnsi="Arial"/>
                <w:sz w:val="18"/>
                <w:szCs w:val="18"/>
                <w:b w:val="1"/>
                <w:bCs w:val="1"/>
                <w:color w:val="auto"/>
              </w:rPr>
              <w:t>Reference</w:t>
            </w:r>
          </w:p>
        </w:tc>
      </w:tr>
      <w:tr>
        <w:trPr>
          <w:trHeight w:val="191"/>
        </w:trPr>
        <w:tc>
          <w:tcPr>
            <w:tcW w:w="680" w:type="dxa"/>
            <w:vAlign w:val="bottom"/>
            <w:tcBorders>
              <w:left w:val="single" w:sz="8" w:color="auto"/>
              <w:right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2"/>
              </w:rPr>
              <w:t>Form and</w:t>
            </w:r>
          </w:p>
        </w:tc>
        <w:tc>
          <w:tcPr>
            <w:tcW w:w="780" w:type="dxa"/>
            <w:vAlign w:val="bottom"/>
            <w:tcBorders>
              <w:right w:val="single" w:sz="8" w:color="auto"/>
            </w:tcBorders>
          </w:tcPr>
          <w:p>
            <w:pPr>
              <w:spacing w:after="0"/>
              <w:rPr>
                <w:sz w:val="16"/>
                <w:szCs w:val="16"/>
                <w:color w:val="auto"/>
              </w:rPr>
            </w:pPr>
          </w:p>
        </w:tc>
      </w:tr>
      <w:tr>
        <w:trPr>
          <w:trHeight w:val="216"/>
        </w:trPr>
        <w:tc>
          <w:tcPr>
            <w:tcW w:w="6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w w:val="99"/>
              </w:rPr>
              <w:t>Exhibit</w:t>
            </w: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SEC file</w:t>
            </w:r>
          </w:p>
        </w:tc>
        <w:tc>
          <w:tcPr>
            <w:tcW w:w="780" w:type="dxa"/>
            <w:vAlign w:val="bottom"/>
            <w:tcBorders>
              <w:right w:val="single" w:sz="8" w:color="auto"/>
            </w:tcBorders>
          </w:tcPr>
          <w:p>
            <w:pPr>
              <w:ind w:left="160"/>
              <w:spacing w:after="0"/>
              <w:rPr>
                <w:sz w:val="20"/>
                <w:szCs w:val="20"/>
                <w:color w:val="auto"/>
              </w:rPr>
            </w:pPr>
            <w:r>
              <w:rPr>
                <w:rFonts w:ascii="Arial" w:cs="Arial" w:eastAsia="Arial" w:hAnsi="Arial"/>
                <w:sz w:val="18"/>
                <w:szCs w:val="18"/>
                <w:b w:val="1"/>
                <w:bCs w:val="1"/>
                <w:color w:val="auto"/>
              </w:rPr>
              <w:t>Filing</w:t>
            </w:r>
          </w:p>
        </w:tc>
      </w:tr>
      <w:tr>
        <w:trPr>
          <w:trHeight w:val="234"/>
        </w:trPr>
        <w:tc>
          <w:tcPr>
            <w:tcW w:w="68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w w:val="94"/>
              </w:rPr>
              <w:t>Number</w:t>
            </w:r>
          </w:p>
        </w:tc>
        <w:tc>
          <w:tcPr>
            <w:tcW w:w="4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4880" w:type="dxa"/>
            <w:vAlign w:val="bottom"/>
            <w:tcBorders>
              <w:bottom w:val="single" w:sz="8" w:color="auto"/>
              <w:right w:val="single" w:sz="8" w:color="auto"/>
            </w:tcBorders>
            <w:gridSpan w:val="25"/>
          </w:tcPr>
          <w:p>
            <w:pPr>
              <w:ind w:left="980"/>
              <w:spacing w:after="0"/>
              <w:rPr>
                <w:sz w:val="20"/>
                <w:szCs w:val="20"/>
                <w:color w:val="auto"/>
              </w:rPr>
            </w:pPr>
            <w:r>
              <w:rPr>
                <w:rFonts w:ascii="Arial" w:cs="Arial" w:eastAsia="Arial" w:hAnsi="Arial"/>
                <w:sz w:val="18"/>
                <w:szCs w:val="18"/>
                <w:b w:val="1"/>
                <w:bCs w:val="1"/>
                <w:color w:val="auto"/>
              </w:rPr>
              <w:t>Exhibit Description</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No.</w:t>
            </w:r>
          </w:p>
        </w:tc>
        <w:tc>
          <w:tcPr>
            <w:tcW w:w="780" w:type="dxa"/>
            <w:vAlign w:val="bottom"/>
            <w:tcBorders>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Date</w:t>
            </w:r>
          </w:p>
        </w:tc>
      </w:tr>
      <w:tr>
        <w:trPr>
          <w:trHeight w:val="169"/>
        </w:trPr>
        <w:tc>
          <w:tcPr>
            <w:tcW w:w="680" w:type="dxa"/>
            <w:vAlign w:val="bottom"/>
            <w:tcBorders>
              <w:left w:val="single" w:sz="8" w:color="auto"/>
              <w:right w:val="single" w:sz="8" w:color="auto"/>
            </w:tcBorders>
          </w:tcPr>
          <w:p>
            <w:pPr>
              <w:spacing w:after="0" w:line="170" w:lineRule="exact"/>
              <w:rPr>
                <w:sz w:val="20"/>
                <w:szCs w:val="20"/>
                <w:color w:val="auto"/>
              </w:rPr>
            </w:pPr>
            <w:r>
              <w:rPr>
                <w:rFonts w:ascii="Arial" w:cs="Arial" w:eastAsia="Arial" w:hAnsi="Arial"/>
                <w:sz w:val="18"/>
                <w:szCs w:val="18"/>
                <w:color w:val="auto"/>
              </w:rPr>
              <w:t>10.1.5</w:t>
            </w:r>
          </w:p>
        </w:tc>
        <w:tc>
          <w:tcPr>
            <w:tcW w:w="6100" w:type="dxa"/>
            <w:vAlign w:val="bottom"/>
            <w:tcBorders>
              <w:bottom w:val="single" w:sz="8" w:color="0000EE"/>
            </w:tcBorders>
            <w:gridSpan w:val="23"/>
          </w:tcPr>
          <w:p>
            <w:pPr>
              <w:spacing w:after="0" w:line="170" w:lineRule="exact"/>
              <w:rPr>
                <w:rFonts w:ascii="Arial" w:cs="Arial" w:eastAsia="Arial" w:hAnsi="Arial"/>
                <w:sz w:val="18"/>
                <w:szCs w:val="18"/>
                <w:color w:val="0000EE"/>
                <w:w w:val="90"/>
              </w:rPr>
            </w:pPr>
            <w:hyperlink r:id="rId135">
              <w:r>
                <w:rPr>
                  <w:rFonts w:ascii="Arial" w:cs="Arial" w:eastAsia="Arial" w:hAnsi="Arial"/>
                  <w:sz w:val="18"/>
                  <w:szCs w:val="18"/>
                  <w:color w:val="0000EE"/>
                  <w:w w:val="90"/>
                </w:rPr>
                <w:t>Amendment No. 5, dated July 29, 2016, to the Credit Agreement, dated February 24,</w:t>
              </w:r>
            </w:hyperlink>
          </w:p>
        </w:tc>
        <w:tc>
          <w:tcPr>
            <w:tcW w:w="160" w:type="dxa"/>
            <w:vAlign w:val="bottom"/>
            <w:tcBorders>
              <w:right w:val="single" w:sz="8" w:color="auto"/>
            </w:tcBorders>
            <w:gridSpan w:val="4"/>
          </w:tcPr>
          <w:p>
            <w:pPr>
              <w:spacing w:after="0"/>
              <w:rPr>
                <w:sz w:val="14"/>
                <w:szCs w:val="14"/>
                <w:color w:val="auto"/>
              </w:rPr>
            </w:pPr>
          </w:p>
        </w:tc>
        <w:tc>
          <w:tcPr>
            <w:tcW w:w="900" w:type="dxa"/>
            <w:vAlign w:val="bottom"/>
            <w:tcBorders>
              <w:right w:val="single" w:sz="8" w:color="auto"/>
            </w:tcBorders>
          </w:tcPr>
          <w:p>
            <w:pPr>
              <w:spacing w:after="0" w:line="170" w:lineRule="exact"/>
              <w:rPr>
                <w:sz w:val="20"/>
                <w:szCs w:val="20"/>
                <w:color w:val="auto"/>
              </w:rPr>
            </w:pPr>
            <w:r>
              <w:rPr>
                <w:rFonts w:ascii="Arial" w:cs="Arial" w:eastAsia="Arial" w:hAnsi="Arial"/>
                <w:sz w:val="18"/>
                <w:szCs w:val="18"/>
                <w:color w:val="auto"/>
              </w:rPr>
              <w:t>Current</w:t>
            </w:r>
          </w:p>
        </w:tc>
        <w:tc>
          <w:tcPr>
            <w:tcW w:w="780" w:type="dxa"/>
            <w:vAlign w:val="bottom"/>
            <w:tcBorders>
              <w:right w:val="single" w:sz="8" w:color="auto"/>
            </w:tcBorders>
          </w:tcPr>
          <w:p>
            <w:pPr>
              <w:spacing w:after="0" w:line="170" w:lineRule="exact"/>
              <w:rPr>
                <w:sz w:val="20"/>
                <w:szCs w:val="20"/>
                <w:color w:val="auto"/>
              </w:rPr>
            </w:pPr>
            <w:r>
              <w:rPr>
                <w:rFonts w:ascii="Arial" w:cs="Arial" w:eastAsia="Arial" w:hAnsi="Arial"/>
                <w:sz w:val="18"/>
                <w:szCs w:val="18"/>
                <w:color w:val="auto"/>
              </w:rPr>
              <w:t>July 29,</w:t>
            </w:r>
          </w:p>
        </w:tc>
      </w:tr>
      <w:tr>
        <w:trPr>
          <w:trHeight w:val="196"/>
        </w:trPr>
        <w:tc>
          <w:tcPr>
            <w:tcW w:w="680" w:type="dxa"/>
            <w:vAlign w:val="bottom"/>
            <w:tcBorders>
              <w:left w:val="single" w:sz="8" w:color="auto"/>
              <w:right w:val="single" w:sz="8" w:color="auto"/>
            </w:tcBorders>
          </w:tcPr>
          <w:p>
            <w:pPr>
              <w:spacing w:after="0"/>
              <w:rPr>
                <w:sz w:val="17"/>
                <w:szCs w:val="17"/>
                <w:color w:val="auto"/>
              </w:rPr>
            </w:pPr>
          </w:p>
        </w:tc>
        <w:tc>
          <w:tcPr>
            <w:tcW w:w="588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r:id="rId135">
              <w:r>
                <w:rPr>
                  <w:rFonts w:ascii="Arial" w:cs="Arial" w:eastAsia="Arial" w:hAnsi="Arial"/>
                  <w:sz w:val="18"/>
                  <w:szCs w:val="18"/>
                  <w:color w:val="0000EE"/>
                  <w:w w:val="89"/>
                </w:rPr>
                <w:t>2011, by and among Burlington Coat Factory Warehouse Corporation, the lenders</w:t>
              </w:r>
            </w:hyperlink>
          </w:p>
        </w:tc>
        <w:tc>
          <w:tcPr>
            <w:tcW w:w="380" w:type="dxa"/>
            <w:vAlign w:val="bottom"/>
            <w:tcBorders>
              <w:right w:val="single" w:sz="8" w:color="auto"/>
            </w:tcBorders>
            <w:gridSpan w:val="13"/>
          </w:tcPr>
          <w:p>
            <w:pPr>
              <w:spacing w:after="0"/>
              <w:rPr>
                <w:sz w:val="17"/>
                <w:szCs w:val="17"/>
                <w:color w:val="auto"/>
              </w:rPr>
            </w:pPr>
          </w:p>
        </w:tc>
        <w:tc>
          <w:tcPr>
            <w:tcW w:w="9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Report on</w:t>
            </w:r>
          </w:p>
        </w:tc>
        <w:tc>
          <w:tcPr>
            <w:tcW w:w="78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2016</w:t>
            </w:r>
          </w:p>
        </w:tc>
      </w:tr>
      <w:tr>
        <w:trPr>
          <w:trHeight w:val="196"/>
        </w:trPr>
        <w:tc>
          <w:tcPr>
            <w:tcW w:w="680" w:type="dxa"/>
            <w:vAlign w:val="bottom"/>
            <w:tcBorders>
              <w:left w:val="single" w:sz="8" w:color="auto"/>
              <w:right w:val="single" w:sz="8" w:color="auto"/>
            </w:tcBorders>
          </w:tcPr>
          <w:p>
            <w:pPr>
              <w:spacing w:after="0"/>
              <w:rPr>
                <w:sz w:val="17"/>
                <w:szCs w:val="17"/>
                <w:color w:val="auto"/>
              </w:rPr>
            </w:pPr>
          </w:p>
        </w:tc>
        <w:tc>
          <w:tcPr>
            <w:tcW w:w="6040" w:type="dxa"/>
            <w:vAlign w:val="bottom"/>
            <w:tcBorders>
              <w:bottom w:val="single" w:sz="8" w:color="0000EE"/>
            </w:tcBorders>
            <w:gridSpan w:val="20"/>
          </w:tcPr>
          <w:p>
            <w:pPr>
              <w:spacing w:after="0" w:line="196" w:lineRule="exact"/>
              <w:rPr>
                <w:rFonts w:ascii="Arial" w:cs="Arial" w:eastAsia="Arial" w:hAnsi="Arial"/>
                <w:sz w:val="18"/>
                <w:szCs w:val="18"/>
                <w:color w:val="0000EE"/>
                <w:w w:val="89"/>
              </w:rPr>
            </w:pPr>
            <w:hyperlink r:id="rId135">
              <w:r>
                <w:rPr>
                  <w:rFonts w:ascii="Arial" w:cs="Arial" w:eastAsia="Arial" w:hAnsi="Arial"/>
                  <w:sz w:val="18"/>
                  <w:szCs w:val="18"/>
                  <w:color w:val="0000EE"/>
                  <w:w w:val="89"/>
                </w:rPr>
                <w:t>party thereto, JPMorgan Chase Bank, N.A., as administrative agent and as collateral</w:t>
              </w:r>
            </w:hyperlink>
          </w:p>
        </w:tc>
        <w:tc>
          <w:tcPr>
            <w:tcW w:w="220" w:type="dxa"/>
            <w:vAlign w:val="bottom"/>
            <w:tcBorders>
              <w:right w:val="single" w:sz="8" w:color="auto"/>
            </w:tcBorders>
            <w:gridSpan w:val="7"/>
          </w:tcPr>
          <w:p>
            <w:pPr>
              <w:spacing w:after="0"/>
              <w:rPr>
                <w:sz w:val="17"/>
                <w:szCs w:val="17"/>
                <w:color w:val="auto"/>
              </w:rPr>
            </w:pPr>
          </w:p>
        </w:tc>
        <w:tc>
          <w:tcPr>
            <w:tcW w:w="9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Form 8-K</w:t>
            </w:r>
          </w:p>
        </w:tc>
        <w:tc>
          <w:tcPr>
            <w:tcW w:w="780" w:type="dxa"/>
            <w:vAlign w:val="bottom"/>
            <w:tcBorders>
              <w:right w:val="single" w:sz="8" w:color="auto"/>
            </w:tcBorders>
          </w:tcPr>
          <w:p>
            <w:pPr>
              <w:spacing w:after="0"/>
              <w:rPr>
                <w:sz w:val="17"/>
                <w:szCs w:val="17"/>
                <w:color w:val="auto"/>
              </w:rPr>
            </w:pPr>
          </w:p>
        </w:tc>
      </w:tr>
      <w:tr>
        <w:trPr>
          <w:trHeight w:val="196"/>
        </w:trPr>
        <w:tc>
          <w:tcPr>
            <w:tcW w:w="680" w:type="dxa"/>
            <w:vAlign w:val="bottom"/>
            <w:tcBorders>
              <w:left w:val="single" w:sz="8" w:color="auto"/>
              <w:right w:val="single" w:sz="8" w:color="auto"/>
            </w:tcBorders>
          </w:tcPr>
          <w:p>
            <w:pPr>
              <w:spacing w:after="0"/>
              <w:rPr>
                <w:sz w:val="17"/>
                <w:szCs w:val="17"/>
                <w:color w:val="auto"/>
              </w:rPr>
            </w:pPr>
          </w:p>
        </w:tc>
        <w:tc>
          <w:tcPr>
            <w:tcW w:w="6260" w:type="dxa"/>
            <w:vAlign w:val="bottom"/>
            <w:tcBorders>
              <w:right w:val="single" w:sz="8" w:color="auto"/>
            </w:tcBorders>
            <w:gridSpan w:val="27"/>
          </w:tcPr>
          <w:p>
            <w:pPr>
              <w:spacing w:after="0" w:line="196" w:lineRule="exact"/>
              <w:rPr>
                <w:rFonts w:ascii="Arial" w:cs="Arial" w:eastAsia="Arial" w:hAnsi="Arial"/>
                <w:sz w:val="18"/>
                <w:szCs w:val="18"/>
                <w:color w:val="0000EE"/>
              </w:rPr>
            </w:pPr>
            <w:hyperlink r:id="rId135">
              <w:r>
                <w:rPr>
                  <w:rFonts w:ascii="Arial" w:cs="Arial" w:eastAsia="Arial" w:hAnsi="Arial"/>
                  <w:sz w:val="18"/>
                  <w:szCs w:val="18"/>
                  <w:color w:val="0000EE"/>
                </w:rPr>
                <w:t>agent.</w:t>
              </w:r>
            </w:hyperlink>
          </w:p>
        </w:tc>
        <w:tc>
          <w:tcPr>
            <w:tcW w:w="9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(File No.</w:t>
            </w:r>
          </w:p>
        </w:tc>
        <w:tc>
          <w:tcPr>
            <w:tcW w:w="780" w:type="dxa"/>
            <w:vAlign w:val="bottom"/>
            <w:tcBorders>
              <w:right w:val="single" w:sz="8" w:color="auto"/>
            </w:tcBorders>
          </w:tcPr>
          <w:p>
            <w:pPr>
              <w:spacing w:after="0"/>
              <w:rPr>
                <w:sz w:val="17"/>
                <w:szCs w:val="17"/>
                <w:color w:val="auto"/>
              </w:rPr>
            </w:pPr>
          </w:p>
        </w:tc>
      </w:tr>
      <w:tr>
        <w:trPr>
          <w:trHeight w:val="237"/>
        </w:trPr>
        <w:tc>
          <w:tcPr>
            <w:tcW w:w="680" w:type="dxa"/>
            <w:vAlign w:val="bottom"/>
            <w:tcBorders>
              <w:left w:val="single" w:sz="8" w:color="auto"/>
              <w:bottom w:val="single" w:sz="8" w:color="auto"/>
              <w:right w:val="single" w:sz="8" w:color="auto"/>
            </w:tcBorders>
          </w:tcPr>
          <w:p>
            <w:pPr>
              <w:spacing w:after="0"/>
              <w:rPr>
                <w:sz w:val="20"/>
                <w:szCs w:val="20"/>
                <w:color w:val="auto"/>
              </w:rPr>
            </w:pPr>
          </w:p>
        </w:tc>
        <w:tc>
          <w:tcPr>
            <w:tcW w:w="420" w:type="dxa"/>
            <w:vAlign w:val="bottom"/>
            <w:tcBorders>
              <w:top w:val="single" w:sz="8" w:color="0000EE"/>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w w:val="93"/>
              </w:rPr>
              <w:t>001-36107)</w:t>
            </w:r>
          </w:p>
        </w:tc>
        <w:tc>
          <w:tcPr>
            <w:tcW w:w="780" w:type="dxa"/>
            <w:vAlign w:val="bottom"/>
            <w:tcBorders>
              <w:bottom w:val="single" w:sz="8" w:color="auto"/>
              <w:right w:val="single" w:sz="8" w:color="auto"/>
            </w:tcBorders>
          </w:tcPr>
          <w:p>
            <w:pPr>
              <w:spacing w:after="0"/>
              <w:rPr>
                <w:sz w:val="20"/>
                <w:szCs w:val="20"/>
                <w:color w:val="auto"/>
              </w:rPr>
            </w:pPr>
          </w:p>
        </w:tc>
      </w:tr>
      <w:tr>
        <w:trPr>
          <w:trHeight w:val="169"/>
        </w:trPr>
        <w:tc>
          <w:tcPr>
            <w:tcW w:w="680" w:type="dxa"/>
            <w:vAlign w:val="bottom"/>
            <w:tcBorders>
              <w:left w:val="single" w:sz="8" w:color="auto"/>
              <w:right w:val="single" w:sz="8" w:color="auto"/>
            </w:tcBorders>
          </w:tcPr>
          <w:p>
            <w:pPr>
              <w:spacing w:after="0" w:line="170" w:lineRule="exact"/>
              <w:rPr>
                <w:sz w:val="20"/>
                <w:szCs w:val="20"/>
                <w:color w:val="auto"/>
              </w:rPr>
            </w:pPr>
            <w:r>
              <w:rPr>
                <w:rFonts w:ascii="Arial" w:cs="Arial" w:eastAsia="Arial" w:hAnsi="Arial"/>
                <w:sz w:val="18"/>
                <w:szCs w:val="18"/>
                <w:color w:val="auto"/>
              </w:rPr>
              <w:t>10.1.6</w:t>
            </w:r>
          </w:p>
        </w:tc>
        <w:tc>
          <w:tcPr>
            <w:tcW w:w="6060" w:type="dxa"/>
            <w:vAlign w:val="bottom"/>
            <w:tcBorders>
              <w:bottom w:val="single" w:sz="8" w:color="0000EE"/>
            </w:tcBorders>
            <w:gridSpan w:val="21"/>
          </w:tcPr>
          <w:p>
            <w:pPr>
              <w:spacing w:after="0" w:line="170" w:lineRule="exact"/>
              <w:rPr>
                <w:rFonts w:ascii="Arial" w:cs="Arial" w:eastAsia="Arial" w:hAnsi="Arial"/>
                <w:sz w:val="18"/>
                <w:szCs w:val="18"/>
                <w:color w:val="0000EE"/>
                <w:w w:val="90"/>
              </w:rPr>
            </w:pPr>
            <w:hyperlink r:id="rId136">
              <w:r>
                <w:rPr>
                  <w:rFonts w:ascii="Arial" w:cs="Arial" w:eastAsia="Arial" w:hAnsi="Arial"/>
                  <w:sz w:val="18"/>
                  <w:szCs w:val="18"/>
                  <w:color w:val="0000EE"/>
                  <w:w w:val="90"/>
                </w:rPr>
                <w:t>Amendment No. 6 to the Credit Agreement, dated November 17, 2017, to the Credit</w:t>
              </w:r>
            </w:hyperlink>
          </w:p>
        </w:tc>
        <w:tc>
          <w:tcPr>
            <w:tcW w:w="200" w:type="dxa"/>
            <w:vAlign w:val="bottom"/>
            <w:tcBorders>
              <w:right w:val="single" w:sz="8" w:color="auto"/>
            </w:tcBorders>
            <w:gridSpan w:val="6"/>
          </w:tcPr>
          <w:p>
            <w:pPr>
              <w:spacing w:after="0"/>
              <w:rPr>
                <w:sz w:val="14"/>
                <w:szCs w:val="14"/>
                <w:color w:val="auto"/>
              </w:rPr>
            </w:pPr>
          </w:p>
        </w:tc>
        <w:tc>
          <w:tcPr>
            <w:tcW w:w="900" w:type="dxa"/>
            <w:vAlign w:val="bottom"/>
            <w:tcBorders>
              <w:right w:val="single" w:sz="8" w:color="auto"/>
            </w:tcBorders>
          </w:tcPr>
          <w:p>
            <w:pPr>
              <w:spacing w:after="0" w:line="170" w:lineRule="exact"/>
              <w:rPr>
                <w:sz w:val="20"/>
                <w:szCs w:val="20"/>
                <w:color w:val="auto"/>
              </w:rPr>
            </w:pPr>
            <w:r>
              <w:rPr>
                <w:rFonts w:ascii="Arial" w:cs="Arial" w:eastAsia="Arial" w:hAnsi="Arial"/>
                <w:sz w:val="18"/>
                <w:szCs w:val="18"/>
                <w:color w:val="auto"/>
              </w:rPr>
              <w:t>Current</w:t>
            </w:r>
          </w:p>
        </w:tc>
        <w:tc>
          <w:tcPr>
            <w:tcW w:w="780" w:type="dxa"/>
            <w:vAlign w:val="bottom"/>
            <w:tcBorders>
              <w:right w:val="single" w:sz="8" w:color="auto"/>
            </w:tcBorders>
          </w:tcPr>
          <w:p>
            <w:pPr>
              <w:spacing w:after="0" w:line="170" w:lineRule="exact"/>
              <w:rPr>
                <w:sz w:val="20"/>
                <w:szCs w:val="20"/>
                <w:color w:val="auto"/>
              </w:rPr>
            </w:pPr>
            <w:r>
              <w:rPr>
                <w:rFonts w:ascii="Arial" w:cs="Arial" w:eastAsia="Arial" w:hAnsi="Arial"/>
                <w:sz w:val="18"/>
                <w:szCs w:val="18"/>
                <w:color w:val="auto"/>
                <w:w w:val="89"/>
              </w:rPr>
              <w:t>November</w:t>
            </w:r>
          </w:p>
        </w:tc>
      </w:tr>
      <w:tr>
        <w:trPr>
          <w:trHeight w:val="196"/>
        </w:trPr>
        <w:tc>
          <w:tcPr>
            <w:tcW w:w="680" w:type="dxa"/>
            <w:vAlign w:val="bottom"/>
            <w:tcBorders>
              <w:left w:val="single" w:sz="8" w:color="auto"/>
              <w:right w:val="single" w:sz="8" w:color="auto"/>
            </w:tcBorders>
          </w:tcPr>
          <w:p>
            <w:pPr>
              <w:spacing w:after="0"/>
              <w:rPr>
                <w:sz w:val="17"/>
                <w:szCs w:val="17"/>
                <w:color w:val="auto"/>
              </w:rPr>
            </w:pPr>
          </w:p>
        </w:tc>
        <w:tc>
          <w:tcPr>
            <w:tcW w:w="554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r:id="rId136">
              <w:r>
                <w:rPr>
                  <w:rFonts w:ascii="Arial" w:cs="Arial" w:eastAsia="Arial" w:hAnsi="Arial"/>
                  <w:sz w:val="18"/>
                  <w:szCs w:val="18"/>
                  <w:color w:val="0000EE"/>
                  <w:w w:val="89"/>
                </w:rPr>
                <w:t>Agreement, dated February 24, 2011, by and among Burlington Coat Factory</w:t>
              </w:r>
            </w:hyperlink>
          </w:p>
        </w:tc>
        <w:tc>
          <w:tcPr>
            <w:tcW w:w="720" w:type="dxa"/>
            <w:vAlign w:val="bottom"/>
            <w:tcBorders>
              <w:right w:val="single" w:sz="8" w:color="auto"/>
            </w:tcBorders>
            <w:gridSpan w:val="16"/>
          </w:tcPr>
          <w:p>
            <w:pPr>
              <w:spacing w:after="0"/>
              <w:rPr>
                <w:sz w:val="17"/>
                <w:szCs w:val="17"/>
                <w:color w:val="auto"/>
              </w:rPr>
            </w:pPr>
          </w:p>
        </w:tc>
        <w:tc>
          <w:tcPr>
            <w:tcW w:w="9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Report on</w:t>
            </w:r>
          </w:p>
        </w:tc>
        <w:tc>
          <w:tcPr>
            <w:tcW w:w="78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21, 2017</w:t>
            </w:r>
          </w:p>
        </w:tc>
      </w:tr>
      <w:tr>
        <w:trPr>
          <w:trHeight w:val="196"/>
        </w:trPr>
        <w:tc>
          <w:tcPr>
            <w:tcW w:w="680" w:type="dxa"/>
            <w:vAlign w:val="bottom"/>
            <w:tcBorders>
              <w:left w:val="single" w:sz="8" w:color="auto"/>
              <w:right w:val="single" w:sz="8" w:color="auto"/>
            </w:tcBorders>
          </w:tcPr>
          <w:p>
            <w:pPr>
              <w:spacing w:after="0"/>
              <w:rPr>
                <w:sz w:val="17"/>
                <w:szCs w:val="17"/>
                <w:color w:val="auto"/>
              </w:rPr>
            </w:pPr>
          </w:p>
        </w:tc>
        <w:tc>
          <w:tcPr>
            <w:tcW w:w="6260" w:type="dxa"/>
            <w:vAlign w:val="bottom"/>
            <w:tcBorders>
              <w:right w:val="single" w:sz="8" w:color="auto"/>
            </w:tcBorders>
            <w:gridSpan w:val="27"/>
          </w:tcPr>
          <w:p>
            <w:pPr>
              <w:spacing w:after="0" w:line="196" w:lineRule="exact"/>
              <w:rPr>
                <w:rFonts w:ascii="Arial" w:cs="Arial" w:eastAsia="Arial" w:hAnsi="Arial"/>
                <w:sz w:val="18"/>
                <w:szCs w:val="18"/>
                <w:color w:val="0000EE"/>
                <w:w w:val="93"/>
              </w:rPr>
            </w:pPr>
            <w:hyperlink r:id="rId136">
              <w:r>
                <w:rPr>
                  <w:rFonts w:ascii="Arial" w:cs="Arial" w:eastAsia="Arial" w:hAnsi="Arial"/>
                  <w:sz w:val="18"/>
                  <w:szCs w:val="18"/>
                  <w:color w:val="0000EE"/>
                  <w:w w:val="93"/>
                </w:rPr>
                <w:t>Warehouse Corporation, the lenders party thereto, JPMorgan Chase Bank, N.A., as</w:t>
              </w:r>
            </w:hyperlink>
          </w:p>
        </w:tc>
        <w:tc>
          <w:tcPr>
            <w:tcW w:w="9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Form 8-K</w:t>
            </w:r>
          </w:p>
        </w:tc>
        <w:tc>
          <w:tcPr>
            <w:tcW w:w="780" w:type="dxa"/>
            <w:vAlign w:val="bottom"/>
            <w:tcBorders>
              <w:right w:val="single" w:sz="8" w:color="auto"/>
            </w:tcBorders>
          </w:tcPr>
          <w:p>
            <w:pPr>
              <w:spacing w:after="0"/>
              <w:rPr>
                <w:sz w:val="17"/>
                <w:szCs w:val="17"/>
                <w:color w:val="auto"/>
              </w:rPr>
            </w:pPr>
          </w:p>
        </w:tc>
      </w:tr>
      <w:tr>
        <w:trPr>
          <w:trHeight w:val="196"/>
        </w:trPr>
        <w:tc>
          <w:tcPr>
            <w:tcW w:w="680" w:type="dxa"/>
            <w:vAlign w:val="bottom"/>
            <w:tcBorders>
              <w:left w:val="single" w:sz="8" w:color="auto"/>
              <w:right w:val="single" w:sz="8" w:color="auto"/>
            </w:tcBorders>
          </w:tcPr>
          <w:p>
            <w:pPr>
              <w:spacing w:after="0"/>
              <w:rPr>
                <w:sz w:val="17"/>
                <w:szCs w:val="17"/>
                <w:color w:val="auto"/>
              </w:rPr>
            </w:pPr>
          </w:p>
        </w:tc>
        <w:tc>
          <w:tcPr>
            <w:tcW w:w="594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136">
              <w:r>
                <w:rPr>
                  <w:rFonts w:ascii="Arial" w:cs="Arial" w:eastAsia="Arial" w:hAnsi="Arial"/>
                  <w:sz w:val="18"/>
                  <w:szCs w:val="18"/>
                  <w:color w:val="0000EE"/>
                </w:rPr>
                <w:t>administrative agent and as collateral agent.</w:t>
              </w:r>
            </w:hyperlink>
          </w:p>
        </w:tc>
        <w:tc>
          <w:tcPr>
            <w:tcW w:w="320" w:type="dxa"/>
            <w:vAlign w:val="bottom"/>
            <w:tcBorders>
              <w:right w:val="single" w:sz="8" w:color="auto"/>
            </w:tcBorders>
            <w:gridSpan w:val="11"/>
          </w:tcPr>
          <w:p>
            <w:pPr>
              <w:spacing w:after="0"/>
              <w:rPr>
                <w:sz w:val="17"/>
                <w:szCs w:val="17"/>
                <w:color w:val="auto"/>
              </w:rPr>
            </w:pPr>
          </w:p>
        </w:tc>
        <w:tc>
          <w:tcPr>
            <w:tcW w:w="9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(File No.</w:t>
            </w:r>
          </w:p>
        </w:tc>
        <w:tc>
          <w:tcPr>
            <w:tcW w:w="780" w:type="dxa"/>
            <w:vAlign w:val="bottom"/>
            <w:tcBorders>
              <w:right w:val="single" w:sz="8" w:color="auto"/>
            </w:tcBorders>
          </w:tcPr>
          <w:p>
            <w:pPr>
              <w:spacing w:after="0"/>
              <w:rPr>
                <w:sz w:val="17"/>
                <w:szCs w:val="17"/>
                <w:color w:val="auto"/>
              </w:rPr>
            </w:pPr>
          </w:p>
        </w:tc>
      </w:tr>
      <w:tr>
        <w:trPr>
          <w:trHeight w:val="237"/>
        </w:trPr>
        <w:tc>
          <w:tcPr>
            <w:tcW w:w="680" w:type="dxa"/>
            <w:vAlign w:val="bottom"/>
            <w:tcBorders>
              <w:left w:val="single" w:sz="8" w:color="auto"/>
              <w:bottom w:val="single" w:sz="8" w:color="auto"/>
              <w:right w:val="single" w:sz="8" w:color="auto"/>
            </w:tcBorders>
          </w:tcPr>
          <w:p>
            <w:pPr>
              <w:spacing w:after="0"/>
              <w:rPr>
                <w:sz w:val="20"/>
                <w:szCs w:val="20"/>
                <w:color w:val="auto"/>
              </w:rPr>
            </w:pPr>
          </w:p>
        </w:tc>
        <w:tc>
          <w:tcPr>
            <w:tcW w:w="420" w:type="dxa"/>
            <w:vAlign w:val="bottom"/>
            <w:tcBorders>
              <w:top w:val="single" w:sz="8" w:color="0000EE"/>
              <w:bottom w:val="single" w:sz="8" w:color="auto"/>
            </w:tcBorders>
          </w:tcPr>
          <w:p>
            <w:pPr>
              <w:spacing w:after="0"/>
              <w:rPr>
                <w:sz w:val="20"/>
                <w:szCs w:val="20"/>
                <w:color w:val="auto"/>
              </w:rPr>
            </w:pPr>
          </w:p>
        </w:tc>
        <w:tc>
          <w:tcPr>
            <w:tcW w:w="960" w:type="dxa"/>
            <w:vAlign w:val="bottom"/>
            <w:tcBorders>
              <w:top w:val="single" w:sz="8" w:color="0000EE"/>
              <w:bottom w:val="single" w:sz="8" w:color="auto"/>
            </w:tcBorders>
          </w:tcPr>
          <w:p>
            <w:pPr>
              <w:spacing w:after="0"/>
              <w:rPr>
                <w:sz w:val="20"/>
                <w:szCs w:val="20"/>
                <w:color w:val="auto"/>
              </w:rPr>
            </w:pPr>
          </w:p>
        </w:tc>
        <w:tc>
          <w:tcPr>
            <w:tcW w:w="1060" w:type="dxa"/>
            <w:vAlign w:val="bottom"/>
            <w:tcBorders>
              <w:top w:val="single" w:sz="8" w:color="0000EE"/>
              <w:bottom w:val="single" w:sz="8" w:color="auto"/>
            </w:tcBorders>
          </w:tcPr>
          <w:p>
            <w:pPr>
              <w:spacing w:after="0"/>
              <w:rPr>
                <w:sz w:val="20"/>
                <w:szCs w:val="20"/>
                <w:color w:val="auto"/>
              </w:rPr>
            </w:pPr>
          </w:p>
        </w:tc>
        <w:tc>
          <w:tcPr>
            <w:tcW w:w="80" w:type="dxa"/>
            <w:vAlign w:val="bottom"/>
            <w:tcBorders>
              <w:top w:val="single" w:sz="8" w:color="0000EE"/>
              <w:bottom w:val="single" w:sz="8" w:color="auto"/>
            </w:tcBorders>
          </w:tcPr>
          <w:p>
            <w:pPr>
              <w:spacing w:after="0"/>
              <w:rPr>
                <w:sz w:val="20"/>
                <w:szCs w:val="20"/>
                <w:color w:val="auto"/>
              </w:rPr>
            </w:pPr>
          </w:p>
        </w:tc>
        <w:tc>
          <w:tcPr>
            <w:tcW w:w="80" w:type="dxa"/>
            <w:vAlign w:val="bottom"/>
            <w:tcBorders>
              <w:top w:val="single" w:sz="8" w:color="0000EE"/>
              <w:bottom w:val="single" w:sz="8" w:color="auto"/>
            </w:tcBorders>
          </w:tcPr>
          <w:p>
            <w:pPr>
              <w:spacing w:after="0"/>
              <w:rPr>
                <w:sz w:val="20"/>
                <w:szCs w:val="20"/>
                <w:color w:val="auto"/>
              </w:rPr>
            </w:pPr>
          </w:p>
        </w:tc>
        <w:tc>
          <w:tcPr>
            <w:tcW w:w="100" w:type="dxa"/>
            <w:vAlign w:val="bottom"/>
            <w:tcBorders>
              <w:top w:val="single" w:sz="8" w:color="0000EE"/>
              <w:bottom w:val="single" w:sz="8" w:color="auto"/>
            </w:tcBorders>
          </w:tcPr>
          <w:p>
            <w:pPr>
              <w:spacing w:after="0"/>
              <w:rPr>
                <w:sz w:val="20"/>
                <w:szCs w:val="20"/>
                <w:color w:val="auto"/>
              </w:rPr>
            </w:pPr>
          </w:p>
        </w:tc>
        <w:tc>
          <w:tcPr>
            <w:tcW w:w="20" w:type="dxa"/>
            <w:vAlign w:val="bottom"/>
            <w:tcBorders>
              <w:top w:val="single" w:sz="8" w:color="0000EE"/>
              <w:bottom w:val="single" w:sz="8" w:color="auto"/>
            </w:tcBorders>
          </w:tcPr>
          <w:p>
            <w:pPr>
              <w:spacing w:after="0"/>
              <w:rPr>
                <w:sz w:val="20"/>
                <w:szCs w:val="20"/>
                <w:color w:val="auto"/>
              </w:rPr>
            </w:pPr>
          </w:p>
        </w:tc>
        <w:tc>
          <w:tcPr>
            <w:tcW w:w="420" w:type="dxa"/>
            <w:vAlign w:val="bottom"/>
            <w:tcBorders>
              <w:top w:val="single" w:sz="8" w:color="0000EE"/>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w w:val="93"/>
              </w:rPr>
              <w:t>001-36107)</w:t>
            </w:r>
          </w:p>
        </w:tc>
        <w:tc>
          <w:tcPr>
            <w:tcW w:w="780" w:type="dxa"/>
            <w:vAlign w:val="bottom"/>
            <w:tcBorders>
              <w:bottom w:val="single" w:sz="8" w:color="auto"/>
              <w:right w:val="single" w:sz="8" w:color="auto"/>
            </w:tcBorders>
          </w:tcPr>
          <w:p>
            <w:pPr>
              <w:spacing w:after="0"/>
              <w:rPr>
                <w:sz w:val="20"/>
                <w:szCs w:val="20"/>
                <w:color w:val="auto"/>
              </w:rPr>
            </w:pPr>
          </w:p>
        </w:tc>
      </w:tr>
      <w:tr>
        <w:trPr>
          <w:trHeight w:val="169"/>
        </w:trPr>
        <w:tc>
          <w:tcPr>
            <w:tcW w:w="680" w:type="dxa"/>
            <w:vAlign w:val="bottom"/>
            <w:tcBorders>
              <w:left w:val="single" w:sz="8" w:color="auto"/>
              <w:right w:val="single" w:sz="8" w:color="auto"/>
            </w:tcBorders>
          </w:tcPr>
          <w:p>
            <w:pPr>
              <w:spacing w:after="0" w:line="170" w:lineRule="exact"/>
              <w:rPr>
                <w:sz w:val="20"/>
                <w:szCs w:val="20"/>
                <w:color w:val="auto"/>
              </w:rPr>
            </w:pPr>
            <w:r>
              <w:rPr>
                <w:rFonts w:ascii="Arial" w:cs="Arial" w:eastAsia="Arial" w:hAnsi="Arial"/>
                <w:sz w:val="18"/>
                <w:szCs w:val="18"/>
                <w:color w:val="auto"/>
              </w:rPr>
              <w:t>10.2</w:t>
            </w:r>
          </w:p>
        </w:tc>
        <w:tc>
          <w:tcPr>
            <w:tcW w:w="6020" w:type="dxa"/>
            <w:vAlign w:val="bottom"/>
            <w:tcBorders>
              <w:bottom w:val="single" w:sz="8" w:color="0000EE"/>
            </w:tcBorders>
            <w:gridSpan w:val="19"/>
          </w:tcPr>
          <w:p>
            <w:pPr>
              <w:spacing w:after="0" w:line="170" w:lineRule="exact"/>
              <w:rPr>
                <w:rFonts w:ascii="Arial" w:cs="Arial" w:eastAsia="Arial" w:hAnsi="Arial"/>
                <w:sz w:val="18"/>
                <w:szCs w:val="18"/>
                <w:color w:val="0000EE"/>
                <w:w w:val="88"/>
              </w:rPr>
            </w:pPr>
            <w:hyperlink r:id="rId137">
              <w:r>
                <w:rPr>
                  <w:rFonts w:ascii="Arial" w:cs="Arial" w:eastAsia="Arial" w:hAnsi="Arial"/>
                  <w:sz w:val="18"/>
                  <w:szCs w:val="18"/>
                  <w:color w:val="0000EE"/>
                  <w:w w:val="88"/>
                </w:rPr>
                <w:t>Second Amended and Restated Credit Agreement, dated September 2, 2011, among</w:t>
              </w:r>
            </w:hyperlink>
          </w:p>
        </w:tc>
        <w:tc>
          <w:tcPr>
            <w:tcW w:w="240" w:type="dxa"/>
            <w:vAlign w:val="bottom"/>
            <w:tcBorders>
              <w:right w:val="single" w:sz="8" w:color="auto"/>
            </w:tcBorders>
            <w:gridSpan w:val="8"/>
          </w:tcPr>
          <w:p>
            <w:pPr>
              <w:spacing w:after="0"/>
              <w:rPr>
                <w:sz w:val="14"/>
                <w:szCs w:val="14"/>
                <w:color w:val="auto"/>
              </w:rPr>
            </w:pPr>
          </w:p>
        </w:tc>
        <w:tc>
          <w:tcPr>
            <w:tcW w:w="900" w:type="dxa"/>
            <w:vAlign w:val="bottom"/>
            <w:tcBorders>
              <w:right w:val="single" w:sz="8" w:color="auto"/>
            </w:tcBorders>
          </w:tcPr>
          <w:p>
            <w:pPr>
              <w:spacing w:after="0" w:line="170" w:lineRule="exact"/>
              <w:rPr>
                <w:sz w:val="20"/>
                <w:szCs w:val="20"/>
                <w:color w:val="auto"/>
              </w:rPr>
            </w:pPr>
            <w:r>
              <w:rPr>
                <w:rFonts w:ascii="Arial" w:cs="Arial" w:eastAsia="Arial" w:hAnsi="Arial"/>
                <w:sz w:val="18"/>
                <w:szCs w:val="18"/>
                <w:color w:val="auto"/>
              </w:rPr>
              <w:t>Current</w:t>
            </w:r>
          </w:p>
        </w:tc>
        <w:tc>
          <w:tcPr>
            <w:tcW w:w="780" w:type="dxa"/>
            <w:vAlign w:val="bottom"/>
            <w:tcBorders>
              <w:right w:val="single" w:sz="8" w:color="auto"/>
            </w:tcBorders>
          </w:tcPr>
          <w:p>
            <w:pPr>
              <w:spacing w:after="0" w:line="170" w:lineRule="exact"/>
              <w:rPr>
                <w:sz w:val="20"/>
                <w:szCs w:val="20"/>
                <w:color w:val="auto"/>
              </w:rPr>
            </w:pPr>
            <w:r>
              <w:rPr>
                <w:rFonts w:ascii="Arial" w:cs="Arial" w:eastAsia="Arial" w:hAnsi="Arial"/>
                <w:sz w:val="18"/>
                <w:szCs w:val="18"/>
                <w:color w:val="auto"/>
                <w:w w:val="83"/>
              </w:rPr>
              <w:t>September</w:t>
            </w:r>
          </w:p>
        </w:tc>
      </w:tr>
      <w:tr>
        <w:trPr>
          <w:trHeight w:val="196"/>
        </w:trPr>
        <w:tc>
          <w:tcPr>
            <w:tcW w:w="680" w:type="dxa"/>
            <w:vAlign w:val="bottom"/>
            <w:tcBorders>
              <w:left w:val="single" w:sz="8" w:color="auto"/>
              <w:right w:val="single" w:sz="8" w:color="auto"/>
            </w:tcBorders>
          </w:tcPr>
          <w:p>
            <w:pPr>
              <w:spacing w:after="0"/>
              <w:rPr>
                <w:sz w:val="17"/>
                <w:szCs w:val="17"/>
                <w:color w:val="auto"/>
              </w:rPr>
            </w:pPr>
          </w:p>
        </w:tc>
        <w:tc>
          <w:tcPr>
            <w:tcW w:w="6260" w:type="dxa"/>
            <w:vAlign w:val="bottom"/>
            <w:tcBorders>
              <w:right w:val="single" w:sz="8" w:color="auto"/>
            </w:tcBorders>
            <w:gridSpan w:val="27"/>
          </w:tcPr>
          <w:p>
            <w:pPr>
              <w:spacing w:after="0" w:line="196" w:lineRule="exact"/>
              <w:rPr>
                <w:rFonts w:ascii="Arial" w:cs="Arial" w:eastAsia="Arial" w:hAnsi="Arial"/>
                <w:sz w:val="18"/>
                <w:szCs w:val="18"/>
                <w:color w:val="0000EE"/>
                <w:w w:val="95"/>
              </w:rPr>
            </w:pPr>
            <w:hyperlink r:id="rId137">
              <w:r>
                <w:rPr>
                  <w:rFonts w:ascii="Arial" w:cs="Arial" w:eastAsia="Arial" w:hAnsi="Arial"/>
                  <w:sz w:val="18"/>
                  <w:szCs w:val="18"/>
                  <w:color w:val="0000EE"/>
                  <w:w w:val="95"/>
                </w:rPr>
                <w:t>Burlington Coat Factory Warehouse Corporation, as lead borrower, the borrowers</w:t>
              </w:r>
            </w:hyperlink>
          </w:p>
        </w:tc>
        <w:tc>
          <w:tcPr>
            <w:tcW w:w="9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Report on</w:t>
            </w:r>
          </w:p>
        </w:tc>
        <w:tc>
          <w:tcPr>
            <w:tcW w:w="78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9, 2011</w:t>
            </w:r>
          </w:p>
        </w:tc>
      </w:tr>
      <w:tr>
        <w:trPr>
          <w:trHeight w:val="20"/>
        </w:trPr>
        <w:tc>
          <w:tcPr>
            <w:tcW w:w="680" w:type="dxa"/>
            <w:vAlign w:val="bottom"/>
            <w:tcBorders>
              <w:left w:val="single" w:sz="8" w:color="auto"/>
              <w:right w:val="single" w:sz="8" w:color="auto"/>
            </w:tcBorders>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4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900" w:type="dxa"/>
            <w:vAlign w:val="bottom"/>
            <w:tcBorders>
              <w:right w:val="single" w:sz="8" w:color="auto"/>
            </w:tcBorders>
          </w:tcPr>
          <w:p>
            <w:pPr>
              <w:spacing w:after="0" w:line="20" w:lineRule="exact"/>
              <w:rPr>
                <w:sz w:val="1"/>
                <w:szCs w:val="1"/>
                <w:color w:val="auto"/>
              </w:rPr>
            </w:pPr>
          </w:p>
        </w:tc>
        <w:tc>
          <w:tcPr>
            <w:tcW w:w="780" w:type="dxa"/>
            <w:vAlign w:val="bottom"/>
            <w:tcBorders>
              <w:right w:val="single" w:sz="8" w:color="auto"/>
            </w:tcBorders>
          </w:tcPr>
          <w:p>
            <w:pPr>
              <w:spacing w:after="0" w:line="20" w:lineRule="exact"/>
              <w:rPr>
                <w:sz w:val="1"/>
                <w:szCs w:val="1"/>
                <w:color w:val="auto"/>
              </w:rPr>
            </w:pPr>
          </w:p>
        </w:tc>
      </w:tr>
      <w:tr>
        <w:trPr>
          <w:trHeight w:val="196"/>
        </w:trPr>
        <w:tc>
          <w:tcPr>
            <w:tcW w:w="680" w:type="dxa"/>
            <w:vAlign w:val="bottom"/>
            <w:tcBorders>
              <w:left w:val="single" w:sz="8" w:color="auto"/>
              <w:right w:val="single" w:sz="8" w:color="auto"/>
            </w:tcBorders>
          </w:tcPr>
          <w:p>
            <w:pPr>
              <w:spacing w:after="0"/>
              <w:rPr>
                <w:sz w:val="17"/>
                <w:szCs w:val="17"/>
                <w:color w:val="auto"/>
              </w:rPr>
            </w:pPr>
          </w:p>
        </w:tc>
        <w:tc>
          <w:tcPr>
            <w:tcW w:w="6260" w:type="dxa"/>
            <w:vAlign w:val="bottom"/>
            <w:tcBorders>
              <w:right w:val="single" w:sz="8" w:color="auto"/>
            </w:tcBorders>
            <w:gridSpan w:val="27"/>
          </w:tcPr>
          <w:p>
            <w:pPr>
              <w:spacing w:after="0" w:line="196" w:lineRule="exact"/>
              <w:rPr>
                <w:rFonts w:ascii="Arial" w:cs="Arial" w:eastAsia="Arial" w:hAnsi="Arial"/>
                <w:sz w:val="18"/>
                <w:szCs w:val="18"/>
                <w:color w:val="0000EE"/>
                <w:w w:val="95"/>
              </w:rPr>
            </w:pPr>
            <w:hyperlink r:id="rId137">
              <w:r>
                <w:rPr>
                  <w:rFonts w:ascii="Arial" w:cs="Arial" w:eastAsia="Arial" w:hAnsi="Arial"/>
                  <w:sz w:val="18"/>
                  <w:szCs w:val="18"/>
                  <w:color w:val="0000EE"/>
                  <w:w w:val="95"/>
                </w:rPr>
                <w:t>named therein and the facility guarantors party thereto, Bank of America, N.A., as</w:t>
              </w:r>
            </w:hyperlink>
          </w:p>
        </w:tc>
        <w:tc>
          <w:tcPr>
            <w:tcW w:w="9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Form 8-K</w:t>
            </w:r>
          </w:p>
        </w:tc>
        <w:tc>
          <w:tcPr>
            <w:tcW w:w="780" w:type="dxa"/>
            <w:vAlign w:val="bottom"/>
            <w:tcBorders>
              <w:right w:val="single" w:sz="8" w:color="auto"/>
            </w:tcBorders>
          </w:tcPr>
          <w:p>
            <w:pPr>
              <w:spacing w:after="0"/>
              <w:rPr>
                <w:sz w:val="17"/>
                <w:szCs w:val="17"/>
                <w:color w:val="auto"/>
              </w:rPr>
            </w:pPr>
          </w:p>
        </w:tc>
      </w:tr>
      <w:tr>
        <w:trPr>
          <w:trHeight w:val="20"/>
        </w:trPr>
        <w:tc>
          <w:tcPr>
            <w:tcW w:w="680" w:type="dxa"/>
            <w:vAlign w:val="bottom"/>
            <w:tcBorders>
              <w:left w:val="single" w:sz="8" w:color="auto"/>
              <w:right w:val="single" w:sz="8" w:color="auto"/>
            </w:tcBorders>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4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900" w:type="dxa"/>
            <w:vAlign w:val="bottom"/>
            <w:tcBorders>
              <w:right w:val="single" w:sz="8" w:color="auto"/>
            </w:tcBorders>
          </w:tcPr>
          <w:p>
            <w:pPr>
              <w:spacing w:after="0" w:line="20" w:lineRule="exact"/>
              <w:rPr>
                <w:sz w:val="1"/>
                <w:szCs w:val="1"/>
                <w:color w:val="auto"/>
              </w:rPr>
            </w:pPr>
          </w:p>
        </w:tc>
        <w:tc>
          <w:tcPr>
            <w:tcW w:w="780" w:type="dxa"/>
            <w:vAlign w:val="bottom"/>
            <w:tcBorders>
              <w:right w:val="single" w:sz="8" w:color="auto"/>
            </w:tcBorders>
          </w:tcPr>
          <w:p>
            <w:pPr>
              <w:spacing w:after="0" w:line="20" w:lineRule="exact"/>
              <w:rPr>
                <w:sz w:val="1"/>
                <w:szCs w:val="1"/>
                <w:color w:val="auto"/>
              </w:rPr>
            </w:pPr>
          </w:p>
        </w:tc>
      </w:tr>
      <w:tr>
        <w:trPr>
          <w:trHeight w:val="196"/>
        </w:trPr>
        <w:tc>
          <w:tcPr>
            <w:tcW w:w="680" w:type="dxa"/>
            <w:vAlign w:val="bottom"/>
            <w:tcBorders>
              <w:left w:val="single" w:sz="8" w:color="auto"/>
              <w:right w:val="single" w:sz="8" w:color="auto"/>
            </w:tcBorders>
          </w:tcPr>
          <w:p>
            <w:pPr>
              <w:spacing w:after="0"/>
              <w:rPr>
                <w:sz w:val="17"/>
                <w:szCs w:val="17"/>
                <w:color w:val="auto"/>
              </w:rPr>
            </w:pPr>
          </w:p>
        </w:tc>
        <w:tc>
          <w:tcPr>
            <w:tcW w:w="6260" w:type="dxa"/>
            <w:vAlign w:val="bottom"/>
            <w:tcBorders>
              <w:right w:val="single" w:sz="8" w:color="auto"/>
            </w:tcBorders>
            <w:gridSpan w:val="27"/>
          </w:tcPr>
          <w:p>
            <w:pPr>
              <w:spacing w:after="0" w:line="196" w:lineRule="exact"/>
              <w:rPr>
                <w:rFonts w:ascii="Arial" w:cs="Arial" w:eastAsia="Arial" w:hAnsi="Arial"/>
                <w:sz w:val="18"/>
                <w:szCs w:val="18"/>
                <w:color w:val="0000EE"/>
                <w:w w:val="94"/>
              </w:rPr>
            </w:pPr>
            <w:hyperlink r:id="rId137">
              <w:r>
                <w:rPr>
                  <w:rFonts w:ascii="Arial" w:cs="Arial" w:eastAsia="Arial" w:hAnsi="Arial"/>
                  <w:sz w:val="18"/>
                  <w:szCs w:val="18"/>
                  <w:color w:val="0000EE"/>
                  <w:w w:val="94"/>
                </w:rPr>
                <w:t>administrative agent and as collateral agent, Wells Fargo Capital Finance, LLC and</w:t>
              </w:r>
            </w:hyperlink>
          </w:p>
        </w:tc>
        <w:tc>
          <w:tcPr>
            <w:tcW w:w="9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(File No.</w:t>
            </w:r>
          </w:p>
        </w:tc>
        <w:tc>
          <w:tcPr>
            <w:tcW w:w="780" w:type="dxa"/>
            <w:vAlign w:val="bottom"/>
            <w:tcBorders>
              <w:right w:val="single" w:sz="8" w:color="auto"/>
            </w:tcBorders>
          </w:tcPr>
          <w:p>
            <w:pPr>
              <w:spacing w:after="0"/>
              <w:rPr>
                <w:sz w:val="17"/>
                <w:szCs w:val="17"/>
                <w:color w:val="auto"/>
              </w:rPr>
            </w:pPr>
          </w:p>
        </w:tc>
      </w:tr>
      <w:tr>
        <w:trPr>
          <w:trHeight w:val="20"/>
        </w:trPr>
        <w:tc>
          <w:tcPr>
            <w:tcW w:w="680" w:type="dxa"/>
            <w:vAlign w:val="bottom"/>
            <w:tcBorders>
              <w:left w:val="single" w:sz="8" w:color="auto"/>
              <w:right w:val="single" w:sz="8" w:color="auto"/>
            </w:tcBorders>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4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900" w:type="dxa"/>
            <w:vAlign w:val="bottom"/>
            <w:tcBorders>
              <w:right w:val="single" w:sz="8" w:color="auto"/>
            </w:tcBorders>
          </w:tcPr>
          <w:p>
            <w:pPr>
              <w:spacing w:after="0" w:line="20" w:lineRule="exact"/>
              <w:rPr>
                <w:sz w:val="1"/>
                <w:szCs w:val="1"/>
                <w:color w:val="auto"/>
              </w:rPr>
            </w:pPr>
          </w:p>
        </w:tc>
        <w:tc>
          <w:tcPr>
            <w:tcW w:w="780" w:type="dxa"/>
            <w:vAlign w:val="bottom"/>
            <w:tcBorders>
              <w:right w:val="single" w:sz="8" w:color="auto"/>
            </w:tcBorders>
          </w:tcPr>
          <w:p>
            <w:pPr>
              <w:spacing w:after="0" w:line="20" w:lineRule="exact"/>
              <w:rPr>
                <w:sz w:val="1"/>
                <w:szCs w:val="1"/>
                <w:color w:val="auto"/>
              </w:rPr>
            </w:pPr>
          </w:p>
        </w:tc>
      </w:tr>
      <w:tr>
        <w:trPr>
          <w:trHeight w:val="196"/>
        </w:trPr>
        <w:tc>
          <w:tcPr>
            <w:tcW w:w="680" w:type="dxa"/>
            <w:vAlign w:val="bottom"/>
            <w:tcBorders>
              <w:left w:val="single" w:sz="8" w:color="auto"/>
              <w:right w:val="single" w:sz="8" w:color="auto"/>
            </w:tcBorders>
          </w:tcPr>
          <w:p>
            <w:pPr>
              <w:spacing w:after="0"/>
              <w:rPr>
                <w:sz w:val="17"/>
                <w:szCs w:val="17"/>
                <w:color w:val="auto"/>
              </w:rPr>
            </w:pPr>
          </w:p>
        </w:tc>
        <w:tc>
          <w:tcPr>
            <w:tcW w:w="6260" w:type="dxa"/>
            <w:vAlign w:val="bottom"/>
            <w:tcBorders>
              <w:right w:val="single" w:sz="8" w:color="auto"/>
            </w:tcBorders>
            <w:gridSpan w:val="27"/>
          </w:tcPr>
          <w:p>
            <w:pPr>
              <w:spacing w:after="0" w:line="196" w:lineRule="exact"/>
              <w:rPr>
                <w:rFonts w:ascii="Arial" w:cs="Arial" w:eastAsia="Arial" w:hAnsi="Arial"/>
                <w:sz w:val="18"/>
                <w:szCs w:val="18"/>
                <w:color w:val="0000EE"/>
                <w:w w:val="92"/>
              </w:rPr>
            </w:pPr>
            <w:hyperlink r:id="rId137">
              <w:r>
                <w:rPr>
                  <w:rFonts w:ascii="Arial" w:cs="Arial" w:eastAsia="Arial" w:hAnsi="Arial"/>
                  <w:sz w:val="18"/>
                  <w:szCs w:val="18"/>
                  <w:color w:val="0000EE"/>
                  <w:w w:val="92"/>
                </w:rPr>
                <w:t>JPMorgan Chase Bank, N.A., as co-syndication agents, and Suntrust Bank and U.S.</w:t>
              </w:r>
            </w:hyperlink>
          </w:p>
        </w:tc>
        <w:tc>
          <w:tcPr>
            <w:tcW w:w="9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333-</w:t>
            </w:r>
          </w:p>
        </w:tc>
        <w:tc>
          <w:tcPr>
            <w:tcW w:w="780" w:type="dxa"/>
            <w:vAlign w:val="bottom"/>
            <w:tcBorders>
              <w:right w:val="single" w:sz="8" w:color="auto"/>
            </w:tcBorders>
          </w:tcPr>
          <w:p>
            <w:pPr>
              <w:spacing w:after="0"/>
              <w:rPr>
                <w:sz w:val="17"/>
                <w:szCs w:val="17"/>
                <w:color w:val="auto"/>
              </w:rPr>
            </w:pPr>
          </w:p>
        </w:tc>
      </w:tr>
      <w:tr>
        <w:trPr>
          <w:trHeight w:val="20"/>
        </w:trPr>
        <w:tc>
          <w:tcPr>
            <w:tcW w:w="680" w:type="dxa"/>
            <w:vAlign w:val="bottom"/>
            <w:tcBorders>
              <w:left w:val="single" w:sz="8" w:color="auto"/>
              <w:right w:val="single" w:sz="8" w:color="auto"/>
            </w:tcBorders>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4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gridSpan w:val="5"/>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900" w:type="dxa"/>
            <w:vAlign w:val="bottom"/>
            <w:tcBorders>
              <w:right w:val="single" w:sz="8" w:color="auto"/>
            </w:tcBorders>
          </w:tcPr>
          <w:p>
            <w:pPr>
              <w:spacing w:after="0" w:line="20" w:lineRule="exact"/>
              <w:rPr>
                <w:sz w:val="1"/>
                <w:szCs w:val="1"/>
                <w:color w:val="auto"/>
              </w:rPr>
            </w:pPr>
          </w:p>
        </w:tc>
        <w:tc>
          <w:tcPr>
            <w:tcW w:w="780" w:type="dxa"/>
            <w:vAlign w:val="bottom"/>
            <w:tcBorders>
              <w:right w:val="single" w:sz="8" w:color="auto"/>
            </w:tcBorders>
          </w:tcPr>
          <w:p>
            <w:pPr>
              <w:spacing w:after="0" w:line="20" w:lineRule="exact"/>
              <w:rPr>
                <w:sz w:val="1"/>
                <w:szCs w:val="1"/>
                <w:color w:val="auto"/>
              </w:rPr>
            </w:pPr>
          </w:p>
        </w:tc>
      </w:tr>
      <w:tr>
        <w:trPr>
          <w:trHeight w:val="196"/>
        </w:trPr>
        <w:tc>
          <w:tcPr>
            <w:tcW w:w="680" w:type="dxa"/>
            <w:vAlign w:val="bottom"/>
            <w:tcBorders>
              <w:left w:val="single" w:sz="8" w:color="auto"/>
              <w:right w:val="single" w:sz="8" w:color="auto"/>
            </w:tcBorders>
          </w:tcPr>
          <w:p>
            <w:pPr>
              <w:spacing w:after="0"/>
              <w:rPr>
                <w:sz w:val="17"/>
                <w:szCs w:val="17"/>
                <w:color w:val="auto"/>
              </w:rPr>
            </w:pPr>
          </w:p>
        </w:tc>
        <w:tc>
          <w:tcPr>
            <w:tcW w:w="6260" w:type="dxa"/>
            <w:vAlign w:val="bottom"/>
            <w:tcBorders>
              <w:right w:val="single" w:sz="8" w:color="auto"/>
            </w:tcBorders>
            <w:gridSpan w:val="27"/>
          </w:tcPr>
          <w:p>
            <w:pPr>
              <w:spacing w:after="0" w:line="196" w:lineRule="exact"/>
              <w:rPr>
                <w:rFonts w:ascii="Arial" w:cs="Arial" w:eastAsia="Arial" w:hAnsi="Arial"/>
                <w:sz w:val="18"/>
                <w:szCs w:val="18"/>
                <w:color w:val="0000EE"/>
                <w:w w:val="92"/>
              </w:rPr>
            </w:pPr>
            <w:hyperlink r:id="rId137">
              <w:r>
                <w:rPr>
                  <w:rFonts w:ascii="Arial" w:cs="Arial" w:eastAsia="Arial" w:hAnsi="Arial"/>
                  <w:sz w:val="18"/>
                  <w:szCs w:val="18"/>
                  <w:color w:val="0000EE"/>
                  <w:w w:val="92"/>
                </w:rPr>
                <w:t>Bank, National Association, as co-documentation agents, the lenders named therein,</w:t>
              </w:r>
            </w:hyperlink>
          </w:p>
        </w:tc>
        <w:tc>
          <w:tcPr>
            <w:tcW w:w="9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137916-</w:t>
            </w:r>
          </w:p>
        </w:tc>
        <w:tc>
          <w:tcPr>
            <w:tcW w:w="780" w:type="dxa"/>
            <w:vAlign w:val="bottom"/>
            <w:tcBorders>
              <w:right w:val="single" w:sz="8" w:color="auto"/>
            </w:tcBorders>
          </w:tcPr>
          <w:p>
            <w:pPr>
              <w:spacing w:after="0"/>
              <w:rPr>
                <w:sz w:val="17"/>
                <w:szCs w:val="17"/>
                <w:color w:val="auto"/>
              </w:rPr>
            </w:pPr>
          </w:p>
        </w:tc>
      </w:tr>
      <w:tr>
        <w:trPr>
          <w:trHeight w:val="20"/>
        </w:trPr>
        <w:tc>
          <w:tcPr>
            <w:tcW w:w="680" w:type="dxa"/>
            <w:vAlign w:val="bottom"/>
            <w:tcBorders>
              <w:left w:val="single" w:sz="8" w:color="auto"/>
              <w:right w:val="single" w:sz="8" w:color="auto"/>
            </w:tcBorders>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4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gridSpan w:val="7"/>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900" w:type="dxa"/>
            <w:vAlign w:val="bottom"/>
            <w:tcBorders>
              <w:right w:val="single" w:sz="8" w:color="auto"/>
            </w:tcBorders>
          </w:tcPr>
          <w:p>
            <w:pPr>
              <w:spacing w:after="0" w:line="20" w:lineRule="exact"/>
              <w:rPr>
                <w:sz w:val="1"/>
                <w:szCs w:val="1"/>
                <w:color w:val="auto"/>
              </w:rPr>
            </w:pPr>
          </w:p>
        </w:tc>
        <w:tc>
          <w:tcPr>
            <w:tcW w:w="780" w:type="dxa"/>
            <w:vAlign w:val="bottom"/>
            <w:tcBorders>
              <w:right w:val="single" w:sz="8" w:color="auto"/>
            </w:tcBorders>
          </w:tcPr>
          <w:p>
            <w:pPr>
              <w:spacing w:after="0" w:line="20" w:lineRule="exact"/>
              <w:rPr>
                <w:sz w:val="1"/>
                <w:szCs w:val="1"/>
                <w:color w:val="auto"/>
              </w:rPr>
            </w:pPr>
          </w:p>
        </w:tc>
      </w:tr>
      <w:tr>
        <w:trPr>
          <w:trHeight w:val="196"/>
        </w:trPr>
        <w:tc>
          <w:tcPr>
            <w:tcW w:w="680" w:type="dxa"/>
            <w:vAlign w:val="bottom"/>
            <w:tcBorders>
              <w:left w:val="single" w:sz="8" w:color="auto"/>
              <w:right w:val="single" w:sz="8" w:color="auto"/>
            </w:tcBorders>
          </w:tcPr>
          <w:p>
            <w:pPr>
              <w:spacing w:after="0"/>
              <w:rPr>
                <w:sz w:val="17"/>
                <w:szCs w:val="17"/>
                <w:color w:val="auto"/>
              </w:rPr>
            </w:pPr>
          </w:p>
        </w:tc>
        <w:tc>
          <w:tcPr>
            <w:tcW w:w="6200" w:type="dxa"/>
            <w:vAlign w:val="bottom"/>
            <w:tcBorders>
              <w:bottom w:val="single" w:sz="8" w:color="0000EE"/>
            </w:tcBorders>
            <w:gridSpan w:val="26"/>
          </w:tcPr>
          <w:p>
            <w:pPr>
              <w:spacing w:after="0" w:line="196" w:lineRule="exact"/>
              <w:rPr>
                <w:rFonts w:ascii="Arial" w:cs="Arial" w:eastAsia="Arial" w:hAnsi="Arial"/>
                <w:sz w:val="18"/>
                <w:szCs w:val="18"/>
                <w:color w:val="0000EE"/>
                <w:w w:val="91"/>
              </w:rPr>
            </w:pPr>
            <w:hyperlink r:id="rId137">
              <w:r>
                <w:rPr>
                  <w:rFonts w:ascii="Arial" w:cs="Arial" w:eastAsia="Arial" w:hAnsi="Arial"/>
                  <w:sz w:val="18"/>
                  <w:szCs w:val="18"/>
                  <w:color w:val="0000EE"/>
                  <w:w w:val="91"/>
                </w:rPr>
                <w:t>Merrill Lynch, Pierce, Fenner &amp; Smith Incorporated and Wells Fargo Capital Finance,</w:t>
              </w:r>
            </w:hyperlink>
          </w:p>
        </w:tc>
        <w:tc>
          <w:tcPr>
            <w:tcW w:w="6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110)</w:t>
            </w:r>
          </w:p>
        </w:tc>
        <w:tc>
          <w:tcPr>
            <w:tcW w:w="780" w:type="dxa"/>
            <w:vAlign w:val="bottom"/>
            <w:tcBorders>
              <w:right w:val="single" w:sz="8" w:color="auto"/>
            </w:tcBorders>
          </w:tcPr>
          <w:p>
            <w:pPr>
              <w:spacing w:after="0"/>
              <w:rPr>
                <w:sz w:val="17"/>
                <w:szCs w:val="17"/>
                <w:color w:val="auto"/>
              </w:rPr>
            </w:pPr>
          </w:p>
        </w:tc>
      </w:tr>
      <w:tr>
        <w:trPr>
          <w:trHeight w:val="196"/>
        </w:trPr>
        <w:tc>
          <w:tcPr>
            <w:tcW w:w="680" w:type="dxa"/>
            <w:vAlign w:val="bottom"/>
            <w:tcBorders>
              <w:left w:val="single" w:sz="8" w:color="auto"/>
              <w:right w:val="single" w:sz="8" w:color="auto"/>
            </w:tcBorders>
          </w:tcPr>
          <w:p>
            <w:pPr>
              <w:spacing w:after="0"/>
              <w:rPr>
                <w:sz w:val="17"/>
                <w:szCs w:val="17"/>
                <w:color w:val="auto"/>
              </w:rPr>
            </w:pPr>
          </w:p>
        </w:tc>
        <w:tc>
          <w:tcPr>
            <w:tcW w:w="6260" w:type="dxa"/>
            <w:vAlign w:val="bottom"/>
            <w:tcBorders>
              <w:right w:val="single" w:sz="8" w:color="auto"/>
            </w:tcBorders>
            <w:gridSpan w:val="27"/>
          </w:tcPr>
          <w:p>
            <w:pPr>
              <w:spacing w:after="0" w:line="196" w:lineRule="exact"/>
              <w:rPr>
                <w:rFonts w:ascii="Arial" w:cs="Arial" w:eastAsia="Arial" w:hAnsi="Arial"/>
                <w:sz w:val="18"/>
                <w:szCs w:val="18"/>
                <w:color w:val="0000EE"/>
                <w:w w:val="92"/>
              </w:rPr>
            </w:pPr>
            <w:hyperlink r:id="rId137">
              <w:r>
                <w:rPr>
                  <w:rFonts w:ascii="Arial" w:cs="Arial" w:eastAsia="Arial" w:hAnsi="Arial"/>
                  <w:sz w:val="18"/>
                  <w:szCs w:val="18"/>
                  <w:color w:val="0000EE"/>
                  <w:w w:val="92"/>
                </w:rPr>
                <w:t>LLC, as joint lead arrangers, and Merrill Lynch, Pierce, Fenner &amp; Smith Incorporated</w:t>
              </w:r>
            </w:hyperlink>
          </w:p>
        </w:tc>
        <w:tc>
          <w:tcPr>
            <w:tcW w:w="90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r>
      <w:tr>
        <w:trPr>
          <w:trHeight w:val="196"/>
        </w:trPr>
        <w:tc>
          <w:tcPr>
            <w:tcW w:w="680" w:type="dxa"/>
            <w:vAlign w:val="bottom"/>
            <w:tcBorders>
              <w:left w:val="single" w:sz="8" w:color="auto"/>
              <w:right w:val="single" w:sz="8" w:color="auto"/>
            </w:tcBorders>
          </w:tcPr>
          <w:p>
            <w:pPr>
              <w:spacing w:after="0"/>
              <w:rPr>
                <w:sz w:val="17"/>
                <w:szCs w:val="17"/>
                <w:color w:val="auto"/>
              </w:rPr>
            </w:pPr>
          </w:p>
        </w:tc>
        <w:tc>
          <w:tcPr>
            <w:tcW w:w="614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r:id="rId137">
              <w:r>
                <w:rPr>
                  <w:rFonts w:ascii="Arial" w:cs="Arial" w:eastAsia="Arial" w:hAnsi="Arial"/>
                  <w:sz w:val="18"/>
                  <w:szCs w:val="18"/>
                  <w:color w:val="0000EE"/>
                </w:rPr>
                <w:t>and Wells Fargo Capital Finance, LLC, as joint bookrunners.</w:t>
              </w:r>
            </w:hyperlink>
          </w:p>
        </w:tc>
        <w:tc>
          <w:tcPr>
            <w:tcW w:w="120" w:type="dxa"/>
            <w:vAlign w:val="bottom"/>
            <w:tcBorders>
              <w:right w:val="single" w:sz="8" w:color="auto"/>
            </w:tcBorders>
            <w:gridSpan w:val="3"/>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r>
      <w:tr>
        <w:trPr>
          <w:trHeight w:val="21"/>
        </w:trPr>
        <w:tc>
          <w:tcPr>
            <w:tcW w:w="6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20" w:type="dxa"/>
            <w:vAlign w:val="bottom"/>
            <w:tcBorders>
              <w:top w:val="single" w:sz="8" w:color="0000EE"/>
              <w:bottom w:val="single" w:sz="8" w:color="auto"/>
            </w:tcBorders>
          </w:tcPr>
          <w:p>
            <w:pPr>
              <w:spacing w:after="0" w:line="20" w:lineRule="exact"/>
              <w:rPr>
                <w:sz w:val="1"/>
                <w:szCs w:val="1"/>
                <w:color w:val="auto"/>
              </w:rPr>
            </w:pPr>
          </w:p>
        </w:tc>
        <w:tc>
          <w:tcPr>
            <w:tcW w:w="960" w:type="dxa"/>
            <w:vAlign w:val="bottom"/>
            <w:tcBorders>
              <w:top w:val="single" w:sz="8" w:color="0000EE"/>
              <w:bottom w:val="single" w:sz="8" w:color="auto"/>
            </w:tcBorders>
          </w:tcPr>
          <w:p>
            <w:pPr>
              <w:spacing w:after="0" w:line="20" w:lineRule="exact"/>
              <w:rPr>
                <w:sz w:val="1"/>
                <w:szCs w:val="1"/>
                <w:color w:val="auto"/>
              </w:rPr>
            </w:pPr>
          </w:p>
        </w:tc>
        <w:tc>
          <w:tcPr>
            <w:tcW w:w="106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20" w:type="dxa"/>
            <w:vAlign w:val="bottom"/>
            <w:tcBorders>
              <w:top w:val="single" w:sz="8" w:color="0000EE"/>
              <w:bottom w:val="single" w:sz="8" w:color="auto"/>
            </w:tcBorders>
          </w:tcPr>
          <w:p>
            <w:pPr>
              <w:spacing w:after="0" w:line="20" w:lineRule="exact"/>
              <w:rPr>
                <w:sz w:val="1"/>
                <w:szCs w:val="1"/>
                <w:color w:val="auto"/>
              </w:rPr>
            </w:pPr>
          </w:p>
        </w:tc>
        <w:tc>
          <w:tcPr>
            <w:tcW w:w="1220" w:type="dxa"/>
            <w:vAlign w:val="bottom"/>
            <w:tcBorders>
              <w:top w:val="single" w:sz="8" w:color="0000EE"/>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90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680" w:type="dxa"/>
            <w:vAlign w:val="bottom"/>
            <w:tcBorders>
              <w:left w:val="single" w:sz="8" w:color="auto"/>
              <w:right w:val="single" w:sz="8" w:color="auto"/>
            </w:tcBorders>
          </w:tcPr>
          <w:p>
            <w:pPr>
              <w:spacing w:after="0" w:line="170" w:lineRule="exact"/>
              <w:rPr>
                <w:sz w:val="20"/>
                <w:szCs w:val="20"/>
                <w:color w:val="auto"/>
              </w:rPr>
            </w:pPr>
            <w:r>
              <w:rPr>
                <w:rFonts w:ascii="Arial" w:cs="Arial" w:eastAsia="Arial" w:hAnsi="Arial"/>
                <w:sz w:val="18"/>
                <w:szCs w:val="18"/>
                <w:color w:val="auto"/>
              </w:rPr>
              <w:t>10.2.1</w:t>
            </w:r>
          </w:p>
        </w:tc>
        <w:tc>
          <w:tcPr>
            <w:tcW w:w="6260" w:type="dxa"/>
            <w:vAlign w:val="bottom"/>
            <w:tcBorders>
              <w:right w:val="single" w:sz="8" w:color="auto"/>
            </w:tcBorders>
            <w:gridSpan w:val="27"/>
          </w:tcPr>
          <w:p>
            <w:pPr>
              <w:spacing w:after="0" w:line="170" w:lineRule="exact"/>
              <w:rPr>
                <w:rFonts w:ascii="Arial" w:cs="Arial" w:eastAsia="Arial" w:hAnsi="Arial"/>
                <w:sz w:val="18"/>
                <w:szCs w:val="18"/>
                <w:color w:val="0000EE"/>
                <w:w w:val="91"/>
              </w:rPr>
            </w:pPr>
            <w:hyperlink r:id="rId138">
              <w:r>
                <w:rPr>
                  <w:rFonts w:ascii="Arial" w:cs="Arial" w:eastAsia="Arial" w:hAnsi="Arial"/>
                  <w:sz w:val="18"/>
                  <w:szCs w:val="18"/>
                  <w:color w:val="0000EE"/>
                  <w:w w:val="91"/>
                </w:rPr>
                <w:t>First Amendment to Second Amended and Restated Credit Agreement, dated August</w:t>
              </w:r>
            </w:hyperlink>
          </w:p>
        </w:tc>
        <w:tc>
          <w:tcPr>
            <w:tcW w:w="900" w:type="dxa"/>
            <w:vAlign w:val="bottom"/>
            <w:tcBorders>
              <w:right w:val="single" w:sz="8" w:color="auto"/>
            </w:tcBorders>
          </w:tcPr>
          <w:p>
            <w:pPr>
              <w:spacing w:after="0" w:line="170" w:lineRule="exact"/>
              <w:rPr>
                <w:sz w:val="20"/>
                <w:szCs w:val="20"/>
                <w:color w:val="auto"/>
              </w:rPr>
            </w:pPr>
            <w:r>
              <w:rPr>
                <w:rFonts w:ascii="Arial" w:cs="Arial" w:eastAsia="Arial" w:hAnsi="Arial"/>
                <w:sz w:val="18"/>
                <w:szCs w:val="18"/>
                <w:color w:val="auto"/>
              </w:rPr>
              <w:t>Current</w:t>
            </w:r>
          </w:p>
        </w:tc>
        <w:tc>
          <w:tcPr>
            <w:tcW w:w="780" w:type="dxa"/>
            <w:vAlign w:val="bottom"/>
            <w:tcBorders>
              <w:right w:val="single" w:sz="8" w:color="auto"/>
            </w:tcBorders>
          </w:tcPr>
          <w:p>
            <w:pPr>
              <w:spacing w:after="0" w:line="170" w:lineRule="exact"/>
              <w:rPr>
                <w:sz w:val="20"/>
                <w:szCs w:val="20"/>
                <w:color w:val="auto"/>
              </w:rPr>
            </w:pPr>
            <w:r>
              <w:rPr>
                <w:rFonts w:ascii="Arial" w:cs="Arial" w:eastAsia="Arial" w:hAnsi="Arial"/>
                <w:sz w:val="18"/>
                <w:szCs w:val="18"/>
                <w:color w:val="auto"/>
              </w:rPr>
              <w:t>August</w:t>
            </w:r>
          </w:p>
        </w:tc>
      </w:tr>
      <w:tr>
        <w:trPr>
          <w:trHeight w:val="196"/>
        </w:trPr>
        <w:tc>
          <w:tcPr>
            <w:tcW w:w="680" w:type="dxa"/>
            <w:vAlign w:val="bottom"/>
            <w:tcBorders>
              <w:left w:val="single" w:sz="8" w:color="auto"/>
              <w:right w:val="single" w:sz="8" w:color="auto"/>
            </w:tcBorders>
          </w:tcPr>
          <w:p>
            <w:pPr>
              <w:spacing w:after="0"/>
              <w:rPr>
                <w:sz w:val="17"/>
                <w:szCs w:val="17"/>
                <w:color w:val="auto"/>
              </w:rPr>
            </w:pPr>
          </w:p>
        </w:tc>
        <w:tc>
          <w:tcPr>
            <w:tcW w:w="6100" w:type="dxa"/>
            <w:vAlign w:val="bottom"/>
            <w:tcBorders>
              <w:top w:val="single" w:sz="8" w:color="0000EE"/>
            </w:tcBorders>
            <w:gridSpan w:val="23"/>
          </w:tcPr>
          <w:p>
            <w:pPr>
              <w:spacing w:after="0" w:line="196" w:lineRule="exact"/>
              <w:rPr>
                <w:rFonts w:ascii="Arial" w:cs="Arial" w:eastAsia="Arial" w:hAnsi="Arial"/>
                <w:sz w:val="18"/>
                <w:szCs w:val="18"/>
                <w:color w:val="0000EE"/>
                <w:w w:val="93"/>
              </w:rPr>
            </w:pPr>
            <w:hyperlink r:id="rId138">
              <w:r>
                <w:rPr>
                  <w:rFonts w:ascii="Arial" w:cs="Arial" w:eastAsia="Arial" w:hAnsi="Arial"/>
                  <w:sz w:val="18"/>
                  <w:szCs w:val="18"/>
                  <w:color w:val="0000EE"/>
                  <w:w w:val="93"/>
                </w:rPr>
                <w:t>13, 2014, by and among Burlington Coat Factory Warehouse Corporation, as lead</w:t>
              </w:r>
            </w:hyperlink>
          </w:p>
        </w:tc>
        <w:tc>
          <w:tcPr>
            <w:tcW w:w="160" w:type="dxa"/>
            <w:vAlign w:val="bottom"/>
            <w:tcBorders>
              <w:right w:val="single" w:sz="8" w:color="auto"/>
            </w:tcBorders>
            <w:gridSpan w:val="4"/>
          </w:tcPr>
          <w:p>
            <w:pPr>
              <w:spacing w:after="0"/>
              <w:rPr>
                <w:sz w:val="17"/>
                <w:szCs w:val="17"/>
                <w:color w:val="auto"/>
              </w:rPr>
            </w:pPr>
          </w:p>
        </w:tc>
        <w:tc>
          <w:tcPr>
            <w:tcW w:w="9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Report on</w:t>
            </w:r>
          </w:p>
        </w:tc>
        <w:tc>
          <w:tcPr>
            <w:tcW w:w="78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18, 2014</w:t>
            </w:r>
          </w:p>
        </w:tc>
      </w:tr>
      <w:tr>
        <w:trPr>
          <w:trHeight w:val="20"/>
        </w:trPr>
        <w:tc>
          <w:tcPr>
            <w:tcW w:w="680" w:type="dxa"/>
            <w:vAlign w:val="bottom"/>
            <w:tcBorders>
              <w:left w:val="single" w:sz="8" w:color="auto"/>
              <w:right w:val="single" w:sz="8" w:color="auto"/>
            </w:tcBorders>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40" w:type="dxa"/>
            <w:vAlign w:val="bottom"/>
            <w:gridSpan w:val="3"/>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gridSpan w:val="9"/>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tcBorders>
              <w:right w:val="single" w:sz="8" w:color="auto"/>
            </w:tcBorders>
            <w:gridSpan w:val="2"/>
          </w:tcPr>
          <w:p>
            <w:pPr>
              <w:spacing w:after="0" w:line="20" w:lineRule="exact"/>
              <w:rPr>
                <w:sz w:val="1"/>
                <w:szCs w:val="1"/>
                <w:color w:val="auto"/>
              </w:rPr>
            </w:pPr>
          </w:p>
        </w:tc>
        <w:tc>
          <w:tcPr>
            <w:tcW w:w="900" w:type="dxa"/>
            <w:vAlign w:val="bottom"/>
            <w:tcBorders>
              <w:right w:val="single" w:sz="8" w:color="auto"/>
            </w:tcBorders>
          </w:tcPr>
          <w:p>
            <w:pPr>
              <w:spacing w:after="0" w:line="20" w:lineRule="exact"/>
              <w:rPr>
                <w:sz w:val="1"/>
                <w:szCs w:val="1"/>
                <w:color w:val="auto"/>
              </w:rPr>
            </w:pPr>
          </w:p>
        </w:tc>
        <w:tc>
          <w:tcPr>
            <w:tcW w:w="780" w:type="dxa"/>
            <w:vAlign w:val="bottom"/>
            <w:tcBorders>
              <w:right w:val="single" w:sz="8" w:color="auto"/>
            </w:tcBorders>
          </w:tcPr>
          <w:p>
            <w:pPr>
              <w:spacing w:after="0" w:line="20" w:lineRule="exact"/>
              <w:rPr>
                <w:sz w:val="1"/>
                <w:szCs w:val="1"/>
                <w:color w:val="auto"/>
              </w:rPr>
            </w:pPr>
          </w:p>
        </w:tc>
      </w:tr>
      <w:tr>
        <w:trPr>
          <w:trHeight w:val="196"/>
        </w:trPr>
        <w:tc>
          <w:tcPr>
            <w:tcW w:w="680" w:type="dxa"/>
            <w:vAlign w:val="bottom"/>
            <w:tcBorders>
              <w:left w:val="single" w:sz="8" w:color="auto"/>
              <w:right w:val="single" w:sz="8" w:color="auto"/>
            </w:tcBorders>
          </w:tcPr>
          <w:p>
            <w:pPr>
              <w:spacing w:after="0"/>
              <w:rPr>
                <w:sz w:val="17"/>
                <w:szCs w:val="17"/>
                <w:color w:val="auto"/>
              </w:rPr>
            </w:pPr>
          </w:p>
        </w:tc>
        <w:tc>
          <w:tcPr>
            <w:tcW w:w="6260" w:type="dxa"/>
            <w:vAlign w:val="bottom"/>
            <w:tcBorders>
              <w:right w:val="single" w:sz="8" w:color="auto"/>
            </w:tcBorders>
            <w:gridSpan w:val="27"/>
          </w:tcPr>
          <w:p>
            <w:pPr>
              <w:spacing w:after="0" w:line="196" w:lineRule="exact"/>
              <w:rPr>
                <w:rFonts w:ascii="Arial" w:cs="Arial" w:eastAsia="Arial" w:hAnsi="Arial"/>
                <w:sz w:val="18"/>
                <w:szCs w:val="18"/>
                <w:color w:val="0000EE"/>
                <w:w w:val="90"/>
              </w:rPr>
            </w:pPr>
            <w:hyperlink r:id="rId138">
              <w:r>
                <w:rPr>
                  <w:rFonts w:ascii="Arial" w:cs="Arial" w:eastAsia="Arial" w:hAnsi="Arial"/>
                  <w:sz w:val="18"/>
                  <w:szCs w:val="18"/>
                  <w:color w:val="0000EE"/>
                  <w:w w:val="90"/>
                </w:rPr>
                <w:t>borrower, the other borrowers party thereto, the facility guarantors thereto, the lenders</w:t>
              </w:r>
            </w:hyperlink>
          </w:p>
        </w:tc>
        <w:tc>
          <w:tcPr>
            <w:tcW w:w="9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Form 8-K</w:t>
            </w:r>
          </w:p>
        </w:tc>
        <w:tc>
          <w:tcPr>
            <w:tcW w:w="780" w:type="dxa"/>
            <w:vAlign w:val="bottom"/>
            <w:tcBorders>
              <w:right w:val="single" w:sz="8" w:color="auto"/>
            </w:tcBorders>
          </w:tcPr>
          <w:p>
            <w:pPr>
              <w:spacing w:after="0"/>
              <w:rPr>
                <w:sz w:val="17"/>
                <w:szCs w:val="17"/>
                <w:color w:val="auto"/>
              </w:rPr>
            </w:pPr>
          </w:p>
        </w:tc>
      </w:tr>
      <w:tr>
        <w:trPr>
          <w:trHeight w:val="196"/>
        </w:trPr>
        <w:tc>
          <w:tcPr>
            <w:tcW w:w="680" w:type="dxa"/>
            <w:vAlign w:val="bottom"/>
            <w:tcBorders>
              <w:left w:val="single" w:sz="8" w:color="auto"/>
              <w:right w:val="single" w:sz="8" w:color="auto"/>
            </w:tcBorders>
          </w:tcPr>
          <w:p>
            <w:pPr>
              <w:spacing w:after="0"/>
              <w:rPr>
                <w:sz w:val="17"/>
                <w:szCs w:val="17"/>
                <w:color w:val="auto"/>
              </w:rPr>
            </w:pPr>
          </w:p>
        </w:tc>
        <w:tc>
          <w:tcPr>
            <w:tcW w:w="6180" w:type="dxa"/>
            <w:vAlign w:val="bottom"/>
            <w:tcBorders>
              <w:top w:val="single" w:sz="8" w:color="0000EE"/>
              <w:bottom w:val="single" w:sz="8" w:color="0000EE"/>
            </w:tcBorders>
            <w:gridSpan w:val="25"/>
          </w:tcPr>
          <w:p>
            <w:pPr>
              <w:spacing w:after="0" w:line="196" w:lineRule="exact"/>
              <w:rPr>
                <w:rFonts w:ascii="Arial" w:cs="Arial" w:eastAsia="Arial" w:hAnsi="Arial"/>
                <w:sz w:val="18"/>
                <w:szCs w:val="18"/>
                <w:color w:val="0000EE"/>
                <w:w w:val="90"/>
              </w:rPr>
            </w:pPr>
            <w:hyperlink r:id="rId138">
              <w:r>
                <w:rPr>
                  <w:rFonts w:ascii="Arial" w:cs="Arial" w:eastAsia="Arial" w:hAnsi="Arial"/>
                  <w:sz w:val="18"/>
                  <w:szCs w:val="18"/>
                  <w:color w:val="0000EE"/>
                  <w:w w:val="90"/>
                </w:rPr>
                <w:t>party thereto and Bank of America, N.A., as administrative agent and collateral agent.</w:t>
              </w:r>
            </w:hyperlink>
          </w:p>
        </w:tc>
        <w:tc>
          <w:tcPr>
            <w:tcW w:w="80" w:type="dxa"/>
            <w:vAlign w:val="bottom"/>
            <w:tcBorders>
              <w:right w:val="single" w:sz="8" w:color="auto"/>
            </w:tcBorders>
            <w:gridSpan w:val="2"/>
          </w:tcPr>
          <w:p>
            <w:pPr>
              <w:spacing w:after="0"/>
              <w:rPr>
                <w:sz w:val="17"/>
                <w:szCs w:val="17"/>
                <w:color w:val="auto"/>
              </w:rPr>
            </w:pPr>
          </w:p>
        </w:tc>
        <w:tc>
          <w:tcPr>
            <w:tcW w:w="9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(File No.</w:t>
            </w:r>
          </w:p>
        </w:tc>
        <w:tc>
          <w:tcPr>
            <w:tcW w:w="780" w:type="dxa"/>
            <w:vAlign w:val="bottom"/>
            <w:tcBorders>
              <w:right w:val="single" w:sz="8" w:color="auto"/>
            </w:tcBorders>
          </w:tcPr>
          <w:p>
            <w:pPr>
              <w:spacing w:after="0"/>
              <w:rPr>
                <w:sz w:val="17"/>
                <w:szCs w:val="17"/>
                <w:color w:val="auto"/>
              </w:rPr>
            </w:pPr>
          </w:p>
        </w:tc>
      </w:tr>
      <w:tr>
        <w:trPr>
          <w:trHeight w:val="237"/>
        </w:trPr>
        <w:tc>
          <w:tcPr>
            <w:tcW w:w="680" w:type="dxa"/>
            <w:vAlign w:val="bottom"/>
            <w:tcBorders>
              <w:left w:val="single" w:sz="8" w:color="auto"/>
              <w:bottom w:val="single" w:sz="8" w:color="auto"/>
              <w:right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w w:val="93"/>
              </w:rPr>
              <w:t>001-36107)</w:t>
            </w:r>
          </w:p>
        </w:tc>
        <w:tc>
          <w:tcPr>
            <w:tcW w:w="780" w:type="dxa"/>
            <w:vAlign w:val="bottom"/>
            <w:tcBorders>
              <w:bottom w:val="single" w:sz="8" w:color="auto"/>
              <w:right w:val="single" w:sz="8" w:color="auto"/>
            </w:tcBorders>
          </w:tcPr>
          <w:p>
            <w:pPr>
              <w:spacing w:after="0"/>
              <w:rPr>
                <w:sz w:val="20"/>
                <w:szCs w:val="20"/>
                <w:color w:val="auto"/>
              </w:rPr>
            </w:pPr>
          </w:p>
        </w:tc>
      </w:tr>
      <w:tr>
        <w:trPr>
          <w:trHeight w:val="169"/>
        </w:trPr>
        <w:tc>
          <w:tcPr>
            <w:tcW w:w="680" w:type="dxa"/>
            <w:vAlign w:val="bottom"/>
            <w:tcBorders>
              <w:left w:val="single" w:sz="8" w:color="auto"/>
              <w:right w:val="single" w:sz="8" w:color="auto"/>
            </w:tcBorders>
          </w:tcPr>
          <w:p>
            <w:pPr>
              <w:spacing w:after="0" w:line="170" w:lineRule="exact"/>
              <w:rPr>
                <w:sz w:val="20"/>
                <w:szCs w:val="20"/>
                <w:color w:val="auto"/>
              </w:rPr>
            </w:pPr>
            <w:r>
              <w:rPr>
                <w:rFonts w:ascii="Arial" w:cs="Arial" w:eastAsia="Arial" w:hAnsi="Arial"/>
                <w:sz w:val="18"/>
                <w:szCs w:val="18"/>
                <w:color w:val="auto"/>
              </w:rPr>
              <w:t>10.3</w:t>
            </w:r>
          </w:p>
        </w:tc>
        <w:tc>
          <w:tcPr>
            <w:tcW w:w="6080" w:type="dxa"/>
            <w:vAlign w:val="bottom"/>
            <w:tcBorders>
              <w:bottom w:val="single" w:sz="8" w:color="0000EE"/>
            </w:tcBorders>
            <w:gridSpan w:val="22"/>
          </w:tcPr>
          <w:p>
            <w:pPr>
              <w:spacing w:after="0" w:line="170" w:lineRule="exact"/>
              <w:rPr>
                <w:rFonts w:ascii="Arial" w:cs="Arial" w:eastAsia="Arial" w:hAnsi="Arial"/>
                <w:sz w:val="18"/>
                <w:szCs w:val="18"/>
                <w:color w:val="0000EE"/>
                <w:w w:val="91"/>
              </w:rPr>
            </w:pPr>
            <w:hyperlink r:id="rId139">
              <w:r>
                <w:rPr>
                  <w:rFonts w:ascii="Arial" w:cs="Arial" w:eastAsia="Arial" w:hAnsi="Arial"/>
                  <w:sz w:val="18"/>
                  <w:szCs w:val="18"/>
                  <w:color w:val="0000EE"/>
                  <w:w w:val="91"/>
                </w:rPr>
                <w:t>Revolving Credit Note, dated April 13, 2006, by the borrowers party thereto in favor</w:t>
              </w:r>
            </w:hyperlink>
          </w:p>
        </w:tc>
        <w:tc>
          <w:tcPr>
            <w:tcW w:w="180" w:type="dxa"/>
            <w:vAlign w:val="bottom"/>
            <w:tcBorders>
              <w:right w:val="single" w:sz="8" w:color="auto"/>
            </w:tcBorders>
            <w:gridSpan w:val="5"/>
          </w:tcPr>
          <w:p>
            <w:pPr>
              <w:spacing w:after="0"/>
              <w:rPr>
                <w:sz w:val="14"/>
                <w:szCs w:val="14"/>
                <w:color w:val="auto"/>
              </w:rPr>
            </w:pPr>
          </w:p>
        </w:tc>
        <w:tc>
          <w:tcPr>
            <w:tcW w:w="900" w:type="dxa"/>
            <w:vAlign w:val="bottom"/>
            <w:tcBorders>
              <w:right w:val="single" w:sz="8" w:color="auto"/>
            </w:tcBorders>
          </w:tcPr>
          <w:p>
            <w:pPr>
              <w:spacing w:after="0" w:line="170" w:lineRule="exact"/>
              <w:rPr>
                <w:sz w:val="20"/>
                <w:szCs w:val="20"/>
                <w:color w:val="auto"/>
              </w:rPr>
            </w:pPr>
            <w:r>
              <w:rPr>
                <w:rFonts w:ascii="Arial" w:cs="Arial" w:eastAsia="Arial" w:hAnsi="Arial"/>
                <w:sz w:val="18"/>
                <w:szCs w:val="18"/>
                <w:color w:val="auto"/>
                <w:w w:val="89"/>
              </w:rPr>
              <w:t>Registration</w:t>
            </w:r>
          </w:p>
        </w:tc>
        <w:tc>
          <w:tcPr>
            <w:tcW w:w="780" w:type="dxa"/>
            <w:vAlign w:val="bottom"/>
            <w:tcBorders>
              <w:right w:val="single" w:sz="8" w:color="auto"/>
            </w:tcBorders>
          </w:tcPr>
          <w:p>
            <w:pPr>
              <w:spacing w:after="0" w:line="170" w:lineRule="exact"/>
              <w:rPr>
                <w:sz w:val="20"/>
                <w:szCs w:val="20"/>
                <w:color w:val="auto"/>
              </w:rPr>
            </w:pPr>
            <w:r>
              <w:rPr>
                <w:rFonts w:ascii="Arial" w:cs="Arial" w:eastAsia="Arial" w:hAnsi="Arial"/>
                <w:sz w:val="18"/>
                <w:szCs w:val="18"/>
                <w:color w:val="auto"/>
              </w:rPr>
              <w:t>October</w:t>
            </w:r>
          </w:p>
        </w:tc>
      </w:tr>
      <w:tr>
        <w:trPr>
          <w:trHeight w:val="196"/>
        </w:trPr>
        <w:tc>
          <w:tcPr>
            <w:tcW w:w="680" w:type="dxa"/>
            <w:vAlign w:val="bottom"/>
            <w:tcBorders>
              <w:left w:val="single" w:sz="8" w:color="auto"/>
              <w:right w:val="single" w:sz="8" w:color="auto"/>
            </w:tcBorders>
          </w:tcPr>
          <w:p>
            <w:pPr>
              <w:spacing w:after="0"/>
              <w:rPr>
                <w:sz w:val="17"/>
                <w:szCs w:val="17"/>
                <w:color w:val="auto"/>
              </w:rPr>
            </w:pPr>
          </w:p>
        </w:tc>
        <w:tc>
          <w:tcPr>
            <w:tcW w:w="6260" w:type="dxa"/>
            <w:vAlign w:val="bottom"/>
            <w:tcBorders>
              <w:right w:val="single" w:sz="8" w:color="auto"/>
            </w:tcBorders>
            <w:gridSpan w:val="27"/>
          </w:tcPr>
          <w:p>
            <w:pPr>
              <w:spacing w:after="0" w:line="196" w:lineRule="exact"/>
              <w:rPr>
                <w:rFonts w:ascii="Arial" w:cs="Arial" w:eastAsia="Arial" w:hAnsi="Arial"/>
                <w:sz w:val="18"/>
                <w:szCs w:val="18"/>
                <w:color w:val="0000EE"/>
              </w:rPr>
            </w:pPr>
            <w:hyperlink r:id="rId139">
              <w:r>
                <w:rPr>
                  <w:rFonts w:ascii="Arial" w:cs="Arial" w:eastAsia="Arial" w:hAnsi="Arial"/>
                  <w:sz w:val="18"/>
                  <w:szCs w:val="18"/>
                  <w:color w:val="0000EE"/>
                </w:rPr>
                <w:t>of PNC Bank, National Association.</w:t>
              </w:r>
            </w:hyperlink>
          </w:p>
        </w:tc>
        <w:tc>
          <w:tcPr>
            <w:tcW w:w="9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Statement</w:t>
            </w:r>
          </w:p>
        </w:tc>
        <w:tc>
          <w:tcPr>
            <w:tcW w:w="78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10, 2006</w:t>
            </w:r>
          </w:p>
        </w:tc>
      </w:tr>
      <w:tr>
        <w:trPr>
          <w:trHeight w:val="222"/>
        </w:trPr>
        <w:tc>
          <w:tcPr>
            <w:tcW w:w="680" w:type="dxa"/>
            <w:vAlign w:val="bottom"/>
            <w:tcBorders>
              <w:left w:val="single" w:sz="8" w:color="auto"/>
              <w:right w:val="single" w:sz="8" w:color="auto"/>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960" w:type="dxa"/>
            <w:vAlign w:val="bottom"/>
            <w:tcBorders>
              <w:top w:val="single" w:sz="8" w:color="0000EE"/>
            </w:tcBorders>
          </w:tcPr>
          <w:p>
            <w:pPr>
              <w:spacing w:after="0"/>
              <w:rPr>
                <w:sz w:val="19"/>
                <w:szCs w:val="19"/>
                <w:color w:val="auto"/>
              </w:rPr>
            </w:pPr>
          </w:p>
        </w:tc>
        <w:tc>
          <w:tcPr>
            <w:tcW w:w="106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5"/>
              </w:rPr>
              <w:t>on Form S-</w:t>
            </w:r>
          </w:p>
        </w:tc>
        <w:tc>
          <w:tcPr>
            <w:tcW w:w="780" w:type="dxa"/>
            <w:vAlign w:val="bottom"/>
            <w:tcBorders>
              <w:right w:val="single" w:sz="8" w:color="auto"/>
            </w:tcBorders>
          </w:tcPr>
          <w:p>
            <w:pPr>
              <w:spacing w:after="0"/>
              <w:rPr>
                <w:sz w:val="19"/>
                <w:szCs w:val="19"/>
                <w:color w:val="auto"/>
              </w:rPr>
            </w:pPr>
          </w:p>
        </w:tc>
      </w:tr>
      <w:tr>
        <w:trPr>
          <w:trHeight w:val="216"/>
        </w:trPr>
        <w:tc>
          <w:tcPr>
            <w:tcW w:w="680" w:type="dxa"/>
            <w:vAlign w:val="bottom"/>
            <w:tcBorders>
              <w:left w:val="single" w:sz="8" w:color="auto"/>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4</w:t>
            </w:r>
          </w:p>
        </w:tc>
        <w:tc>
          <w:tcPr>
            <w:tcW w:w="780" w:type="dxa"/>
            <w:vAlign w:val="bottom"/>
            <w:tcBorders>
              <w:right w:val="single" w:sz="8" w:color="auto"/>
            </w:tcBorders>
          </w:tcPr>
          <w:p>
            <w:pPr>
              <w:spacing w:after="0"/>
              <w:rPr>
                <w:sz w:val="18"/>
                <w:szCs w:val="18"/>
                <w:color w:val="auto"/>
              </w:rPr>
            </w:pPr>
          </w:p>
        </w:tc>
      </w:tr>
      <w:tr>
        <w:trPr>
          <w:trHeight w:val="216"/>
        </w:trPr>
        <w:tc>
          <w:tcPr>
            <w:tcW w:w="680" w:type="dxa"/>
            <w:vAlign w:val="bottom"/>
            <w:tcBorders>
              <w:left w:val="single" w:sz="8" w:color="auto"/>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(File No.</w:t>
            </w:r>
          </w:p>
        </w:tc>
        <w:tc>
          <w:tcPr>
            <w:tcW w:w="780" w:type="dxa"/>
            <w:vAlign w:val="bottom"/>
            <w:tcBorders>
              <w:right w:val="single" w:sz="8" w:color="auto"/>
            </w:tcBorders>
          </w:tcPr>
          <w:p>
            <w:pPr>
              <w:spacing w:after="0"/>
              <w:rPr>
                <w:sz w:val="18"/>
                <w:szCs w:val="18"/>
                <w:color w:val="auto"/>
              </w:rPr>
            </w:pPr>
          </w:p>
        </w:tc>
      </w:tr>
      <w:tr>
        <w:trPr>
          <w:trHeight w:val="216"/>
        </w:trPr>
        <w:tc>
          <w:tcPr>
            <w:tcW w:w="680" w:type="dxa"/>
            <w:vAlign w:val="bottom"/>
            <w:tcBorders>
              <w:left w:val="single" w:sz="8" w:color="auto"/>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333-</w:t>
            </w:r>
          </w:p>
        </w:tc>
        <w:tc>
          <w:tcPr>
            <w:tcW w:w="780" w:type="dxa"/>
            <w:vAlign w:val="bottom"/>
            <w:tcBorders>
              <w:right w:val="single" w:sz="8" w:color="auto"/>
            </w:tcBorders>
          </w:tcPr>
          <w:p>
            <w:pPr>
              <w:spacing w:after="0"/>
              <w:rPr>
                <w:sz w:val="18"/>
                <w:szCs w:val="18"/>
                <w:color w:val="auto"/>
              </w:rPr>
            </w:pPr>
          </w:p>
        </w:tc>
      </w:tr>
      <w:tr>
        <w:trPr>
          <w:trHeight w:val="230"/>
        </w:trPr>
        <w:tc>
          <w:tcPr>
            <w:tcW w:w="680" w:type="dxa"/>
            <w:vAlign w:val="bottom"/>
            <w:tcBorders>
              <w:left w:val="single" w:sz="8" w:color="auto"/>
              <w:bottom w:val="single" w:sz="8" w:color="auto"/>
              <w:right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137916)</w:t>
            </w:r>
          </w:p>
        </w:tc>
        <w:tc>
          <w:tcPr>
            <w:tcW w:w="780" w:type="dxa"/>
            <w:vAlign w:val="bottom"/>
            <w:tcBorders>
              <w:bottom w:val="single" w:sz="8" w:color="auto"/>
              <w:right w:val="single" w:sz="8" w:color="auto"/>
            </w:tcBorders>
          </w:tcPr>
          <w:p>
            <w:pPr>
              <w:spacing w:after="0"/>
              <w:rPr>
                <w:sz w:val="20"/>
                <w:szCs w:val="20"/>
                <w:color w:val="auto"/>
              </w:rPr>
            </w:pPr>
          </w:p>
        </w:tc>
      </w:tr>
      <w:tr>
        <w:trPr>
          <w:trHeight w:val="169"/>
        </w:trPr>
        <w:tc>
          <w:tcPr>
            <w:tcW w:w="680" w:type="dxa"/>
            <w:vAlign w:val="bottom"/>
            <w:tcBorders>
              <w:left w:val="single" w:sz="8" w:color="auto"/>
              <w:right w:val="single" w:sz="8" w:color="auto"/>
            </w:tcBorders>
          </w:tcPr>
          <w:p>
            <w:pPr>
              <w:spacing w:after="0" w:line="170" w:lineRule="exact"/>
              <w:rPr>
                <w:sz w:val="20"/>
                <w:szCs w:val="20"/>
                <w:color w:val="auto"/>
              </w:rPr>
            </w:pPr>
            <w:r>
              <w:rPr>
                <w:rFonts w:ascii="Arial" w:cs="Arial" w:eastAsia="Arial" w:hAnsi="Arial"/>
                <w:sz w:val="18"/>
                <w:szCs w:val="18"/>
                <w:color w:val="auto"/>
              </w:rPr>
              <w:t>10.4</w:t>
            </w:r>
          </w:p>
        </w:tc>
        <w:tc>
          <w:tcPr>
            <w:tcW w:w="6080" w:type="dxa"/>
            <w:vAlign w:val="bottom"/>
            <w:tcBorders>
              <w:bottom w:val="single" w:sz="8" w:color="0000EE"/>
            </w:tcBorders>
            <w:gridSpan w:val="22"/>
          </w:tcPr>
          <w:p>
            <w:pPr>
              <w:spacing w:after="0" w:line="170" w:lineRule="exact"/>
              <w:rPr>
                <w:rFonts w:ascii="Arial" w:cs="Arial" w:eastAsia="Arial" w:hAnsi="Arial"/>
                <w:sz w:val="18"/>
                <w:szCs w:val="18"/>
                <w:color w:val="0000EE"/>
                <w:w w:val="91"/>
              </w:rPr>
            </w:pPr>
            <w:hyperlink r:id="rId140">
              <w:r>
                <w:rPr>
                  <w:rFonts w:ascii="Arial" w:cs="Arial" w:eastAsia="Arial" w:hAnsi="Arial"/>
                  <w:sz w:val="18"/>
                  <w:szCs w:val="18"/>
                  <w:color w:val="0000EE"/>
                  <w:w w:val="91"/>
                </w:rPr>
                <w:t>Revolving Credit Note, dated April 13, 2006, by the borrowers party thereto in favor</w:t>
              </w:r>
            </w:hyperlink>
          </w:p>
        </w:tc>
        <w:tc>
          <w:tcPr>
            <w:tcW w:w="180" w:type="dxa"/>
            <w:vAlign w:val="bottom"/>
            <w:tcBorders>
              <w:right w:val="single" w:sz="8" w:color="auto"/>
            </w:tcBorders>
            <w:gridSpan w:val="5"/>
          </w:tcPr>
          <w:p>
            <w:pPr>
              <w:spacing w:after="0"/>
              <w:rPr>
                <w:sz w:val="14"/>
                <w:szCs w:val="14"/>
                <w:color w:val="auto"/>
              </w:rPr>
            </w:pPr>
          </w:p>
        </w:tc>
        <w:tc>
          <w:tcPr>
            <w:tcW w:w="900" w:type="dxa"/>
            <w:vAlign w:val="bottom"/>
            <w:tcBorders>
              <w:right w:val="single" w:sz="8" w:color="auto"/>
            </w:tcBorders>
          </w:tcPr>
          <w:p>
            <w:pPr>
              <w:spacing w:after="0" w:line="170" w:lineRule="exact"/>
              <w:rPr>
                <w:sz w:val="20"/>
                <w:szCs w:val="20"/>
                <w:color w:val="auto"/>
              </w:rPr>
            </w:pPr>
            <w:r>
              <w:rPr>
                <w:rFonts w:ascii="Arial" w:cs="Arial" w:eastAsia="Arial" w:hAnsi="Arial"/>
                <w:sz w:val="18"/>
                <w:szCs w:val="18"/>
                <w:color w:val="auto"/>
                <w:w w:val="89"/>
              </w:rPr>
              <w:t>Registration</w:t>
            </w:r>
          </w:p>
        </w:tc>
        <w:tc>
          <w:tcPr>
            <w:tcW w:w="780" w:type="dxa"/>
            <w:vAlign w:val="bottom"/>
            <w:tcBorders>
              <w:right w:val="single" w:sz="8" w:color="auto"/>
            </w:tcBorders>
          </w:tcPr>
          <w:p>
            <w:pPr>
              <w:spacing w:after="0" w:line="170" w:lineRule="exact"/>
              <w:rPr>
                <w:sz w:val="20"/>
                <w:szCs w:val="20"/>
                <w:color w:val="auto"/>
              </w:rPr>
            </w:pPr>
            <w:r>
              <w:rPr>
                <w:rFonts w:ascii="Arial" w:cs="Arial" w:eastAsia="Arial" w:hAnsi="Arial"/>
                <w:sz w:val="18"/>
                <w:szCs w:val="18"/>
                <w:color w:val="auto"/>
              </w:rPr>
              <w:t>October</w:t>
            </w:r>
          </w:p>
        </w:tc>
      </w:tr>
      <w:tr>
        <w:trPr>
          <w:trHeight w:val="196"/>
        </w:trPr>
        <w:tc>
          <w:tcPr>
            <w:tcW w:w="680" w:type="dxa"/>
            <w:vAlign w:val="bottom"/>
            <w:tcBorders>
              <w:left w:val="single" w:sz="8" w:color="auto"/>
              <w:right w:val="single" w:sz="8" w:color="auto"/>
            </w:tcBorders>
          </w:tcPr>
          <w:p>
            <w:pPr>
              <w:spacing w:after="0"/>
              <w:rPr>
                <w:sz w:val="17"/>
                <w:szCs w:val="17"/>
                <w:color w:val="auto"/>
              </w:rPr>
            </w:pPr>
          </w:p>
        </w:tc>
        <w:tc>
          <w:tcPr>
            <w:tcW w:w="6260" w:type="dxa"/>
            <w:vAlign w:val="bottom"/>
            <w:tcBorders>
              <w:right w:val="single" w:sz="8" w:color="auto"/>
            </w:tcBorders>
            <w:gridSpan w:val="27"/>
          </w:tcPr>
          <w:p>
            <w:pPr>
              <w:spacing w:after="0" w:line="196" w:lineRule="exact"/>
              <w:rPr>
                <w:rFonts w:ascii="Arial" w:cs="Arial" w:eastAsia="Arial" w:hAnsi="Arial"/>
                <w:sz w:val="18"/>
                <w:szCs w:val="18"/>
                <w:color w:val="0000EE"/>
              </w:rPr>
            </w:pPr>
            <w:hyperlink r:id="rId140">
              <w:r>
                <w:rPr>
                  <w:rFonts w:ascii="Arial" w:cs="Arial" w:eastAsia="Arial" w:hAnsi="Arial"/>
                  <w:sz w:val="18"/>
                  <w:szCs w:val="18"/>
                  <w:color w:val="0000EE"/>
                </w:rPr>
                <w:t>of Siemens Financial Services, Inc.</w:t>
              </w:r>
            </w:hyperlink>
          </w:p>
        </w:tc>
        <w:tc>
          <w:tcPr>
            <w:tcW w:w="9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Statement</w:t>
            </w:r>
          </w:p>
        </w:tc>
        <w:tc>
          <w:tcPr>
            <w:tcW w:w="78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10, 2006</w:t>
            </w:r>
          </w:p>
        </w:tc>
      </w:tr>
      <w:tr>
        <w:trPr>
          <w:trHeight w:val="222"/>
        </w:trPr>
        <w:tc>
          <w:tcPr>
            <w:tcW w:w="680" w:type="dxa"/>
            <w:vAlign w:val="bottom"/>
            <w:tcBorders>
              <w:left w:val="single" w:sz="8" w:color="auto"/>
              <w:right w:val="single" w:sz="8" w:color="auto"/>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960" w:type="dxa"/>
            <w:vAlign w:val="bottom"/>
            <w:tcBorders>
              <w:top w:val="single" w:sz="8" w:color="0000EE"/>
            </w:tcBorders>
          </w:tcPr>
          <w:p>
            <w:pPr>
              <w:spacing w:after="0"/>
              <w:rPr>
                <w:sz w:val="19"/>
                <w:szCs w:val="19"/>
                <w:color w:val="auto"/>
              </w:rPr>
            </w:pPr>
          </w:p>
        </w:tc>
        <w:tc>
          <w:tcPr>
            <w:tcW w:w="106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5"/>
              </w:rPr>
              <w:t>on Form S-</w:t>
            </w:r>
          </w:p>
        </w:tc>
        <w:tc>
          <w:tcPr>
            <w:tcW w:w="780" w:type="dxa"/>
            <w:vAlign w:val="bottom"/>
            <w:tcBorders>
              <w:right w:val="single" w:sz="8" w:color="auto"/>
            </w:tcBorders>
          </w:tcPr>
          <w:p>
            <w:pPr>
              <w:spacing w:after="0"/>
              <w:rPr>
                <w:sz w:val="19"/>
                <w:szCs w:val="19"/>
                <w:color w:val="auto"/>
              </w:rPr>
            </w:pPr>
          </w:p>
        </w:tc>
      </w:tr>
      <w:tr>
        <w:trPr>
          <w:trHeight w:val="216"/>
        </w:trPr>
        <w:tc>
          <w:tcPr>
            <w:tcW w:w="680" w:type="dxa"/>
            <w:vAlign w:val="bottom"/>
            <w:tcBorders>
              <w:left w:val="single" w:sz="8" w:color="auto"/>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4</w:t>
            </w:r>
          </w:p>
        </w:tc>
        <w:tc>
          <w:tcPr>
            <w:tcW w:w="780" w:type="dxa"/>
            <w:vAlign w:val="bottom"/>
            <w:tcBorders>
              <w:right w:val="single" w:sz="8" w:color="auto"/>
            </w:tcBorders>
          </w:tcPr>
          <w:p>
            <w:pPr>
              <w:spacing w:after="0"/>
              <w:rPr>
                <w:sz w:val="18"/>
                <w:szCs w:val="18"/>
                <w:color w:val="auto"/>
              </w:rPr>
            </w:pPr>
          </w:p>
        </w:tc>
      </w:tr>
      <w:tr>
        <w:trPr>
          <w:trHeight w:val="216"/>
        </w:trPr>
        <w:tc>
          <w:tcPr>
            <w:tcW w:w="680" w:type="dxa"/>
            <w:vAlign w:val="bottom"/>
            <w:tcBorders>
              <w:left w:val="single" w:sz="8" w:color="auto"/>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(File No.</w:t>
            </w:r>
          </w:p>
        </w:tc>
        <w:tc>
          <w:tcPr>
            <w:tcW w:w="780" w:type="dxa"/>
            <w:vAlign w:val="bottom"/>
            <w:tcBorders>
              <w:right w:val="single" w:sz="8" w:color="auto"/>
            </w:tcBorders>
          </w:tcPr>
          <w:p>
            <w:pPr>
              <w:spacing w:after="0"/>
              <w:rPr>
                <w:sz w:val="18"/>
                <w:szCs w:val="18"/>
                <w:color w:val="auto"/>
              </w:rPr>
            </w:pPr>
          </w:p>
        </w:tc>
      </w:tr>
      <w:tr>
        <w:trPr>
          <w:trHeight w:val="216"/>
        </w:trPr>
        <w:tc>
          <w:tcPr>
            <w:tcW w:w="680" w:type="dxa"/>
            <w:vAlign w:val="bottom"/>
            <w:tcBorders>
              <w:left w:val="single" w:sz="8" w:color="auto"/>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333-</w:t>
            </w:r>
          </w:p>
        </w:tc>
        <w:tc>
          <w:tcPr>
            <w:tcW w:w="780" w:type="dxa"/>
            <w:vAlign w:val="bottom"/>
            <w:tcBorders>
              <w:right w:val="single" w:sz="8" w:color="auto"/>
            </w:tcBorders>
          </w:tcPr>
          <w:p>
            <w:pPr>
              <w:spacing w:after="0"/>
              <w:rPr>
                <w:sz w:val="18"/>
                <w:szCs w:val="18"/>
                <w:color w:val="auto"/>
              </w:rPr>
            </w:pPr>
          </w:p>
        </w:tc>
      </w:tr>
      <w:tr>
        <w:trPr>
          <w:trHeight w:val="230"/>
        </w:trPr>
        <w:tc>
          <w:tcPr>
            <w:tcW w:w="680" w:type="dxa"/>
            <w:vAlign w:val="bottom"/>
            <w:tcBorders>
              <w:left w:val="single" w:sz="8" w:color="auto"/>
              <w:bottom w:val="single" w:sz="8" w:color="auto"/>
              <w:right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137916)</w:t>
            </w:r>
          </w:p>
        </w:tc>
        <w:tc>
          <w:tcPr>
            <w:tcW w:w="780" w:type="dxa"/>
            <w:vAlign w:val="bottom"/>
            <w:tcBorders>
              <w:bottom w:val="single" w:sz="8" w:color="auto"/>
              <w:right w:val="single" w:sz="8" w:color="auto"/>
            </w:tcBorders>
          </w:tcPr>
          <w:p>
            <w:pPr>
              <w:spacing w:after="0"/>
              <w:rPr>
                <w:sz w:val="20"/>
                <w:szCs w:val="20"/>
                <w:color w:val="auto"/>
              </w:rPr>
            </w:pPr>
          </w:p>
        </w:tc>
      </w:tr>
      <w:tr>
        <w:trPr>
          <w:trHeight w:val="169"/>
        </w:trPr>
        <w:tc>
          <w:tcPr>
            <w:tcW w:w="680" w:type="dxa"/>
            <w:vAlign w:val="bottom"/>
            <w:tcBorders>
              <w:left w:val="single" w:sz="8" w:color="auto"/>
              <w:right w:val="single" w:sz="8" w:color="auto"/>
            </w:tcBorders>
          </w:tcPr>
          <w:p>
            <w:pPr>
              <w:spacing w:after="0" w:line="170" w:lineRule="exact"/>
              <w:rPr>
                <w:sz w:val="20"/>
                <w:szCs w:val="20"/>
                <w:color w:val="auto"/>
              </w:rPr>
            </w:pPr>
            <w:r>
              <w:rPr>
                <w:rFonts w:ascii="Arial" w:cs="Arial" w:eastAsia="Arial" w:hAnsi="Arial"/>
                <w:sz w:val="18"/>
                <w:szCs w:val="18"/>
                <w:color w:val="auto"/>
              </w:rPr>
              <w:t>10.5</w:t>
            </w:r>
          </w:p>
        </w:tc>
        <w:tc>
          <w:tcPr>
            <w:tcW w:w="6260" w:type="dxa"/>
            <w:vAlign w:val="bottom"/>
            <w:tcBorders>
              <w:right w:val="single" w:sz="8" w:color="auto"/>
            </w:tcBorders>
            <w:gridSpan w:val="27"/>
          </w:tcPr>
          <w:p>
            <w:pPr>
              <w:spacing w:after="0" w:line="170" w:lineRule="exact"/>
              <w:rPr>
                <w:rFonts w:ascii="Arial" w:cs="Arial" w:eastAsia="Arial" w:hAnsi="Arial"/>
                <w:sz w:val="18"/>
                <w:szCs w:val="18"/>
                <w:color w:val="0000EE"/>
                <w:w w:val="99"/>
              </w:rPr>
            </w:pPr>
            <w:hyperlink r:id="rId141">
              <w:r>
                <w:rPr>
                  <w:rFonts w:ascii="Arial" w:cs="Arial" w:eastAsia="Arial" w:hAnsi="Arial"/>
                  <w:sz w:val="18"/>
                  <w:szCs w:val="18"/>
                  <w:color w:val="0000EE"/>
                  <w:w w:val="99"/>
                </w:rPr>
                <w:t>Amended and Restated Revolving Credit Note, dated January 15, 2010, by the</w:t>
              </w:r>
            </w:hyperlink>
          </w:p>
        </w:tc>
        <w:tc>
          <w:tcPr>
            <w:tcW w:w="900" w:type="dxa"/>
            <w:vAlign w:val="bottom"/>
            <w:tcBorders>
              <w:right w:val="single" w:sz="8" w:color="auto"/>
            </w:tcBorders>
          </w:tcPr>
          <w:p>
            <w:pPr>
              <w:spacing w:after="0" w:line="170" w:lineRule="exact"/>
              <w:rPr>
                <w:sz w:val="20"/>
                <w:szCs w:val="20"/>
                <w:color w:val="auto"/>
              </w:rPr>
            </w:pPr>
            <w:r>
              <w:rPr>
                <w:rFonts w:ascii="Arial" w:cs="Arial" w:eastAsia="Arial" w:hAnsi="Arial"/>
                <w:sz w:val="18"/>
                <w:szCs w:val="18"/>
                <w:color w:val="auto"/>
              </w:rPr>
              <w:t>Transition</w:t>
            </w:r>
          </w:p>
        </w:tc>
        <w:tc>
          <w:tcPr>
            <w:tcW w:w="780" w:type="dxa"/>
            <w:vAlign w:val="bottom"/>
            <w:tcBorders>
              <w:right w:val="single" w:sz="8" w:color="auto"/>
            </w:tcBorders>
          </w:tcPr>
          <w:p>
            <w:pPr>
              <w:spacing w:after="0" w:line="170" w:lineRule="exact"/>
              <w:rPr>
                <w:sz w:val="20"/>
                <w:szCs w:val="20"/>
                <w:color w:val="auto"/>
              </w:rPr>
            </w:pPr>
            <w:r>
              <w:rPr>
                <w:rFonts w:ascii="Arial" w:cs="Arial" w:eastAsia="Arial" w:hAnsi="Arial"/>
                <w:sz w:val="18"/>
                <w:szCs w:val="18"/>
                <w:color w:val="auto"/>
              </w:rPr>
              <w:t>April 30,</w:t>
            </w:r>
          </w:p>
        </w:tc>
      </w:tr>
      <w:tr>
        <w:trPr>
          <w:trHeight w:val="196"/>
        </w:trPr>
        <w:tc>
          <w:tcPr>
            <w:tcW w:w="680" w:type="dxa"/>
            <w:vAlign w:val="bottom"/>
            <w:tcBorders>
              <w:left w:val="single" w:sz="8" w:color="auto"/>
              <w:right w:val="single" w:sz="8" w:color="auto"/>
            </w:tcBorders>
          </w:tcPr>
          <w:p>
            <w:pPr>
              <w:spacing w:after="0"/>
              <w:rPr>
                <w:sz w:val="17"/>
                <w:szCs w:val="17"/>
                <w:color w:val="auto"/>
              </w:rPr>
            </w:pPr>
          </w:p>
        </w:tc>
        <w:tc>
          <w:tcPr>
            <w:tcW w:w="562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r:id="rId141">
              <w:r>
                <w:rPr>
                  <w:rFonts w:ascii="Arial" w:cs="Arial" w:eastAsia="Arial" w:hAnsi="Arial"/>
                  <w:sz w:val="18"/>
                  <w:szCs w:val="18"/>
                  <w:color w:val="0000EE"/>
                </w:rPr>
                <w:t>borrowers party thereto in favor of Wells Fargo Retail Finance, LLC.</w:t>
              </w:r>
            </w:hyperlink>
          </w:p>
        </w:tc>
        <w:tc>
          <w:tcPr>
            <w:tcW w:w="640" w:type="dxa"/>
            <w:vAlign w:val="bottom"/>
            <w:tcBorders>
              <w:right w:val="single" w:sz="8" w:color="auto"/>
            </w:tcBorders>
            <w:gridSpan w:val="15"/>
          </w:tcPr>
          <w:p>
            <w:pPr>
              <w:spacing w:after="0"/>
              <w:rPr>
                <w:sz w:val="17"/>
                <w:szCs w:val="17"/>
                <w:color w:val="auto"/>
              </w:rPr>
            </w:pPr>
          </w:p>
        </w:tc>
        <w:tc>
          <w:tcPr>
            <w:tcW w:w="9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Report on</w:t>
            </w:r>
          </w:p>
        </w:tc>
        <w:tc>
          <w:tcPr>
            <w:tcW w:w="78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2010</w:t>
            </w:r>
          </w:p>
        </w:tc>
      </w:tr>
      <w:tr>
        <w:trPr>
          <w:trHeight w:val="222"/>
        </w:trPr>
        <w:tc>
          <w:tcPr>
            <w:tcW w:w="680" w:type="dxa"/>
            <w:vAlign w:val="bottom"/>
            <w:tcBorders>
              <w:left w:val="single" w:sz="8" w:color="auto"/>
              <w:right w:val="single" w:sz="8" w:color="auto"/>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960" w:type="dxa"/>
            <w:vAlign w:val="bottom"/>
            <w:tcBorders>
              <w:top w:val="single" w:sz="8" w:color="0000EE"/>
            </w:tcBorders>
          </w:tcPr>
          <w:p>
            <w:pPr>
              <w:spacing w:after="0"/>
              <w:rPr>
                <w:sz w:val="19"/>
                <w:szCs w:val="19"/>
                <w:color w:val="auto"/>
              </w:rPr>
            </w:pPr>
          </w:p>
        </w:tc>
        <w:tc>
          <w:tcPr>
            <w:tcW w:w="106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1220" w:type="dxa"/>
            <w:vAlign w:val="bottom"/>
            <w:tcBorders>
              <w:top w:val="single" w:sz="8" w:color="0000EE"/>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Form 10-</w:t>
            </w:r>
          </w:p>
        </w:tc>
        <w:tc>
          <w:tcPr>
            <w:tcW w:w="780" w:type="dxa"/>
            <w:vAlign w:val="bottom"/>
            <w:tcBorders>
              <w:right w:val="single" w:sz="8" w:color="auto"/>
            </w:tcBorders>
          </w:tcPr>
          <w:p>
            <w:pPr>
              <w:spacing w:after="0"/>
              <w:rPr>
                <w:sz w:val="19"/>
                <w:szCs w:val="19"/>
                <w:color w:val="auto"/>
              </w:rPr>
            </w:pPr>
          </w:p>
        </w:tc>
      </w:tr>
      <w:tr>
        <w:trPr>
          <w:trHeight w:val="216"/>
        </w:trPr>
        <w:tc>
          <w:tcPr>
            <w:tcW w:w="680" w:type="dxa"/>
            <w:vAlign w:val="bottom"/>
            <w:tcBorders>
              <w:left w:val="single" w:sz="8" w:color="auto"/>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K/T</w:t>
            </w:r>
          </w:p>
        </w:tc>
        <w:tc>
          <w:tcPr>
            <w:tcW w:w="780" w:type="dxa"/>
            <w:vAlign w:val="bottom"/>
            <w:tcBorders>
              <w:right w:val="single" w:sz="8" w:color="auto"/>
            </w:tcBorders>
          </w:tcPr>
          <w:p>
            <w:pPr>
              <w:spacing w:after="0"/>
              <w:rPr>
                <w:sz w:val="18"/>
                <w:szCs w:val="18"/>
                <w:color w:val="auto"/>
              </w:rPr>
            </w:pPr>
          </w:p>
        </w:tc>
      </w:tr>
      <w:tr>
        <w:trPr>
          <w:trHeight w:val="216"/>
        </w:trPr>
        <w:tc>
          <w:tcPr>
            <w:tcW w:w="680" w:type="dxa"/>
            <w:vAlign w:val="bottom"/>
            <w:tcBorders>
              <w:left w:val="single" w:sz="8" w:color="auto"/>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(File No.</w:t>
            </w:r>
          </w:p>
        </w:tc>
        <w:tc>
          <w:tcPr>
            <w:tcW w:w="780" w:type="dxa"/>
            <w:vAlign w:val="bottom"/>
            <w:tcBorders>
              <w:right w:val="single" w:sz="8" w:color="auto"/>
            </w:tcBorders>
          </w:tcPr>
          <w:p>
            <w:pPr>
              <w:spacing w:after="0"/>
              <w:rPr>
                <w:sz w:val="18"/>
                <w:szCs w:val="18"/>
                <w:color w:val="auto"/>
              </w:rPr>
            </w:pPr>
          </w:p>
        </w:tc>
      </w:tr>
      <w:tr>
        <w:trPr>
          <w:trHeight w:val="216"/>
        </w:trPr>
        <w:tc>
          <w:tcPr>
            <w:tcW w:w="680" w:type="dxa"/>
            <w:vAlign w:val="bottom"/>
            <w:tcBorders>
              <w:left w:val="single" w:sz="8" w:color="auto"/>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333-</w:t>
            </w:r>
          </w:p>
        </w:tc>
        <w:tc>
          <w:tcPr>
            <w:tcW w:w="780" w:type="dxa"/>
            <w:vAlign w:val="bottom"/>
            <w:tcBorders>
              <w:right w:val="single" w:sz="8" w:color="auto"/>
            </w:tcBorders>
          </w:tcPr>
          <w:p>
            <w:pPr>
              <w:spacing w:after="0"/>
              <w:rPr>
                <w:sz w:val="18"/>
                <w:szCs w:val="18"/>
                <w:color w:val="auto"/>
              </w:rPr>
            </w:pPr>
          </w:p>
        </w:tc>
      </w:tr>
      <w:tr>
        <w:trPr>
          <w:trHeight w:val="216"/>
        </w:trPr>
        <w:tc>
          <w:tcPr>
            <w:tcW w:w="680" w:type="dxa"/>
            <w:vAlign w:val="bottom"/>
            <w:tcBorders>
              <w:left w:val="single" w:sz="8" w:color="auto"/>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137916-</w:t>
            </w:r>
          </w:p>
        </w:tc>
        <w:tc>
          <w:tcPr>
            <w:tcW w:w="780" w:type="dxa"/>
            <w:vAlign w:val="bottom"/>
            <w:tcBorders>
              <w:right w:val="single" w:sz="8" w:color="auto"/>
            </w:tcBorders>
          </w:tcPr>
          <w:p>
            <w:pPr>
              <w:spacing w:after="0"/>
              <w:rPr>
                <w:sz w:val="18"/>
                <w:szCs w:val="18"/>
                <w:color w:val="auto"/>
              </w:rPr>
            </w:pPr>
          </w:p>
        </w:tc>
      </w:tr>
      <w:tr>
        <w:trPr>
          <w:trHeight w:val="230"/>
        </w:trPr>
        <w:tc>
          <w:tcPr>
            <w:tcW w:w="680" w:type="dxa"/>
            <w:vAlign w:val="bottom"/>
            <w:tcBorders>
              <w:left w:val="single" w:sz="8" w:color="auto"/>
              <w:bottom w:val="single" w:sz="8" w:color="auto"/>
              <w:right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110)</w:t>
            </w:r>
          </w:p>
        </w:tc>
        <w:tc>
          <w:tcPr>
            <w:tcW w:w="780" w:type="dxa"/>
            <w:vAlign w:val="bottom"/>
            <w:tcBorders>
              <w:bottom w:val="single" w:sz="8" w:color="auto"/>
              <w:right w:val="single" w:sz="8" w:color="auto"/>
            </w:tcBorders>
          </w:tcPr>
          <w:p>
            <w:pPr>
              <w:spacing w:after="0"/>
              <w:rPr>
                <w:sz w:val="20"/>
                <w:szCs w:val="20"/>
                <w:color w:val="auto"/>
              </w:rPr>
            </w:pPr>
          </w:p>
        </w:tc>
      </w:tr>
      <w:tr>
        <w:trPr>
          <w:trHeight w:val="169"/>
        </w:trPr>
        <w:tc>
          <w:tcPr>
            <w:tcW w:w="680" w:type="dxa"/>
            <w:vAlign w:val="bottom"/>
            <w:tcBorders>
              <w:left w:val="single" w:sz="8" w:color="auto"/>
              <w:right w:val="single" w:sz="8" w:color="auto"/>
            </w:tcBorders>
          </w:tcPr>
          <w:p>
            <w:pPr>
              <w:spacing w:after="0" w:line="170" w:lineRule="exact"/>
              <w:rPr>
                <w:sz w:val="20"/>
                <w:szCs w:val="20"/>
                <w:color w:val="auto"/>
              </w:rPr>
            </w:pPr>
            <w:r>
              <w:rPr>
                <w:rFonts w:ascii="Arial" w:cs="Arial" w:eastAsia="Arial" w:hAnsi="Arial"/>
                <w:sz w:val="18"/>
                <w:szCs w:val="18"/>
                <w:color w:val="auto"/>
              </w:rPr>
              <w:t>10.6</w:t>
            </w:r>
          </w:p>
        </w:tc>
        <w:tc>
          <w:tcPr>
            <w:tcW w:w="6080" w:type="dxa"/>
            <w:vAlign w:val="bottom"/>
            <w:tcBorders>
              <w:bottom w:val="single" w:sz="8" w:color="0000EE"/>
            </w:tcBorders>
            <w:gridSpan w:val="22"/>
          </w:tcPr>
          <w:p>
            <w:pPr>
              <w:spacing w:after="0" w:line="170" w:lineRule="exact"/>
              <w:rPr>
                <w:rFonts w:ascii="Arial" w:cs="Arial" w:eastAsia="Arial" w:hAnsi="Arial"/>
                <w:sz w:val="18"/>
                <w:szCs w:val="18"/>
                <w:color w:val="0000EE"/>
                <w:w w:val="91"/>
              </w:rPr>
            </w:pPr>
            <w:hyperlink r:id="rId142">
              <w:r>
                <w:rPr>
                  <w:rFonts w:ascii="Arial" w:cs="Arial" w:eastAsia="Arial" w:hAnsi="Arial"/>
                  <w:sz w:val="18"/>
                  <w:szCs w:val="18"/>
                  <w:color w:val="0000EE"/>
                  <w:w w:val="91"/>
                </w:rPr>
                <w:t>Revolving Credit Note, dated April 13, 2006, by the borrowers party thereto in favor</w:t>
              </w:r>
            </w:hyperlink>
          </w:p>
        </w:tc>
        <w:tc>
          <w:tcPr>
            <w:tcW w:w="180" w:type="dxa"/>
            <w:vAlign w:val="bottom"/>
            <w:tcBorders>
              <w:right w:val="single" w:sz="8" w:color="auto"/>
            </w:tcBorders>
            <w:gridSpan w:val="5"/>
          </w:tcPr>
          <w:p>
            <w:pPr>
              <w:spacing w:after="0"/>
              <w:rPr>
                <w:sz w:val="14"/>
                <w:szCs w:val="14"/>
                <w:color w:val="auto"/>
              </w:rPr>
            </w:pPr>
          </w:p>
        </w:tc>
        <w:tc>
          <w:tcPr>
            <w:tcW w:w="900" w:type="dxa"/>
            <w:vAlign w:val="bottom"/>
            <w:tcBorders>
              <w:right w:val="single" w:sz="8" w:color="auto"/>
            </w:tcBorders>
          </w:tcPr>
          <w:p>
            <w:pPr>
              <w:spacing w:after="0" w:line="170" w:lineRule="exact"/>
              <w:rPr>
                <w:sz w:val="20"/>
                <w:szCs w:val="20"/>
                <w:color w:val="auto"/>
              </w:rPr>
            </w:pPr>
            <w:r>
              <w:rPr>
                <w:rFonts w:ascii="Arial" w:cs="Arial" w:eastAsia="Arial" w:hAnsi="Arial"/>
                <w:sz w:val="18"/>
                <w:szCs w:val="18"/>
                <w:color w:val="auto"/>
                <w:w w:val="89"/>
              </w:rPr>
              <w:t>Registration</w:t>
            </w:r>
          </w:p>
        </w:tc>
        <w:tc>
          <w:tcPr>
            <w:tcW w:w="780" w:type="dxa"/>
            <w:vAlign w:val="bottom"/>
            <w:tcBorders>
              <w:right w:val="single" w:sz="8" w:color="auto"/>
            </w:tcBorders>
          </w:tcPr>
          <w:p>
            <w:pPr>
              <w:spacing w:after="0" w:line="170" w:lineRule="exact"/>
              <w:rPr>
                <w:sz w:val="20"/>
                <w:szCs w:val="20"/>
                <w:color w:val="auto"/>
              </w:rPr>
            </w:pPr>
            <w:r>
              <w:rPr>
                <w:rFonts w:ascii="Arial" w:cs="Arial" w:eastAsia="Arial" w:hAnsi="Arial"/>
                <w:sz w:val="18"/>
                <w:szCs w:val="18"/>
                <w:color w:val="auto"/>
              </w:rPr>
              <w:t>October</w:t>
            </w:r>
          </w:p>
        </w:tc>
      </w:tr>
      <w:tr>
        <w:trPr>
          <w:trHeight w:val="196"/>
        </w:trPr>
        <w:tc>
          <w:tcPr>
            <w:tcW w:w="680" w:type="dxa"/>
            <w:vAlign w:val="bottom"/>
            <w:tcBorders>
              <w:left w:val="single" w:sz="8" w:color="auto"/>
              <w:right w:val="single" w:sz="8" w:color="auto"/>
            </w:tcBorders>
          </w:tcPr>
          <w:p>
            <w:pPr>
              <w:spacing w:after="0"/>
              <w:rPr>
                <w:sz w:val="17"/>
                <w:szCs w:val="17"/>
                <w:color w:val="auto"/>
              </w:rPr>
            </w:pPr>
          </w:p>
        </w:tc>
        <w:tc>
          <w:tcPr>
            <w:tcW w:w="6260" w:type="dxa"/>
            <w:vAlign w:val="bottom"/>
            <w:tcBorders>
              <w:right w:val="single" w:sz="8" w:color="auto"/>
            </w:tcBorders>
            <w:gridSpan w:val="27"/>
          </w:tcPr>
          <w:p>
            <w:pPr>
              <w:spacing w:after="0" w:line="196" w:lineRule="exact"/>
              <w:rPr>
                <w:rFonts w:ascii="Arial" w:cs="Arial" w:eastAsia="Arial" w:hAnsi="Arial"/>
                <w:sz w:val="18"/>
                <w:szCs w:val="18"/>
                <w:color w:val="0000EE"/>
              </w:rPr>
            </w:pPr>
            <w:hyperlink r:id="rId142">
              <w:r>
                <w:rPr>
                  <w:rFonts w:ascii="Arial" w:cs="Arial" w:eastAsia="Arial" w:hAnsi="Arial"/>
                  <w:sz w:val="18"/>
                  <w:szCs w:val="18"/>
                  <w:color w:val="0000EE"/>
                </w:rPr>
                <w:t>of National City Business Credit, Inc.</w:t>
              </w:r>
            </w:hyperlink>
          </w:p>
        </w:tc>
        <w:tc>
          <w:tcPr>
            <w:tcW w:w="9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Statement</w:t>
            </w:r>
          </w:p>
        </w:tc>
        <w:tc>
          <w:tcPr>
            <w:tcW w:w="78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10, 2006</w:t>
            </w:r>
          </w:p>
        </w:tc>
      </w:tr>
      <w:tr>
        <w:trPr>
          <w:trHeight w:val="222"/>
        </w:trPr>
        <w:tc>
          <w:tcPr>
            <w:tcW w:w="680" w:type="dxa"/>
            <w:vAlign w:val="bottom"/>
            <w:tcBorders>
              <w:left w:val="single" w:sz="8" w:color="auto"/>
              <w:right w:val="single" w:sz="8" w:color="auto"/>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960" w:type="dxa"/>
            <w:vAlign w:val="bottom"/>
            <w:tcBorders>
              <w:top w:val="single" w:sz="8" w:color="0000EE"/>
            </w:tcBorders>
          </w:tcPr>
          <w:p>
            <w:pPr>
              <w:spacing w:after="0"/>
              <w:rPr>
                <w:sz w:val="19"/>
                <w:szCs w:val="19"/>
                <w:color w:val="auto"/>
              </w:rPr>
            </w:pPr>
          </w:p>
        </w:tc>
        <w:tc>
          <w:tcPr>
            <w:tcW w:w="106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5"/>
              </w:rPr>
              <w:t>on Form S-</w:t>
            </w:r>
          </w:p>
        </w:tc>
        <w:tc>
          <w:tcPr>
            <w:tcW w:w="780" w:type="dxa"/>
            <w:vAlign w:val="bottom"/>
            <w:tcBorders>
              <w:right w:val="single" w:sz="8" w:color="auto"/>
            </w:tcBorders>
          </w:tcPr>
          <w:p>
            <w:pPr>
              <w:spacing w:after="0"/>
              <w:rPr>
                <w:sz w:val="19"/>
                <w:szCs w:val="19"/>
                <w:color w:val="auto"/>
              </w:rPr>
            </w:pPr>
          </w:p>
        </w:tc>
      </w:tr>
      <w:tr>
        <w:trPr>
          <w:trHeight w:val="216"/>
        </w:trPr>
        <w:tc>
          <w:tcPr>
            <w:tcW w:w="680" w:type="dxa"/>
            <w:vAlign w:val="bottom"/>
            <w:tcBorders>
              <w:left w:val="single" w:sz="8" w:color="auto"/>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4</w:t>
            </w:r>
          </w:p>
        </w:tc>
        <w:tc>
          <w:tcPr>
            <w:tcW w:w="780" w:type="dxa"/>
            <w:vAlign w:val="bottom"/>
            <w:tcBorders>
              <w:right w:val="single" w:sz="8" w:color="auto"/>
            </w:tcBorders>
          </w:tcPr>
          <w:p>
            <w:pPr>
              <w:spacing w:after="0"/>
              <w:rPr>
                <w:sz w:val="18"/>
                <w:szCs w:val="18"/>
                <w:color w:val="auto"/>
              </w:rPr>
            </w:pPr>
          </w:p>
        </w:tc>
      </w:tr>
      <w:tr>
        <w:trPr>
          <w:trHeight w:val="216"/>
        </w:trPr>
        <w:tc>
          <w:tcPr>
            <w:tcW w:w="680" w:type="dxa"/>
            <w:vAlign w:val="bottom"/>
            <w:tcBorders>
              <w:left w:val="single" w:sz="8" w:color="auto"/>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(File No.</w:t>
            </w:r>
          </w:p>
        </w:tc>
        <w:tc>
          <w:tcPr>
            <w:tcW w:w="780" w:type="dxa"/>
            <w:vAlign w:val="bottom"/>
            <w:tcBorders>
              <w:right w:val="single" w:sz="8" w:color="auto"/>
            </w:tcBorders>
          </w:tcPr>
          <w:p>
            <w:pPr>
              <w:spacing w:after="0"/>
              <w:rPr>
                <w:sz w:val="18"/>
                <w:szCs w:val="18"/>
                <w:color w:val="auto"/>
              </w:rPr>
            </w:pPr>
          </w:p>
        </w:tc>
      </w:tr>
      <w:tr>
        <w:trPr>
          <w:trHeight w:val="216"/>
        </w:trPr>
        <w:tc>
          <w:tcPr>
            <w:tcW w:w="680" w:type="dxa"/>
            <w:vAlign w:val="bottom"/>
            <w:tcBorders>
              <w:left w:val="single" w:sz="8" w:color="auto"/>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333-</w:t>
            </w:r>
          </w:p>
        </w:tc>
        <w:tc>
          <w:tcPr>
            <w:tcW w:w="780" w:type="dxa"/>
            <w:vAlign w:val="bottom"/>
            <w:tcBorders>
              <w:right w:val="single" w:sz="8" w:color="auto"/>
            </w:tcBorders>
          </w:tcPr>
          <w:p>
            <w:pPr>
              <w:spacing w:after="0"/>
              <w:rPr>
                <w:sz w:val="18"/>
                <w:szCs w:val="18"/>
                <w:color w:val="auto"/>
              </w:rPr>
            </w:pPr>
          </w:p>
        </w:tc>
      </w:tr>
      <w:tr>
        <w:trPr>
          <w:trHeight w:val="230"/>
        </w:trPr>
        <w:tc>
          <w:tcPr>
            <w:tcW w:w="680" w:type="dxa"/>
            <w:vAlign w:val="bottom"/>
            <w:tcBorders>
              <w:left w:val="single" w:sz="8" w:color="auto"/>
              <w:bottom w:val="single" w:sz="8" w:color="auto"/>
              <w:right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137916)</w:t>
            </w:r>
          </w:p>
        </w:tc>
        <w:tc>
          <w:tcPr>
            <w:tcW w:w="780" w:type="dxa"/>
            <w:vAlign w:val="bottom"/>
            <w:tcBorders>
              <w:bottom w:val="single" w:sz="8" w:color="auto"/>
              <w:right w:val="single" w:sz="8" w:color="auto"/>
            </w:tcBorders>
          </w:tcPr>
          <w:p>
            <w:pPr>
              <w:spacing w:after="0"/>
              <w:rPr>
                <w:sz w:val="20"/>
                <w:szCs w:val="20"/>
                <w:color w:val="auto"/>
              </w:rPr>
            </w:pPr>
          </w:p>
        </w:tc>
      </w:tr>
      <w:tr>
        <w:trPr>
          <w:trHeight w:val="169"/>
        </w:trPr>
        <w:tc>
          <w:tcPr>
            <w:tcW w:w="680" w:type="dxa"/>
            <w:vAlign w:val="bottom"/>
            <w:tcBorders>
              <w:left w:val="single" w:sz="8" w:color="auto"/>
              <w:right w:val="single" w:sz="8" w:color="auto"/>
            </w:tcBorders>
          </w:tcPr>
          <w:p>
            <w:pPr>
              <w:spacing w:after="0" w:line="170" w:lineRule="exact"/>
              <w:rPr>
                <w:sz w:val="20"/>
                <w:szCs w:val="20"/>
                <w:color w:val="auto"/>
              </w:rPr>
            </w:pPr>
            <w:r>
              <w:rPr>
                <w:rFonts w:ascii="Arial" w:cs="Arial" w:eastAsia="Arial" w:hAnsi="Arial"/>
                <w:sz w:val="18"/>
                <w:szCs w:val="18"/>
                <w:color w:val="auto"/>
              </w:rPr>
              <w:t>10.7</w:t>
            </w:r>
          </w:p>
        </w:tc>
        <w:tc>
          <w:tcPr>
            <w:tcW w:w="6080" w:type="dxa"/>
            <w:vAlign w:val="bottom"/>
            <w:tcBorders>
              <w:bottom w:val="single" w:sz="8" w:color="0000EE"/>
            </w:tcBorders>
            <w:gridSpan w:val="22"/>
          </w:tcPr>
          <w:p>
            <w:pPr>
              <w:spacing w:after="0" w:line="170" w:lineRule="exact"/>
              <w:rPr>
                <w:rFonts w:ascii="Arial" w:cs="Arial" w:eastAsia="Arial" w:hAnsi="Arial"/>
                <w:sz w:val="18"/>
                <w:szCs w:val="18"/>
                <w:color w:val="0000EE"/>
                <w:w w:val="91"/>
              </w:rPr>
            </w:pPr>
            <w:hyperlink r:id="rId143">
              <w:r>
                <w:rPr>
                  <w:rFonts w:ascii="Arial" w:cs="Arial" w:eastAsia="Arial" w:hAnsi="Arial"/>
                  <w:sz w:val="18"/>
                  <w:szCs w:val="18"/>
                  <w:color w:val="0000EE"/>
                  <w:w w:val="91"/>
                </w:rPr>
                <w:t>Revolving Credit Note, dated April 13, 2006, by the borrowers party thereto in favor</w:t>
              </w:r>
            </w:hyperlink>
          </w:p>
        </w:tc>
        <w:tc>
          <w:tcPr>
            <w:tcW w:w="180" w:type="dxa"/>
            <w:vAlign w:val="bottom"/>
            <w:tcBorders>
              <w:right w:val="single" w:sz="8" w:color="auto"/>
            </w:tcBorders>
            <w:gridSpan w:val="5"/>
          </w:tcPr>
          <w:p>
            <w:pPr>
              <w:spacing w:after="0"/>
              <w:rPr>
                <w:sz w:val="14"/>
                <w:szCs w:val="14"/>
                <w:color w:val="auto"/>
              </w:rPr>
            </w:pPr>
          </w:p>
        </w:tc>
        <w:tc>
          <w:tcPr>
            <w:tcW w:w="900" w:type="dxa"/>
            <w:vAlign w:val="bottom"/>
            <w:tcBorders>
              <w:right w:val="single" w:sz="8" w:color="auto"/>
            </w:tcBorders>
          </w:tcPr>
          <w:p>
            <w:pPr>
              <w:spacing w:after="0" w:line="170" w:lineRule="exact"/>
              <w:rPr>
                <w:sz w:val="20"/>
                <w:szCs w:val="20"/>
                <w:color w:val="auto"/>
              </w:rPr>
            </w:pPr>
            <w:r>
              <w:rPr>
                <w:rFonts w:ascii="Arial" w:cs="Arial" w:eastAsia="Arial" w:hAnsi="Arial"/>
                <w:sz w:val="18"/>
                <w:szCs w:val="18"/>
                <w:color w:val="auto"/>
                <w:w w:val="89"/>
              </w:rPr>
              <w:t>Registration</w:t>
            </w:r>
          </w:p>
        </w:tc>
        <w:tc>
          <w:tcPr>
            <w:tcW w:w="780" w:type="dxa"/>
            <w:vAlign w:val="bottom"/>
            <w:tcBorders>
              <w:right w:val="single" w:sz="8" w:color="auto"/>
            </w:tcBorders>
          </w:tcPr>
          <w:p>
            <w:pPr>
              <w:spacing w:after="0" w:line="170" w:lineRule="exact"/>
              <w:rPr>
                <w:sz w:val="20"/>
                <w:szCs w:val="20"/>
                <w:color w:val="auto"/>
              </w:rPr>
            </w:pPr>
            <w:r>
              <w:rPr>
                <w:rFonts w:ascii="Arial" w:cs="Arial" w:eastAsia="Arial" w:hAnsi="Arial"/>
                <w:sz w:val="18"/>
                <w:szCs w:val="18"/>
                <w:color w:val="auto"/>
              </w:rPr>
              <w:t>October</w:t>
            </w:r>
          </w:p>
        </w:tc>
      </w:tr>
      <w:tr>
        <w:trPr>
          <w:trHeight w:val="196"/>
        </w:trPr>
        <w:tc>
          <w:tcPr>
            <w:tcW w:w="680" w:type="dxa"/>
            <w:vAlign w:val="bottom"/>
            <w:tcBorders>
              <w:left w:val="single" w:sz="8" w:color="auto"/>
              <w:right w:val="single" w:sz="8" w:color="auto"/>
            </w:tcBorders>
          </w:tcPr>
          <w:p>
            <w:pPr>
              <w:spacing w:after="0"/>
              <w:rPr>
                <w:sz w:val="17"/>
                <w:szCs w:val="17"/>
                <w:color w:val="auto"/>
              </w:rPr>
            </w:pPr>
          </w:p>
        </w:tc>
        <w:tc>
          <w:tcPr>
            <w:tcW w:w="6260" w:type="dxa"/>
            <w:vAlign w:val="bottom"/>
            <w:tcBorders>
              <w:right w:val="single" w:sz="8" w:color="auto"/>
            </w:tcBorders>
            <w:gridSpan w:val="27"/>
          </w:tcPr>
          <w:p>
            <w:pPr>
              <w:spacing w:after="0" w:line="196" w:lineRule="exact"/>
              <w:rPr>
                <w:rFonts w:ascii="Arial" w:cs="Arial" w:eastAsia="Arial" w:hAnsi="Arial"/>
                <w:sz w:val="18"/>
                <w:szCs w:val="18"/>
                <w:color w:val="0000EE"/>
              </w:rPr>
            </w:pPr>
            <w:hyperlink r:id="rId143">
              <w:r>
                <w:rPr>
                  <w:rFonts w:ascii="Arial" w:cs="Arial" w:eastAsia="Arial" w:hAnsi="Arial"/>
                  <w:sz w:val="18"/>
                  <w:szCs w:val="18"/>
                  <w:color w:val="0000EE"/>
                </w:rPr>
                <w:t>of Citizens Bank of Pennsylvania.</w:t>
              </w:r>
            </w:hyperlink>
          </w:p>
        </w:tc>
        <w:tc>
          <w:tcPr>
            <w:tcW w:w="9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Statement</w:t>
            </w:r>
          </w:p>
        </w:tc>
        <w:tc>
          <w:tcPr>
            <w:tcW w:w="78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10, 2006</w:t>
            </w:r>
          </w:p>
        </w:tc>
      </w:tr>
      <w:tr>
        <w:trPr>
          <w:trHeight w:val="222"/>
        </w:trPr>
        <w:tc>
          <w:tcPr>
            <w:tcW w:w="680" w:type="dxa"/>
            <w:vAlign w:val="bottom"/>
            <w:tcBorders>
              <w:left w:val="single" w:sz="8" w:color="auto"/>
              <w:right w:val="single" w:sz="8" w:color="auto"/>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960" w:type="dxa"/>
            <w:vAlign w:val="bottom"/>
            <w:tcBorders>
              <w:top w:val="single" w:sz="8" w:color="0000EE"/>
            </w:tcBorders>
          </w:tcPr>
          <w:p>
            <w:pPr>
              <w:spacing w:after="0"/>
              <w:rPr>
                <w:sz w:val="19"/>
                <w:szCs w:val="19"/>
                <w:color w:val="auto"/>
              </w:rPr>
            </w:pPr>
          </w:p>
        </w:tc>
        <w:tc>
          <w:tcPr>
            <w:tcW w:w="1060" w:type="dxa"/>
            <w:vAlign w:val="bottom"/>
            <w:tcBorders>
              <w:top w:val="single" w:sz="8" w:color="0000EE"/>
            </w:tcBorders>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5"/>
              </w:rPr>
              <w:t>on Form S-</w:t>
            </w:r>
          </w:p>
        </w:tc>
        <w:tc>
          <w:tcPr>
            <w:tcW w:w="780" w:type="dxa"/>
            <w:vAlign w:val="bottom"/>
            <w:tcBorders>
              <w:right w:val="single" w:sz="8" w:color="auto"/>
            </w:tcBorders>
          </w:tcPr>
          <w:p>
            <w:pPr>
              <w:spacing w:after="0"/>
              <w:rPr>
                <w:sz w:val="19"/>
                <w:szCs w:val="19"/>
                <w:color w:val="auto"/>
              </w:rPr>
            </w:pPr>
          </w:p>
        </w:tc>
      </w:tr>
      <w:tr>
        <w:trPr>
          <w:trHeight w:val="216"/>
        </w:trPr>
        <w:tc>
          <w:tcPr>
            <w:tcW w:w="680" w:type="dxa"/>
            <w:vAlign w:val="bottom"/>
            <w:tcBorders>
              <w:left w:val="single" w:sz="8" w:color="auto"/>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4</w:t>
            </w:r>
          </w:p>
        </w:tc>
        <w:tc>
          <w:tcPr>
            <w:tcW w:w="780" w:type="dxa"/>
            <w:vAlign w:val="bottom"/>
            <w:tcBorders>
              <w:right w:val="single" w:sz="8" w:color="auto"/>
            </w:tcBorders>
          </w:tcPr>
          <w:p>
            <w:pPr>
              <w:spacing w:after="0"/>
              <w:rPr>
                <w:sz w:val="18"/>
                <w:szCs w:val="18"/>
                <w:color w:val="auto"/>
              </w:rPr>
            </w:pPr>
          </w:p>
        </w:tc>
      </w:tr>
      <w:tr>
        <w:trPr>
          <w:trHeight w:val="216"/>
        </w:trPr>
        <w:tc>
          <w:tcPr>
            <w:tcW w:w="680" w:type="dxa"/>
            <w:vAlign w:val="bottom"/>
            <w:tcBorders>
              <w:left w:val="single" w:sz="8" w:color="auto"/>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(File No.</w:t>
            </w:r>
          </w:p>
        </w:tc>
        <w:tc>
          <w:tcPr>
            <w:tcW w:w="780" w:type="dxa"/>
            <w:vAlign w:val="bottom"/>
            <w:tcBorders>
              <w:right w:val="single" w:sz="8" w:color="auto"/>
            </w:tcBorders>
          </w:tcPr>
          <w:p>
            <w:pPr>
              <w:spacing w:after="0"/>
              <w:rPr>
                <w:sz w:val="18"/>
                <w:szCs w:val="18"/>
                <w:color w:val="auto"/>
              </w:rPr>
            </w:pPr>
          </w:p>
        </w:tc>
      </w:tr>
      <w:tr>
        <w:trPr>
          <w:trHeight w:val="216"/>
        </w:trPr>
        <w:tc>
          <w:tcPr>
            <w:tcW w:w="680" w:type="dxa"/>
            <w:vAlign w:val="bottom"/>
            <w:tcBorders>
              <w:left w:val="single" w:sz="8" w:color="auto"/>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333-</w:t>
            </w:r>
          </w:p>
        </w:tc>
        <w:tc>
          <w:tcPr>
            <w:tcW w:w="780" w:type="dxa"/>
            <w:vAlign w:val="bottom"/>
            <w:tcBorders>
              <w:right w:val="single" w:sz="8" w:color="auto"/>
            </w:tcBorders>
          </w:tcPr>
          <w:p>
            <w:pPr>
              <w:spacing w:after="0"/>
              <w:rPr>
                <w:sz w:val="18"/>
                <w:szCs w:val="18"/>
                <w:color w:val="auto"/>
              </w:rPr>
            </w:pPr>
          </w:p>
        </w:tc>
      </w:tr>
      <w:tr>
        <w:trPr>
          <w:trHeight w:val="230"/>
        </w:trPr>
        <w:tc>
          <w:tcPr>
            <w:tcW w:w="680" w:type="dxa"/>
            <w:vAlign w:val="bottom"/>
            <w:tcBorders>
              <w:left w:val="single" w:sz="8" w:color="auto"/>
              <w:bottom w:val="single" w:sz="8" w:color="auto"/>
              <w:right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137916)</w:t>
            </w:r>
          </w:p>
        </w:tc>
        <w:tc>
          <w:tcPr>
            <w:tcW w:w="780" w:type="dxa"/>
            <w:vAlign w:val="bottom"/>
            <w:tcBorders>
              <w:bottom w:val="single" w:sz="8" w:color="auto"/>
              <w:right w:val="single" w:sz="8" w:color="auto"/>
            </w:tcBorders>
          </w:tcPr>
          <w:p>
            <w:pPr>
              <w:spacing w:after="0"/>
              <w:rPr>
                <w:sz w:val="20"/>
                <w:szCs w:val="20"/>
                <w:color w:val="auto"/>
              </w:rPr>
            </w:pPr>
          </w:p>
        </w:tc>
      </w:tr>
      <w:tr>
        <w:trPr>
          <w:trHeight w:val="169"/>
        </w:trPr>
        <w:tc>
          <w:tcPr>
            <w:tcW w:w="680" w:type="dxa"/>
            <w:vAlign w:val="bottom"/>
            <w:tcBorders>
              <w:left w:val="single" w:sz="8" w:color="auto"/>
              <w:right w:val="single" w:sz="8" w:color="auto"/>
            </w:tcBorders>
          </w:tcPr>
          <w:p>
            <w:pPr>
              <w:spacing w:after="0" w:line="170" w:lineRule="exact"/>
              <w:rPr>
                <w:sz w:val="20"/>
                <w:szCs w:val="20"/>
                <w:color w:val="auto"/>
              </w:rPr>
            </w:pPr>
            <w:r>
              <w:rPr>
                <w:rFonts w:ascii="Arial" w:cs="Arial" w:eastAsia="Arial" w:hAnsi="Arial"/>
                <w:sz w:val="18"/>
                <w:szCs w:val="18"/>
                <w:color w:val="auto"/>
              </w:rPr>
              <w:t>10.8</w:t>
            </w:r>
          </w:p>
        </w:tc>
        <w:tc>
          <w:tcPr>
            <w:tcW w:w="6080" w:type="dxa"/>
            <w:vAlign w:val="bottom"/>
            <w:tcBorders>
              <w:bottom w:val="single" w:sz="8" w:color="0000EE"/>
            </w:tcBorders>
            <w:gridSpan w:val="22"/>
          </w:tcPr>
          <w:p>
            <w:pPr>
              <w:spacing w:after="0" w:line="170" w:lineRule="exact"/>
              <w:rPr>
                <w:rFonts w:ascii="Arial" w:cs="Arial" w:eastAsia="Arial" w:hAnsi="Arial"/>
                <w:sz w:val="18"/>
                <w:szCs w:val="18"/>
                <w:color w:val="0000EE"/>
                <w:w w:val="91"/>
              </w:rPr>
            </w:pPr>
            <w:hyperlink r:id="rId144">
              <w:r>
                <w:rPr>
                  <w:rFonts w:ascii="Arial" w:cs="Arial" w:eastAsia="Arial" w:hAnsi="Arial"/>
                  <w:sz w:val="18"/>
                  <w:szCs w:val="18"/>
                  <w:color w:val="0000EE"/>
                  <w:w w:val="91"/>
                </w:rPr>
                <w:t>Revolving Credit Note, dated April 13, 2006, by the borrowers party thereto in favor</w:t>
              </w:r>
            </w:hyperlink>
          </w:p>
        </w:tc>
        <w:tc>
          <w:tcPr>
            <w:tcW w:w="180" w:type="dxa"/>
            <w:vAlign w:val="bottom"/>
            <w:tcBorders>
              <w:right w:val="single" w:sz="8" w:color="auto"/>
            </w:tcBorders>
            <w:gridSpan w:val="5"/>
          </w:tcPr>
          <w:p>
            <w:pPr>
              <w:spacing w:after="0"/>
              <w:rPr>
                <w:sz w:val="14"/>
                <w:szCs w:val="14"/>
                <w:color w:val="auto"/>
              </w:rPr>
            </w:pPr>
          </w:p>
        </w:tc>
        <w:tc>
          <w:tcPr>
            <w:tcW w:w="900" w:type="dxa"/>
            <w:vAlign w:val="bottom"/>
            <w:tcBorders>
              <w:right w:val="single" w:sz="8" w:color="auto"/>
            </w:tcBorders>
          </w:tcPr>
          <w:p>
            <w:pPr>
              <w:spacing w:after="0" w:line="170" w:lineRule="exact"/>
              <w:rPr>
                <w:sz w:val="20"/>
                <w:szCs w:val="20"/>
                <w:color w:val="auto"/>
              </w:rPr>
            </w:pPr>
            <w:r>
              <w:rPr>
                <w:rFonts w:ascii="Arial" w:cs="Arial" w:eastAsia="Arial" w:hAnsi="Arial"/>
                <w:sz w:val="18"/>
                <w:szCs w:val="18"/>
                <w:color w:val="auto"/>
                <w:w w:val="89"/>
              </w:rPr>
              <w:t>Registration</w:t>
            </w:r>
          </w:p>
        </w:tc>
        <w:tc>
          <w:tcPr>
            <w:tcW w:w="780" w:type="dxa"/>
            <w:vAlign w:val="bottom"/>
            <w:tcBorders>
              <w:right w:val="single" w:sz="8" w:color="auto"/>
            </w:tcBorders>
          </w:tcPr>
          <w:p>
            <w:pPr>
              <w:spacing w:after="0" w:line="170" w:lineRule="exact"/>
              <w:rPr>
                <w:sz w:val="20"/>
                <w:szCs w:val="20"/>
                <w:color w:val="auto"/>
              </w:rPr>
            </w:pPr>
            <w:r>
              <w:rPr>
                <w:rFonts w:ascii="Arial" w:cs="Arial" w:eastAsia="Arial" w:hAnsi="Arial"/>
                <w:sz w:val="18"/>
                <w:szCs w:val="18"/>
                <w:color w:val="auto"/>
              </w:rPr>
              <w:t>October</w:t>
            </w:r>
          </w:p>
        </w:tc>
      </w:tr>
      <w:tr>
        <w:trPr>
          <w:trHeight w:val="196"/>
        </w:trPr>
        <w:tc>
          <w:tcPr>
            <w:tcW w:w="680" w:type="dxa"/>
            <w:vAlign w:val="bottom"/>
            <w:tcBorders>
              <w:left w:val="single" w:sz="8" w:color="auto"/>
              <w:right w:val="single" w:sz="8" w:color="auto"/>
            </w:tcBorders>
          </w:tcPr>
          <w:p>
            <w:pPr>
              <w:spacing w:after="0"/>
              <w:rPr>
                <w:sz w:val="17"/>
                <w:szCs w:val="17"/>
                <w:color w:val="auto"/>
              </w:rPr>
            </w:pPr>
          </w:p>
        </w:tc>
        <w:tc>
          <w:tcPr>
            <w:tcW w:w="6260" w:type="dxa"/>
            <w:vAlign w:val="bottom"/>
            <w:tcBorders>
              <w:right w:val="single" w:sz="8" w:color="auto"/>
            </w:tcBorders>
            <w:gridSpan w:val="27"/>
          </w:tcPr>
          <w:p>
            <w:pPr>
              <w:spacing w:after="0" w:line="196" w:lineRule="exact"/>
              <w:rPr>
                <w:rFonts w:ascii="Arial" w:cs="Arial" w:eastAsia="Arial" w:hAnsi="Arial"/>
                <w:sz w:val="18"/>
                <w:szCs w:val="18"/>
                <w:color w:val="0000EE"/>
              </w:rPr>
            </w:pPr>
            <w:hyperlink r:id="rId144">
              <w:r>
                <w:rPr>
                  <w:rFonts w:ascii="Arial" w:cs="Arial" w:eastAsia="Arial" w:hAnsi="Arial"/>
                  <w:sz w:val="18"/>
                  <w:szCs w:val="18"/>
                  <w:color w:val="0000EE"/>
                </w:rPr>
                <w:t>of HSBC Business Credit (USA), Inc.</w:t>
              </w:r>
            </w:hyperlink>
          </w:p>
        </w:tc>
        <w:tc>
          <w:tcPr>
            <w:tcW w:w="9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Statement</w:t>
            </w:r>
          </w:p>
        </w:tc>
        <w:tc>
          <w:tcPr>
            <w:tcW w:w="78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10, 2006</w:t>
            </w:r>
          </w:p>
        </w:tc>
      </w:tr>
      <w:tr>
        <w:trPr>
          <w:trHeight w:val="222"/>
        </w:trPr>
        <w:tc>
          <w:tcPr>
            <w:tcW w:w="680" w:type="dxa"/>
            <w:vAlign w:val="bottom"/>
            <w:tcBorders>
              <w:left w:val="single" w:sz="8" w:color="auto"/>
              <w:right w:val="single" w:sz="8" w:color="auto"/>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960" w:type="dxa"/>
            <w:vAlign w:val="bottom"/>
            <w:tcBorders>
              <w:top w:val="single" w:sz="8" w:color="0000EE"/>
            </w:tcBorders>
          </w:tcPr>
          <w:p>
            <w:pPr>
              <w:spacing w:after="0"/>
              <w:rPr>
                <w:sz w:val="19"/>
                <w:szCs w:val="19"/>
                <w:color w:val="auto"/>
              </w:rPr>
            </w:pPr>
          </w:p>
        </w:tc>
        <w:tc>
          <w:tcPr>
            <w:tcW w:w="106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4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5"/>
              </w:rPr>
              <w:t>on Form S-</w:t>
            </w:r>
          </w:p>
        </w:tc>
        <w:tc>
          <w:tcPr>
            <w:tcW w:w="780" w:type="dxa"/>
            <w:vAlign w:val="bottom"/>
            <w:tcBorders>
              <w:right w:val="single" w:sz="8" w:color="auto"/>
            </w:tcBorders>
          </w:tcPr>
          <w:p>
            <w:pPr>
              <w:spacing w:after="0"/>
              <w:rPr>
                <w:sz w:val="19"/>
                <w:szCs w:val="19"/>
                <w:color w:val="auto"/>
              </w:rPr>
            </w:pPr>
          </w:p>
        </w:tc>
      </w:tr>
      <w:tr>
        <w:trPr>
          <w:trHeight w:val="216"/>
        </w:trPr>
        <w:tc>
          <w:tcPr>
            <w:tcW w:w="680" w:type="dxa"/>
            <w:vAlign w:val="bottom"/>
            <w:tcBorders>
              <w:left w:val="single" w:sz="8" w:color="auto"/>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4</w:t>
            </w:r>
          </w:p>
        </w:tc>
        <w:tc>
          <w:tcPr>
            <w:tcW w:w="780" w:type="dxa"/>
            <w:vAlign w:val="bottom"/>
            <w:tcBorders>
              <w:right w:val="single" w:sz="8" w:color="auto"/>
            </w:tcBorders>
          </w:tcPr>
          <w:p>
            <w:pPr>
              <w:spacing w:after="0"/>
              <w:rPr>
                <w:sz w:val="18"/>
                <w:szCs w:val="18"/>
                <w:color w:val="auto"/>
              </w:rPr>
            </w:pPr>
          </w:p>
        </w:tc>
      </w:tr>
      <w:tr>
        <w:trPr>
          <w:trHeight w:val="216"/>
        </w:trPr>
        <w:tc>
          <w:tcPr>
            <w:tcW w:w="680" w:type="dxa"/>
            <w:vAlign w:val="bottom"/>
            <w:tcBorders>
              <w:left w:val="single" w:sz="8" w:color="auto"/>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(File No.</w:t>
            </w:r>
          </w:p>
        </w:tc>
        <w:tc>
          <w:tcPr>
            <w:tcW w:w="780" w:type="dxa"/>
            <w:vAlign w:val="bottom"/>
            <w:tcBorders>
              <w:right w:val="single" w:sz="8" w:color="auto"/>
            </w:tcBorders>
          </w:tcPr>
          <w:p>
            <w:pPr>
              <w:spacing w:after="0"/>
              <w:rPr>
                <w:sz w:val="18"/>
                <w:szCs w:val="18"/>
                <w:color w:val="auto"/>
              </w:rPr>
            </w:pPr>
          </w:p>
        </w:tc>
      </w:tr>
      <w:tr>
        <w:trPr>
          <w:trHeight w:val="216"/>
        </w:trPr>
        <w:tc>
          <w:tcPr>
            <w:tcW w:w="680" w:type="dxa"/>
            <w:vAlign w:val="bottom"/>
            <w:tcBorders>
              <w:left w:val="single" w:sz="8" w:color="auto"/>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333-</w:t>
            </w:r>
          </w:p>
        </w:tc>
        <w:tc>
          <w:tcPr>
            <w:tcW w:w="780" w:type="dxa"/>
            <w:vAlign w:val="bottom"/>
            <w:tcBorders>
              <w:right w:val="single" w:sz="8" w:color="auto"/>
            </w:tcBorders>
          </w:tcPr>
          <w:p>
            <w:pPr>
              <w:spacing w:after="0"/>
              <w:rPr>
                <w:sz w:val="18"/>
                <w:szCs w:val="18"/>
                <w:color w:val="auto"/>
              </w:rPr>
            </w:pPr>
          </w:p>
        </w:tc>
      </w:tr>
      <w:tr>
        <w:trPr>
          <w:trHeight w:val="230"/>
        </w:trPr>
        <w:tc>
          <w:tcPr>
            <w:tcW w:w="680" w:type="dxa"/>
            <w:vAlign w:val="bottom"/>
            <w:tcBorders>
              <w:left w:val="single" w:sz="8" w:color="auto"/>
              <w:bottom w:val="single" w:sz="8" w:color="auto"/>
              <w:right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137916)</w:t>
            </w:r>
          </w:p>
        </w:tc>
        <w:tc>
          <w:tcPr>
            <w:tcW w:w="780" w:type="dxa"/>
            <w:vAlign w:val="bottom"/>
            <w:tcBorders>
              <w:bottom w:val="single" w:sz="8" w:color="auto"/>
              <w:right w:val="single" w:sz="8" w:color="auto"/>
            </w:tcBorders>
          </w:tcPr>
          <w:p>
            <w:pPr>
              <w:spacing w:after="0"/>
              <w:rPr>
                <w:sz w:val="20"/>
                <w:szCs w:val="20"/>
                <w:color w:val="auto"/>
              </w:rPr>
            </w:pPr>
          </w:p>
        </w:tc>
      </w:tr>
      <w:tr>
        <w:trPr>
          <w:trHeight w:val="169"/>
        </w:trPr>
        <w:tc>
          <w:tcPr>
            <w:tcW w:w="680" w:type="dxa"/>
            <w:vAlign w:val="bottom"/>
            <w:tcBorders>
              <w:left w:val="single" w:sz="8" w:color="auto"/>
              <w:right w:val="single" w:sz="8" w:color="auto"/>
            </w:tcBorders>
          </w:tcPr>
          <w:p>
            <w:pPr>
              <w:spacing w:after="0" w:line="170" w:lineRule="exact"/>
              <w:rPr>
                <w:sz w:val="20"/>
                <w:szCs w:val="20"/>
                <w:color w:val="auto"/>
              </w:rPr>
            </w:pPr>
            <w:r>
              <w:rPr>
                <w:rFonts w:ascii="Arial" w:cs="Arial" w:eastAsia="Arial" w:hAnsi="Arial"/>
                <w:sz w:val="18"/>
                <w:szCs w:val="18"/>
                <w:color w:val="auto"/>
              </w:rPr>
              <w:t>10.9</w:t>
            </w:r>
          </w:p>
        </w:tc>
        <w:tc>
          <w:tcPr>
            <w:tcW w:w="6080" w:type="dxa"/>
            <w:vAlign w:val="bottom"/>
            <w:tcBorders>
              <w:bottom w:val="single" w:sz="8" w:color="0000EE"/>
            </w:tcBorders>
            <w:gridSpan w:val="22"/>
          </w:tcPr>
          <w:p>
            <w:pPr>
              <w:spacing w:after="0" w:line="170" w:lineRule="exact"/>
              <w:rPr>
                <w:rFonts w:ascii="Arial" w:cs="Arial" w:eastAsia="Arial" w:hAnsi="Arial"/>
                <w:sz w:val="18"/>
                <w:szCs w:val="18"/>
                <w:color w:val="0000EE"/>
                <w:w w:val="91"/>
              </w:rPr>
            </w:pPr>
            <w:hyperlink r:id="rId145">
              <w:r>
                <w:rPr>
                  <w:rFonts w:ascii="Arial" w:cs="Arial" w:eastAsia="Arial" w:hAnsi="Arial"/>
                  <w:sz w:val="18"/>
                  <w:szCs w:val="18"/>
                  <w:color w:val="0000EE"/>
                  <w:w w:val="91"/>
                </w:rPr>
                <w:t>Revolving Credit Note, dated April 13, 2006, by the borrowers party thereto in favor</w:t>
              </w:r>
            </w:hyperlink>
          </w:p>
        </w:tc>
        <w:tc>
          <w:tcPr>
            <w:tcW w:w="180" w:type="dxa"/>
            <w:vAlign w:val="bottom"/>
            <w:tcBorders>
              <w:right w:val="single" w:sz="8" w:color="auto"/>
            </w:tcBorders>
            <w:gridSpan w:val="5"/>
          </w:tcPr>
          <w:p>
            <w:pPr>
              <w:spacing w:after="0"/>
              <w:rPr>
                <w:sz w:val="14"/>
                <w:szCs w:val="14"/>
                <w:color w:val="auto"/>
              </w:rPr>
            </w:pPr>
          </w:p>
        </w:tc>
        <w:tc>
          <w:tcPr>
            <w:tcW w:w="900" w:type="dxa"/>
            <w:vAlign w:val="bottom"/>
            <w:tcBorders>
              <w:right w:val="single" w:sz="8" w:color="auto"/>
            </w:tcBorders>
          </w:tcPr>
          <w:p>
            <w:pPr>
              <w:spacing w:after="0" w:line="170" w:lineRule="exact"/>
              <w:rPr>
                <w:sz w:val="20"/>
                <w:szCs w:val="20"/>
                <w:color w:val="auto"/>
              </w:rPr>
            </w:pPr>
            <w:r>
              <w:rPr>
                <w:rFonts w:ascii="Arial" w:cs="Arial" w:eastAsia="Arial" w:hAnsi="Arial"/>
                <w:sz w:val="18"/>
                <w:szCs w:val="18"/>
                <w:color w:val="auto"/>
                <w:w w:val="89"/>
              </w:rPr>
              <w:t>Registration</w:t>
            </w:r>
          </w:p>
        </w:tc>
        <w:tc>
          <w:tcPr>
            <w:tcW w:w="780" w:type="dxa"/>
            <w:vAlign w:val="bottom"/>
            <w:tcBorders>
              <w:right w:val="single" w:sz="8" w:color="auto"/>
            </w:tcBorders>
          </w:tcPr>
          <w:p>
            <w:pPr>
              <w:spacing w:after="0" w:line="170" w:lineRule="exact"/>
              <w:rPr>
                <w:sz w:val="20"/>
                <w:szCs w:val="20"/>
                <w:color w:val="auto"/>
              </w:rPr>
            </w:pPr>
            <w:r>
              <w:rPr>
                <w:rFonts w:ascii="Arial" w:cs="Arial" w:eastAsia="Arial" w:hAnsi="Arial"/>
                <w:sz w:val="18"/>
                <w:szCs w:val="18"/>
                <w:color w:val="auto"/>
              </w:rPr>
              <w:t>October</w:t>
            </w:r>
          </w:p>
        </w:tc>
      </w:tr>
      <w:tr>
        <w:trPr>
          <w:trHeight w:val="196"/>
        </w:trPr>
        <w:tc>
          <w:tcPr>
            <w:tcW w:w="680" w:type="dxa"/>
            <w:vAlign w:val="bottom"/>
            <w:tcBorders>
              <w:left w:val="single" w:sz="8" w:color="auto"/>
              <w:right w:val="single" w:sz="8" w:color="auto"/>
            </w:tcBorders>
          </w:tcPr>
          <w:p>
            <w:pPr>
              <w:spacing w:after="0"/>
              <w:rPr>
                <w:sz w:val="17"/>
                <w:szCs w:val="17"/>
                <w:color w:val="auto"/>
              </w:rPr>
            </w:pPr>
          </w:p>
        </w:tc>
        <w:tc>
          <w:tcPr>
            <w:tcW w:w="6260" w:type="dxa"/>
            <w:vAlign w:val="bottom"/>
            <w:tcBorders>
              <w:right w:val="single" w:sz="8" w:color="auto"/>
            </w:tcBorders>
            <w:gridSpan w:val="27"/>
          </w:tcPr>
          <w:p>
            <w:pPr>
              <w:spacing w:after="0" w:line="196" w:lineRule="exact"/>
              <w:rPr>
                <w:rFonts w:ascii="Arial" w:cs="Arial" w:eastAsia="Arial" w:hAnsi="Arial"/>
                <w:sz w:val="18"/>
                <w:szCs w:val="18"/>
                <w:color w:val="0000EE"/>
              </w:rPr>
            </w:pPr>
            <w:hyperlink r:id="rId145">
              <w:r>
                <w:rPr>
                  <w:rFonts w:ascii="Arial" w:cs="Arial" w:eastAsia="Arial" w:hAnsi="Arial"/>
                  <w:sz w:val="18"/>
                  <w:szCs w:val="18"/>
                  <w:color w:val="0000EE"/>
                </w:rPr>
                <w:t>of Sovereign Bank.</w:t>
              </w:r>
            </w:hyperlink>
          </w:p>
        </w:tc>
        <w:tc>
          <w:tcPr>
            <w:tcW w:w="9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Statement</w:t>
            </w:r>
          </w:p>
        </w:tc>
        <w:tc>
          <w:tcPr>
            <w:tcW w:w="78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10, 2006</w:t>
            </w:r>
          </w:p>
        </w:tc>
      </w:tr>
      <w:tr>
        <w:trPr>
          <w:trHeight w:val="199"/>
        </w:trPr>
        <w:tc>
          <w:tcPr>
            <w:tcW w:w="680" w:type="dxa"/>
            <w:vAlign w:val="bottom"/>
            <w:tcBorders>
              <w:left w:val="single" w:sz="8" w:color="auto"/>
              <w:right w:val="single" w:sz="8" w:color="auto"/>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960" w:type="dxa"/>
            <w:vAlign w:val="bottom"/>
            <w:tcBorders>
              <w:top w:val="single" w:sz="8" w:color="0000EE"/>
            </w:tcBorders>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r>
    </w:tbl>
    <w:p>
      <w:pPr>
        <w:sectPr>
          <w:pgSz w:w="11900" w:h="16900" w:orient="portrait"/>
          <w:cols w:equalWidth="0" w:num="1">
            <w:col w:w="9019"/>
          </w:cols>
          <w:pgMar w:left="1440" w:top="335" w:right="1440" w:bottom="0" w:gutter="0" w:footer="0" w:header="0"/>
        </w:sectPr>
      </w:pPr>
    </w:p>
    <w:bookmarkStart w:id="91" w:name="page92"/>
    <w:bookmarkEnd w:id="91"/>
    <w:p>
      <w:pPr>
        <w:ind w:left="7140"/>
        <w:spacing w:after="0"/>
        <w:rPr>
          <w:sz w:val="20"/>
          <w:szCs w:val="20"/>
          <w:color w:val="auto"/>
        </w:rPr>
      </w:pPr>
      <w:r>
        <w:rPr>
          <w:rFonts w:ascii="Arial" w:cs="Arial" w:eastAsia="Arial" w:hAnsi="Arial"/>
          <w:sz w:val="16"/>
          <w:szCs w:val="16"/>
          <w:color w:val="auto"/>
        </w:rPr>
        <w:t>on Form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135255</wp:posOffset>
            </wp:positionH>
            <wp:positionV relativeFrom="paragraph">
              <wp:posOffset>-107315</wp:posOffset>
            </wp:positionV>
            <wp:extent cx="5480050" cy="6946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6">
                      <a:extLst>
                        <a:ext uri="{28A0092B-C50C-407E-A947-70E740481C1C}"/>
                      </a:extLst>
                    </a:blip>
                    <a:srcRect/>
                    <a:stretch>
                      <a:fillRect/>
                    </a:stretch>
                  </pic:blipFill>
                  <pic:spPr bwMode="auto">
                    <a:xfrm>
                      <a:off x="0" y="0"/>
                      <a:ext cx="5480050" cy="694690"/>
                    </a:xfrm>
                    <a:prstGeom prst="rect">
                      <a:avLst/>
                    </a:prstGeom>
                    <a:noFill/>
                  </pic:spPr>
                </pic:pic>
              </a:graphicData>
            </a:graphic>
          </wp:anchor>
        </w:drawing>
      </w:r>
    </w:p>
    <w:p>
      <w:pPr>
        <w:spacing w:after="0" w:line="26"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4</w:t>
      </w:r>
    </w:p>
    <w:p>
      <w:pPr>
        <w:spacing w:after="0" w:line="9"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(File No.</w:t>
      </w:r>
    </w:p>
    <w:p>
      <w:pPr>
        <w:spacing w:after="0" w:line="9"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333-</w:t>
      </w:r>
    </w:p>
    <w:p>
      <w:pPr>
        <w:spacing w:after="0" w:line="9"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137916)</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85090</wp:posOffset>
            </wp:positionV>
            <wp:extent cx="72891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92" w:name="page93"/>
    <w:bookmarkEnd w:id="92"/>
    <w:p>
      <w:pPr>
        <w:spacing w:after="0" w:line="62" w:lineRule="exact"/>
        <w:rPr>
          <w:sz w:val="20"/>
          <w:szCs w:val="20"/>
          <w:color w:val="auto"/>
        </w:rPr>
      </w:pPr>
    </w:p>
    <w:tbl>
      <w:tblPr>
        <w:tblLayout w:type="fixed"/>
        <w:tblInd w:w="230" w:type="dxa"/>
        <w:tblCellMar>
          <w:top w:w="0" w:type="dxa"/>
          <w:left w:w="0" w:type="dxa"/>
          <w:bottom w:w="0" w:type="dxa"/>
          <w:right w:w="0" w:type="dxa"/>
        </w:tblCellMar>
      </w:tblPr>
      <w:tr>
        <w:trPr>
          <w:trHeight w:val="211"/>
        </w:trPr>
        <w:tc>
          <w:tcPr>
            <w:tcW w:w="680" w:type="dxa"/>
            <w:vAlign w:val="bottom"/>
            <w:tcBorders>
              <w:top w:val="single" w:sz="8" w:color="auto"/>
              <w:left w:val="single" w:sz="8" w:color="auto"/>
              <w:right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9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right w:val="single" w:sz="8" w:color="auto"/>
            </w:tcBorders>
          </w:tcPr>
          <w:p>
            <w:pPr>
              <w:spacing w:after="0"/>
              <w:rPr>
                <w:sz w:val="18"/>
                <w:szCs w:val="18"/>
                <w:color w:val="auto"/>
              </w:rPr>
            </w:pPr>
          </w:p>
        </w:tc>
        <w:tc>
          <w:tcPr>
            <w:tcW w:w="1660" w:type="dxa"/>
            <w:vAlign w:val="bottom"/>
            <w:tcBorders>
              <w:top w:val="single" w:sz="8" w:color="auto"/>
              <w:right w:val="single" w:sz="8" w:color="auto"/>
            </w:tcBorders>
            <w:gridSpan w:val="2"/>
          </w:tcPr>
          <w:p>
            <w:pPr>
              <w:jc w:val="right"/>
              <w:ind w:right="130"/>
              <w:spacing w:after="0"/>
              <w:rPr>
                <w:sz w:val="20"/>
                <w:szCs w:val="20"/>
                <w:color w:val="auto"/>
              </w:rPr>
            </w:pPr>
            <w:r>
              <w:rPr>
                <w:rFonts w:ascii="Arial" w:cs="Arial" w:eastAsia="Arial" w:hAnsi="Arial"/>
                <w:sz w:val="18"/>
                <w:szCs w:val="18"/>
                <w:b w:val="1"/>
                <w:bCs w:val="1"/>
                <w:color w:val="auto"/>
              </w:rPr>
              <w:t>Incorporated by</w:t>
            </w:r>
          </w:p>
        </w:tc>
      </w:tr>
      <w:tr>
        <w:trPr>
          <w:trHeight w:val="234"/>
        </w:trPr>
        <w:tc>
          <w:tcPr>
            <w:tcW w:w="680" w:type="dxa"/>
            <w:vAlign w:val="bottom"/>
            <w:tcBorders>
              <w:left w:val="single" w:sz="8" w:color="auto"/>
              <w:righ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gridSpan w:val="2"/>
          </w:tcPr>
          <w:p>
            <w:pPr>
              <w:ind w:left="440"/>
              <w:spacing w:after="0"/>
              <w:rPr>
                <w:sz w:val="20"/>
                <w:szCs w:val="20"/>
                <w:color w:val="auto"/>
              </w:rPr>
            </w:pPr>
            <w:r>
              <w:rPr>
                <w:rFonts w:ascii="Arial" w:cs="Arial" w:eastAsia="Arial" w:hAnsi="Arial"/>
                <w:sz w:val="18"/>
                <w:szCs w:val="18"/>
                <w:b w:val="1"/>
                <w:bCs w:val="1"/>
                <w:color w:val="auto"/>
              </w:rPr>
              <w:t>Reference</w:t>
            </w:r>
          </w:p>
        </w:tc>
      </w:tr>
      <w:tr>
        <w:trPr>
          <w:trHeight w:val="191"/>
        </w:trPr>
        <w:tc>
          <w:tcPr>
            <w:tcW w:w="680" w:type="dxa"/>
            <w:vAlign w:val="bottom"/>
            <w:tcBorders>
              <w:left w:val="single" w:sz="8" w:color="auto"/>
              <w:right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920" w:type="dxa"/>
            <w:vAlign w:val="bottom"/>
            <w:tcBorders>
              <w:right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2"/>
              </w:rPr>
              <w:t>Form and</w:t>
            </w:r>
          </w:p>
        </w:tc>
        <w:tc>
          <w:tcPr>
            <w:tcW w:w="740" w:type="dxa"/>
            <w:vAlign w:val="bottom"/>
            <w:tcBorders>
              <w:right w:val="single" w:sz="8" w:color="auto"/>
            </w:tcBorders>
          </w:tcPr>
          <w:p>
            <w:pPr>
              <w:spacing w:after="0"/>
              <w:rPr>
                <w:sz w:val="16"/>
                <w:szCs w:val="16"/>
                <w:color w:val="auto"/>
              </w:rPr>
            </w:pPr>
          </w:p>
        </w:tc>
      </w:tr>
      <w:tr>
        <w:trPr>
          <w:trHeight w:val="216"/>
        </w:trPr>
        <w:tc>
          <w:tcPr>
            <w:tcW w:w="6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w w:val="99"/>
              </w:rPr>
              <w:t>Exhibit</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SEC file</w:t>
            </w:r>
          </w:p>
        </w:tc>
        <w:tc>
          <w:tcPr>
            <w:tcW w:w="74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Filing</w:t>
            </w:r>
          </w:p>
        </w:tc>
      </w:tr>
      <w:tr>
        <w:trPr>
          <w:trHeight w:val="234"/>
        </w:trPr>
        <w:tc>
          <w:tcPr>
            <w:tcW w:w="68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w w:val="94"/>
              </w:rPr>
              <w:t>Number</w:t>
            </w:r>
          </w:p>
        </w:tc>
        <w:tc>
          <w:tcPr>
            <w:tcW w:w="4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4500" w:type="dxa"/>
            <w:vAlign w:val="bottom"/>
            <w:tcBorders>
              <w:bottom w:val="single" w:sz="8" w:color="auto"/>
              <w:right w:val="single" w:sz="8" w:color="auto"/>
            </w:tcBorders>
            <w:gridSpan w:val="19"/>
          </w:tcPr>
          <w:p>
            <w:pPr>
              <w:ind w:left="580"/>
              <w:spacing w:after="0"/>
              <w:rPr>
                <w:sz w:val="20"/>
                <w:szCs w:val="20"/>
                <w:color w:val="auto"/>
              </w:rPr>
            </w:pPr>
            <w:r>
              <w:rPr>
                <w:rFonts w:ascii="Arial" w:cs="Arial" w:eastAsia="Arial" w:hAnsi="Arial"/>
                <w:sz w:val="18"/>
                <w:szCs w:val="18"/>
                <w:b w:val="1"/>
                <w:bCs w:val="1"/>
                <w:color w:val="auto"/>
              </w:rPr>
              <w:t>Exhibit Description</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No.</w:t>
            </w:r>
          </w:p>
        </w:tc>
        <w:tc>
          <w:tcPr>
            <w:tcW w:w="740" w:type="dxa"/>
            <w:vAlign w:val="bottom"/>
            <w:tcBorders>
              <w:bottom w:val="single" w:sz="8" w:color="auto"/>
              <w:right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Date</w:t>
            </w:r>
          </w:p>
        </w:tc>
      </w:tr>
      <w:tr>
        <w:trPr>
          <w:trHeight w:val="169"/>
        </w:trPr>
        <w:tc>
          <w:tcPr>
            <w:tcW w:w="680" w:type="dxa"/>
            <w:vAlign w:val="bottom"/>
            <w:tcBorders>
              <w:left w:val="single" w:sz="8" w:color="auto"/>
              <w:right w:val="single" w:sz="8" w:color="auto"/>
            </w:tcBorders>
          </w:tcPr>
          <w:p>
            <w:pPr>
              <w:spacing w:after="0" w:line="170" w:lineRule="exact"/>
              <w:rPr>
                <w:sz w:val="20"/>
                <w:szCs w:val="20"/>
                <w:color w:val="auto"/>
              </w:rPr>
            </w:pPr>
            <w:r>
              <w:rPr>
                <w:rFonts w:ascii="Arial" w:cs="Arial" w:eastAsia="Arial" w:hAnsi="Arial"/>
                <w:sz w:val="18"/>
                <w:szCs w:val="18"/>
                <w:color w:val="auto"/>
              </w:rPr>
              <w:t>10.10</w:t>
            </w:r>
          </w:p>
        </w:tc>
        <w:tc>
          <w:tcPr>
            <w:tcW w:w="6280" w:type="dxa"/>
            <w:vAlign w:val="bottom"/>
            <w:tcBorders>
              <w:right w:val="single" w:sz="8" w:color="auto"/>
            </w:tcBorders>
            <w:gridSpan w:val="25"/>
          </w:tcPr>
          <w:p>
            <w:pPr>
              <w:spacing w:after="0" w:line="170" w:lineRule="exact"/>
              <w:rPr>
                <w:rFonts w:ascii="Arial" w:cs="Arial" w:eastAsia="Arial" w:hAnsi="Arial"/>
                <w:sz w:val="18"/>
                <w:szCs w:val="18"/>
                <w:color w:val="0000EE"/>
                <w:w w:val="99"/>
              </w:rPr>
            </w:pPr>
            <w:hyperlink r:id="rId148">
              <w:r>
                <w:rPr>
                  <w:rFonts w:ascii="Arial" w:cs="Arial" w:eastAsia="Arial" w:hAnsi="Arial"/>
                  <w:sz w:val="18"/>
                  <w:szCs w:val="18"/>
                  <w:color w:val="0000EE"/>
                  <w:w w:val="99"/>
                </w:rPr>
                <w:t>Amended and Restated Revolving Credit Note, dated January 15, 2010, by the</w:t>
              </w:r>
            </w:hyperlink>
          </w:p>
        </w:tc>
        <w:tc>
          <w:tcPr>
            <w:tcW w:w="920" w:type="dxa"/>
            <w:vAlign w:val="bottom"/>
            <w:tcBorders>
              <w:right w:val="single" w:sz="8" w:color="auto"/>
            </w:tcBorders>
          </w:tcPr>
          <w:p>
            <w:pPr>
              <w:spacing w:after="0" w:line="170" w:lineRule="exact"/>
              <w:rPr>
                <w:sz w:val="20"/>
                <w:szCs w:val="20"/>
                <w:color w:val="auto"/>
              </w:rPr>
            </w:pPr>
            <w:r>
              <w:rPr>
                <w:rFonts w:ascii="Arial" w:cs="Arial" w:eastAsia="Arial" w:hAnsi="Arial"/>
                <w:sz w:val="18"/>
                <w:szCs w:val="18"/>
                <w:color w:val="auto"/>
              </w:rPr>
              <w:t>Transition</w:t>
            </w:r>
          </w:p>
        </w:tc>
        <w:tc>
          <w:tcPr>
            <w:tcW w:w="740" w:type="dxa"/>
            <w:vAlign w:val="bottom"/>
            <w:tcBorders>
              <w:right w:val="single" w:sz="8" w:color="auto"/>
            </w:tcBorders>
          </w:tcPr>
          <w:p>
            <w:pPr>
              <w:spacing w:after="0" w:line="170" w:lineRule="exact"/>
              <w:rPr>
                <w:sz w:val="20"/>
                <w:szCs w:val="20"/>
                <w:color w:val="auto"/>
              </w:rPr>
            </w:pPr>
            <w:r>
              <w:rPr>
                <w:rFonts w:ascii="Arial" w:cs="Arial" w:eastAsia="Arial" w:hAnsi="Arial"/>
                <w:sz w:val="18"/>
                <w:szCs w:val="18"/>
                <w:color w:val="auto"/>
              </w:rPr>
              <w:t>April 30,</w:t>
            </w:r>
          </w:p>
        </w:tc>
      </w:tr>
      <w:tr>
        <w:trPr>
          <w:trHeight w:val="196"/>
        </w:trPr>
        <w:tc>
          <w:tcPr>
            <w:tcW w:w="680" w:type="dxa"/>
            <w:vAlign w:val="bottom"/>
            <w:tcBorders>
              <w:left w:val="single" w:sz="8" w:color="auto"/>
              <w:right w:val="single" w:sz="8" w:color="auto"/>
            </w:tcBorders>
          </w:tcPr>
          <w:p>
            <w:pPr>
              <w:spacing w:after="0"/>
              <w:rPr>
                <w:sz w:val="17"/>
                <w:szCs w:val="17"/>
                <w:color w:val="auto"/>
              </w:rPr>
            </w:pPr>
          </w:p>
        </w:tc>
        <w:tc>
          <w:tcPr>
            <w:tcW w:w="5620" w:type="dxa"/>
            <w:vAlign w:val="bottom"/>
            <w:tcBorders>
              <w:top w:val="single" w:sz="8" w:color="0000EE"/>
            </w:tcBorders>
            <w:gridSpan w:val="11"/>
          </w:tcPr>
          <w:p>
            <w:pPr>
              <w:spacing w:after="0" w:line="196" w:lineRule="exact"/>
              <w:rPr>
                <w:rFonts w:ascii="Arial" w:cs="Arial" w:eastAsia="Arial" w:hAnsi="Arial"/>
                <w:sz w:val="18"/>
                <w:szCs w:val="18"/>
                <w:color w:val="0000EE"/>
                <w:w w:val="98"/>
              </w:rPr>
            </w:pPr>
            <w:hyperlink r:id="rId148">
              <w:r>
                <w:rPr>
                  <w:rFonts w:ascii="Arial" w:cs="Arial" w:eastAsia="Arial" w:hAnsi="Arial"/>
                  <w:sz w:val="18"/>
                  <w:szCs w:val="18"/>
                  <w:color w:val="0000EE"/>
                  <w:w w:val="98"/>
                </w:rPr>
                <w:t>borrowers party thereto in favor of Capital One Leverage Finance Corp.</w:t>
              </w:r>
            </w:hyperlink>
          </w:p>
        </w:tc>
        <w:tc>
          <w:tcPr>
            <w:tcW w:w="660" w:type="dxa"/>
            <w:vAlign w:val="bottom"/>
            <w:tcBorders>
              <w:right w:val="single" w:sz="8" w:color="auto"/>
            </w:tcBorders>
            <w:gridSpan w:val="14"/>
          </w:tcPr>
          <w:p>
            <w:pPr>
              <w:spacing w:after="0"/>
              <w:rPr>
                <w:sz w:val="17"/>
                <w:szCs w:val="17"/>
                <w:color w:val="auto"/>
              </w:rPr>
            </w:pPr>
          </w:p>
        </w:tc>
        <w:tc>
          <w:tcPr>
            <w:tcW w:w="92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Report on</w:t>
            </w:r>
          </w:p>
        </w:tc>
        <w:tc>
          <w:tcPr>
            <w:tcW w:w="74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2010</w:t>
            </w:r>
          </w:p>
        </w:tc>
      </w:tr>
      <w:tr>
        <w:trPr>
          <w:trHeight w:val="222"/>
        </w:trPr>
        <w:tc>
          <w:tcPr>
            <w:tcW w:w="680" w:type="dxa"/>
            <w:vAlign w:val="bottom"/>
            <w:tcBorders>
              <w:left w:val="single" w:sz="8" w:color="auto"/>
              <w:right w:val="single" w:sz="8" w:color="auto"/>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560" w:type="dxa"/>
            <w:vAlign w:val="bottom"/>
            <w:tcBorders>
              <w:top w:val="single" w:sz="8" w:color="0000EE"/>
            </w:tcBorders>
          </w:tcPr>
          <w:p>
            <w:pPr>
              <w:spacing w:after="0"/>
              <w:rPr>
                <w:sz w:val="19"/>
                <w:szCs w:val="19"/>
                <w:color w:val="auto"/>
              </w:rPr>
            </w:pPr>
          </w:p>
        </w:tc>
        <w:tc>
          <w:tcPr>
            <w:tcW w:w="700" w:type="dxa"/>
            <w:vAlign w:val="bottom"/>
            <w:tcBorders>
              <w:top w:val="single" w:sz="8" w:color="0000EE"/>
            </w:tcBorders>
          </w:tcPr>
          <w:p>
            <w:pPr>
              <w:spacing w:after="0"/>
              <w:rPr>
                <w:sz w:val="19"/>
                <w:szCs w:val="19"/>
                <w:color w:val="auto"/>
              </w:rPr>
            </w:pPr>
          </w:p>
        </w:tc>
        <w:tc>
          <w:tcPr>
            <w:tcW w:w="1940" w:type="dxa"/>
            <w:vAlign w:val="bottom"/>
            <w:tcBorders>
              <w:top w:val="single" w:sz="8" w:color="0000EE"/>
            </w:tcBorders>
          </w:tcPr>
          <w:p>
            <w:pPr>
              <w:spacing w:after="0"/>
              <w:rPr>
                <w:sz w:val="19"/>
                <w:szCs w:val="19"/>
                <w:color w:val="auto"/>
              </w:rPr>
            </w:pPr>
          </w:p>
        </w:tc>
        <w:tc>
          <w:tcPr>
            <w:tcW w:w="740" w:type="dxa"/>
            <w:vAlign w:val="bottom"/>
            <w:tcBorders>
              <w:top w:val="single" w:sz="8" w:color="0000EE"/>
            </w:tcBorders>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Form 10-</w:t>
            </w:r>
          </w:p>
        </w:tc>
        <w:tc>
          <w:tcPr>
            <w:tcW w:w="740" w:type="dxa"/>
            <w:vAlign w:val="bottom"/>
            <w:tcBorders>
              <w:right w:val="single" w:sz="8" w:color="auto"/>
            </w:tcBorders>
          </w:tcPr>
          <w:p>
            <w:pPr>
              <w:spacing w:after="0"/>
              <w:rPr>
                <w:sz w:val="19"/>
                <w:szCs w:val="19"/>
                <w:color w:val="auto"/>
              </w:rPr>
            </w:pPr>
          </w:p>
        </w:tc>
      </w:tr>
      <w:tr>
        <w:trPr>
          <w:trHeight w:val="216"/>
        </w:trPr>
        <w:tc>
          <w:tcPr>
            <w:tcW w:w="680" w:type="dxa"/>
            <w:vAlign w:val="bottom"/>
            <w:tcBorders>
              <w:left w:val="single" w:sz="8" w:color="auto"/>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K/T</w:t>
            </w:r>
          </w:p>
        </w:tc>
        <w:tc>
          <w:tcPr>
            <w:tcW w:w="740" w:type="dxa"/>
            <w:vAlign w:val="bottom"/>
            <w:tcBorders>
              <w:right w:val="single" w:sz="8" w:color="auto"/>
            </w:tcBorders>
          </w:tcPr>
          <w:p>
            <w:pPr>
              <w:spacing w:after="0"/>
              <w:rPr>
                <w:sz w:val="18"/>
                <w:szCs w:val="18"/>
                <w:color w:val="auto"/>
              </w:rPr>
            </w:pPr>
          </w:p>
        </w:tc>
      </w:tr>
      <w:tr>
        <w:trPr>
          <w:trHeight w:val="216"/>
        </w:trPr>
        <w:tc>
          <w:tcPr>
            <w:tcW w:w="680" w:type="dxa"/>
            <w:vAlign w:val="bottom"/>
            <w:tcBorders>
              <w:left w:val="single" w:sz="8" w:color="auto"/>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(File No.</w:t>
            </w:r>
          </w:p>
        </w:tc>
        <w:tc>
          <w:tcPr>
            <w:tcW w:w="740" w:type="dxa"/>
            <w:vAlign w:val="bottom"/>
            <w:tcBorders>
              <w:right w:val="single" w:sz="8" w:color="auto"/>
            </w:tcBorders>
          </w:tcPr>
          <w:p>
            <w:pPr>
              <w:spacing w:after="0"/>
              <w:rPr>
                <w:sz w:val="18"/>
                <w:szCs w:val="18"/>
                <w:color w:val="auto"/>
              </w:rPr>
            </w:pPr>
          </w:p>
        </w:tc>
      </w:tr>
      <w:tr>
        <w:trPr>
          <w:trHeight w:val="216"/>
        </w:trPr>
        <w:tc>
          <w:tcPr>
            <w:tcW w:w="680" w:type="dxa"/>
            <w:vAlign w:val="bottom"/>
            <w:tcBorders>
              <w:left w:val="single" w:sz="8" w:color="auto"/>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333-</w:t>
            </w:r>
          </w:p>
        </w:tc>
        <w:tc>
          <w:tcPr>
            <w:tcW w:w="740" w:type="dxa"/>
            <w:vAlign w:val="bottom"/>
            <w:tcBorders>
              <w:right w:val="single" w:sz="8" w:color="auto"/>
            </w:tcBorders>
          </w:tcPr>
          <w:p>
            <w:pPr>
              <w:spacing w:after="0"/>
              <w:rPr>
                <w:sz w:val="18"/>
                <w:szCs w:val="18"/>
                <w:color w:val="auto"/>
              </w:rPr>
            </w:pPr>
          </w:p>
        </w:tc>
      </w:tr>
      <w:tr>
        <w:trPr>
          <w:trHeight w:val="216"/>
        </w:trPr>
        <w:tc>
          <w:tcPr>
            <w:tcW w:w="680" w:type="dxa"/>
            <w:vAlign w:val="bottom"/>
            <w:tcBorders>
              <w:left w:val="single" w:sz="8" w:color="auto"/>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137916-</w:t>
            </w:r>
          </w:p>
        </w:tc>
        <w:tc>
          <w:tcPr>
            <w:tcW w:w="740" w:type="dxa"/>
            <w:vAlign w:val="bottom"/>
            <w:tcBorders>
              <w:right w:val="single" w:sz="8" w:color="auto"/>
            </w:tcBorders>
          </w:tcPr>
          <w:p>
            <w:pPr>
              <w:spacing w:after="0"/>
              <w:rPr>
                <w:sz w:val="18"/>
                <w:szCs w:val="18"/>
                <w:color w:val="auto"/>
              </w:rPr>
            </w:pPr>
          </w:p>
        </w:tc>
      </w:tr>
      <w:tr>
        <w:trPr>
          <w:trHeight w:val="230"/>
        </w:trPr>
        <w:tc>
          <w:tcPr>
            <w:tcW w:w="680" w:type="dxa"/>
            <w:vAlign w:val="bottom"/>
            <w:tcBorders>
              <w:left w:val="single" w:sz="8" w:color="auto"/>
              <w:bottom w:val="single" w:sz="8" w:color="auto"/>
              <w:right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110)</w:t>
            </w:r>
          </w:p>
        </w:tc>
        <w:tc>
          <w:tcPr>
            <w:tcW w:w="740" w:type="dxa"/>
            <w:vAlign w:val="bottom"/>
            <w:tcBorders>
              <w:bottom w:val="single" w:sz="8" w:color="auto"/>
              <w:right w:val="single" w:sz="8" w:color="auto"/>
            </w:tcBorders>
          </w:tcPr>
          <w:p>
            <w:pPr>
              <w:spacing w:after="0"/>
              <w:rPr>
                <w:sz w:val="20"/>
                <w:szCs w:val="20"/>
                <w:color w:val="auto"/>
              </w:rPr>
            </w:pPr>
          </w:p>
        </w:tc>
      </w:tr>
      <w:tr>
        <w:trPr>
          <w:trHeight w:val="169"/>
        </w:trPr>
        <w:tc>
          <w:tcPr>
            <w:tcW w:w="680" w:type="dxa"/>
            <w:vAlign w:val="bottom"/>
            <w:tcBorders>
              <w:left w:val="single" w:sz="8" w:color="auto"/>
              <w:right w:val="single" w:sz="8" w:color="auto"/>
            </w:tcBorders>
          </w:tcPr>
          <w:p>
            <w:pPr>
              <w:spacing w:after="0" w:line="170" w:lineRule="exact"/>
              <w:rPr>
                <w:sz w:val="20"/>
                <w:szCs w:val="20"/>
                <w:color w:val="auto"/>
              </w:rPr>
            </w:pPr>
            <w:r>
              <w:rPr>
                <w:rFonts w:ascii="Arial" w:cs="Arial" w:eastAsia="Arial" w:hAnsi="Arial"/>
                <w:sz w:val="18"/>
                <w:szCs w:val="18"/>
                <w:color w:val="auto"/>
              </w:rPr>
              <w:t>10.11</w:t>
            </w:r>
          </w:p>
        </w:tc>
        <w:tc>
          <w:tcPr>
            <w:tcW w:w="6280" w:type="dxa"/>
            <w:vAlign w:val="bottom"/>
            <w:tcBorders>
              <w:right w:val="single" w:sz="8" w:color="auto"/>
            </w:tcBorders>
            <w:gridSpan w:val="25"/>
          </w:tcPr>
          <w:p>
            <w:pPr>
              <w:spacing w:after="0" w:line="170" w:lineRule="exact"/>
              <w:rPr>
                <w:rFonts w:ascii="Arial" w:cs="Arial" w:eastAsia="Arial" w:hAnsi="Arial"/>
                <w:sz w:val="18"/>
                <w:szCs w:val="18"/>
                <w:color w:val="0000EE"/>
              </w:rPr>
            </w:pPr>
            <w:hyperlink r:id="rId149">
              <w:r>
                <w:rPr>
                  <w:rFonts w:ascii="Arial" w:cs="Arial" w:eastAsia="Arial" w:hAnsi="Arial"/>
                  <w:sz w:val="18"/>
                  <w:szCs w:val="18"/>
                  <w:color w:val="0000EE"/>
                </w:rPr>
                <w:t>Form of Swingline Note.</w:t>
              </w:r>
            </w:hyperlink>
          </w:p>
        </w:tc>
        <w:tc>
          <w:tcPr>
            <w:tcW w:w="920" w:type="dxa"/>
            <w:vAlign w:val="bottom"/>
            <w:tcBorders>
              <w:right w:val="single" w:sz="8" w:color="auto"/>
            </w:tcBorders>
          </w:tcPr>
          <w:p>
            <w:pPr>
              <w:spacing w:after="0" w:line="170" w:lineRule="exact"/>
              <w:rPr>
                <w:sz w:val="20"/>
                <w:szCs w:val="20"/>
                <w:color w:val="auto"/>
              </w:rPr>
            </w:pPr>
            <w:r>
              <w:rPr>
                <w:rFonts w:ascii="Arial" w:cs="Arial" w:eastAsia="Arial" w:hAnsi="Arial"/>
                <w:sz w:val="18"/>
                <w:szCs w:val="18"/>
                <w:color w:val="auto"/>
                <w:w w:val="91"/>
              </w:rPr>
              <w:t>Registration</w:t>
            </w:r>
          </w:p>
        </w:tc>
        <w:tc>
          <w:tcPr>
            <w:tcW w:w="740" w:type="dxa"/>
            <w:vAlign w:val="bottom"/>
            <w:tcBorders>
              <w:right w:val="single" w:sz="8" w:color="auto"/>
            </w:tcBorders>
          </w:tcPr>
          <w:p>
            <w:pPr>
              <w:spacing w:after="0" w:line="170" w:lineRule="exact"/>
              <w:rPr>
                <w:sz w:val="20"/>
                <w:szCs w:val="20"/>
                <w:color w:val="auto"/>
              </w:rPr>
            </w:pPr>
            <w:r>
              <w:rPr>
                <w:rFonts w:ascii="Arial" w:cs="Arial" w:eastAsia="Arial" w:hAnsi="Arial"/>
                <w:sz w:val="18"/>
                <w:szCs w:val="18"/>
                <w:color w:val="auto"/>
              </w:rPr>
              <w:t>October</w:t>
            </w:r>
          </w:p>
        </w:tc>
      </w:tr>
      <w:tr>
        <w:trPr>
          <w:trHeight w:val="222"/>
        </w:trPr>
        <w:tc>
          <w:tcPr>
            <w:tcW w:w="680" w:type="dxa"/>
            <w:vAlign w:val="bottom"/>
            <w:tcBorders>
              <w:left w:val="single" w:sz="8" w:color="auto"/>
              <w:right w:val="single" w:sz="8" w:color="auto"/>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560" w:type="dxa"/>
            <w:vAlign w:val="bottom"/>
            <w:tcBorders>
              <w:top w:val="single" w:sz="8" w:color="0000EE"/>
            </w:tcBorders>
          </w:tcPr>
          <w:p>
            <w:pPr>
              <w:spacing w:after="0"/>
              <w:rPr>
                <w:sz w:val="19"/>
                <w:szCs w:val="19"/>
                <w:color w:val="auto"/>
              </w:rPr>
            </w:pPr>
          </w:p>
        </w:tc>
        <w:tc>
          <w:tcPr>
            <w:tcW w:w="7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Statement</w:t>
            </w:r>
          </w:p>
        </w:tc>
        <w:tc>
          <w:tcPr>
            <w:tcW w:w="7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10, 2006</w:t>
            </w:r>
          </w:p>
        </w:tc>
      </w:tr>
      <w:tr>
        <w:trPr>
          <w:trHeight w:val="216"/>
        </w:trPr>
        <w:tc>
          <w:tcPr>
            <w:tcW w:w="680" w:type="dxa"/>
            <w:vAlign w:val="bottom"/>
            <w:tcBorders>
              <w:left w:val="single" w:sz="8" w:color="auto"/>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7"/>
              </w:rPr>
              <w:t>on Form S-</w:t>
            </w:r>
          </w:p>
        </w:tc>
        <w:tc>
          <w:tcPr>
            <w:tcW w:w="740" w:type="dxa"/>
            <w:vAlign w:val="bottom"/>
            <w:tcBorders>
              <w:right w:val="single" w:sz="8" w:color="auto"/>
            </w:tcBorders>
          </w:tcPr>
          <w:p>
            <w:pPr>
              <w:spacing w:after="0"/>
              <w:rPr>
                <w:sz w:val="18"/>
                <w:szCs w:val="18"/>
                <w:color w:val="auto"/>
              </w:rPr>
            </w:pPr>
          </w:p>
        </w:tc>
      </w:tr>
      <w:tr>
        <w:trPr>
          <w:trHeight w:val="216"/>
        </w:trPr>
        <w:tc>
          <w:tcPr>
            <w:tcW w:w="680" w:type="dxa"/>
            <w:vAlign w:val="bottom"/>
            <w:tcBorders>
              <w:left w:val="single" w:sz="8" w:color="auto"/>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4</w:t>
            </w:r>
          </w:p>
        </w:tc>
        <w:tc>
          <w:tcPr>
            <w:tcW w:w="740" w:type="dxa"/>
            <w:vAlign w:val="bottom"/>
            <w:tcBorders>
              <w:right w:val="single" w:sz="8" w:color="auto"/>
            </w:tcBorders>
          </w:tcPr>
          <w:p>
            <w:pPr>
              <w:spacing w:after="0"/>
              <w:rPr>
                <w:sz w:val="18"/>
                <w:szCs w:val="18"/>
                <w:color w:val="auto"/>
              </w:rPr>
            </w:pPr>
          </w:p>
        </w:tc>
      </w:tr>
      <w:tr>
        <w:trPr>
          <w:trHeight w:val="216"/>
        </w:trPr>
        <w:tc>
          <w:tcPr>
            <w:tcW w:w="680" w:type="dxa"/>
            <w:vAlign w:val="bottom"/>
            <w:tcBorders>
              <w:left w:val="single" w:sz="8" w:color="auto"/>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(File No.</w:t>
            </w:r>
          </w:p>
        </w:tc>
        <w:tc>
          <w:tcPr>
            <w:tcW w:w="740" w:type="dxa"/>
            <w:vAlign w:val="bottom"/>
            <w:tcBorders>
              <w:right w:val="single" w:sz="8" w:color="auto"/>
            </w:tcBorders>
          </w:tcPr>
          <w:p>
            <w:pPr>
              <w:spacing w:after="0"/>
              <w:rPr>
                <w:sz w:val="18"/>
                <w:szCs w:val="18"/>
                <w:color w:val="auto"/>
              </w:rPr>
            </w:pPr>
          </w:p>
        </w:tc>
      </w:tr>
      <w:tr>
        <w:trPr>
          <w:trHeight w:val="216"/>
        </w:trPr>
        <w:tc>
          <w:tcPr>
            <w:tcW w:w="680" w:type="dxa"/>
            <w:vAlign w:val="bottom"/>
            <w:tcBorders>
              <w:left w:val="single" w:sz="8" w:color="auto"/>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333-</w:t>
            </w:r>
          </w:p>
        </w:tc>
        <w:tc>
          <w:tcPr>
            <w:tcW w:w="740" w:type="dxa"/>
            <w:vAlign w:val="bottom"/>
            <w:tcBorders>
              <w:right w:val="single" w:sz="8" w:color="auto"/>
            </w:tcBorders>
          </w:tcPr>
          <w:p>
            <w:pPr>
              <w:spacing w:after="0"/>
              <w:rPr>
                <w:sz w:val="18"/>
                <w:szCs w:val="18"/>
                <w:color w:val="auto"/>
              </w:rPr>
            </w:pPr>
          </w:p>
        </w:tc>
      </w:tr>
      <w:tr>
        <w:trPr>
          <w:trHeight w:val="230"/>
        </w:trPr>
        <w:tc>
          <w:tcPr>
            <w:tcW w:w="680" w:type="dxa"/>
            <w:vAlign w:val="bottom"/>
            <w:tcBorders>
              <w:left w:val="single" w:sz="8" w:color="auto"/>
              <w:bottom w:val="single" w:sz="8" w:color="auto"/>
              <w:right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137916)</w:t>
            </w:r>
          </w:p>
        </w:tc>
        <w:tc>
          <w:tcPr>
            <w:tcW w:w="740" w:type="dxa"/>
            <w:vAlign w:val="bottom"/>
            <w:tcBorders>
              <w:bottom w:val="single" w:sz="8" w:color="auto"/>
              <w:right w:val="single" w:sz="8" w:color="auto"/>
            </w:tcBorders>
          </w:tcPr>
          <w:p>
            <w:pPr>
              <w:spacing w:after="0"/>
              <w:rPr>
                <w:sz w:val="20"/>
                <w:szCs w:val="20"/>
                <w:color w:val="auto"/>
              </w:rPr>
            </w:pPr>
          </w:p>
        </w:tc>
      </w:tr>
      <w:tr>
        <w:trPr>
          <w:trHeight w:val="169"/>
        </w:trPr>
        <w:tc>
          <w:tcPr>
            <w:tcW w:w="680" w:type="dxa"/>
            <w:vAlign w:val="bottom"/>
            <w:tcBorders>
              <w:left w:val="single" w:sz="8" w:color="auto"/>
              <w:right w:val="single" w:sz="8" w:color="auto"/>
            </w:tcBorders>
          </w:tcPr>
          <w:p>
            <w:pPr>
              <w:spacing w:after="0" w:line="170" w:lineRule="exact"/>
              <w:rPr>
                <w:sz w:val="20"/>
                <w:szCs w:val="20"/>
                <w:color w:val="auto"/>
              </w:rPr>
            </w:pPr>
            <w:r>
              <w:rPr>
                <w:rFonts w:ascii="Arial" w:cs="Arial" w:eastAsia="Arial" w:hAnsi="Arial"/>
                <w:sz w:val="18"/>
                <w:szCs w:val="18"/>
                <w:color w:val="auto"/>
              </w:rPr>
              <w:t>10.12</w:t>
            </w:r>
          </w:p>
        </w:tc>
        <w:tc>
          <w:tcPr>
            <w:tcW w:w="5880" w:type="dxa"/>
            <w:vAlign w:val="bottom"/>
            <w:tcBorders>
              <w:bottom w:val="single" w:sz="8" w:color="0000EE"/>
            </w:tcBorders>
            <w:gridSpan w:val="14"/>
          </w:tcPr>
          <w:p>
            <w:pPr>
              <w:spacing w:after="0" w:line="170" w:lineRule="exact"/>
              <w:rPr>
                <w:rFonts w:ascii="Arial" w:cs="Arial" w:eastAsia="Arial" w:hAnsi="Arial"/>
                <w:sz w:val="18"/>
                <w:szCs w:val="18"/>
                <w:color w:val="0000EE"/>
                <w:w w:val="91"/>
              </w:rPr>
            </w:pPr>
            <w:hyperlink r:id="rId150">
              <w:r>
                <w:rPr>
                  <w:rFonts w:ascii="Arial" w:cs="Arial" w:eastAsia="Arial" w:hAnsi="Arial"/>
                  <w:sz w:val="18"/>
                  <w:szCs w:val="18"/>
                  <w:color w:val="0000EE"/>
                  <w:w w:val="91"/>
                </w:rPr>
                <w:t>Guaranty, dated April 13, 2006, by the facility guarantors party thereto in favor of</w:t>
              </w:r>
            </w:hyperlink>
          </w:p>
        </w:tc>
        <w:tc>
          <w:tcPr>
            <w:tcW w:w="400" w:type="dxa"/>
            <w:vAlign w:val="bottom"/>
            <w:tcBorders>
              <w:right w:val="single" w:sz="8" w:color="auto"/>
            </w:tcBorders>
            <w:gridSpan w:val="11"/>
          </w:tcPr>
          <w:p>
            <w:pPr>
              <w:spacing w:after="0"/>
              <w:rPr>
                <w:sz w:val="14"/>
                <w:szCs w:val="14"/>
                <w:color w:val="auto"/>
              </w:rPr>
            </w:pPr>
          </w:p>
        </w:tc>
        <w:tc>
          <w:tcPr>
            <w:tcW w:w="920" w:type="dxa"/>
            <w:vAlign w:val="bottom"/>
            <w:tcBorders>
              <w:right w:val="single" w:sz="8" w:color="auto"/>
            </w:tcBorders>
          </w:tcPr>
          <w:p>
            <w:pPr>
              <w:spacing w:after="0" w:line="170" w:lineRule="exact"/>
              <w:rPr>
                <w:sz w:val="20"/>
                <w:szCs w:val="20"/>
                <w:color w:val="auto"/>
              </w:rPr>
            </w:pPr>
            <w:r>
              <w:rPr>
                <w:rFonts w:ascii="Arial" w:cs="Arial" w:eastAsia="Arial" w:hAnsi="Arial"/>
                <w:sz w:val="18"/>
                <w:szCs w:val="18"/>
                <w:color w:val="auto"/>
                <w:w w:val="91"/>
              </w:rPr>
              <w:t>Registration</w:t>
            </w:r>
          </w:p>
        </w:tc>
        <w:tc>
          <w:tcPr>
            <w:tcW w:w="740" w:type="dxa"/>
            <w:vAlign w:val="bottom"/>
            <w:tcBorders>
              <w:right w:val="single" w:sz="8" w:color="auto"/>
            </w:tcBorders>
          </w:tcPr>
          <w:p>
            <w:pPr>
              <w:spacing w:after="0" w:line="170" w:lineRule="exact"/>
              <w:rPr>
                <w:sz w:val="20"/>
                <w:szCs w:val="20"/>
                <w:color w:val="auto"/>
              </w:rPr>
            </w:pPr>
            <w:r>
              <w:rPr>
                <w:rFonts w:ascii="Arial" w:cs="Arial" w:eastAsia="Arial" w:hAnsi="Arial"/>
                <w:sz w:val="18"/>
                <w:szCs w:val="18"/>
                <w:color w:val="auto"/>
              </w:rPr>
              <w:t>October</w:t>
            </w:r>
          </w:p>
        </w:tc>
      </w:tr>
      <w:tr>
        <w:trPr>
          <w:trHeight w:val="196"/>
        </w:trPr>
        <w:tc>
          <w:tcPr>
            <w:tcW w:w="680" w:type="dxa"/>
            <w:vAlign w:val="bottom"/>
            <w:tcBorders>
              <w:left w:val="single" w:sz="8" w:color="auto"/>
              <w:right w:val="single" w:sz="8" w:color="auto"/>
            </w:tcBorders>
          </w:tcPr>
          <w:p>
            <w:pPr>
              <w:spacing w:after="0"/>
              <w:rPr>
                <w:sz w:val="17"/>
                <w:szCs w:val="17"/>
                <w:color w:val="auto"/>
              </w:rPr>
            </w:pPr>
          </w:p>
        </w:tc>
        <w:tc>
          <w:tcPr>
            <w:tcW w:w="6280" w:type="dxa"/>
            <w:vAlign w:val="bottom"/>
            <w:tcBorders>
              <w:right w:val="single" w:sz="8" w:color="auto"/>
            </w:tcBorders>
            <w:gridSpan w:val="25"/>
          </w:tcPr>
          <w:p>
            <w:pPr>
              <w:spacing w:after="0" w:line="196" w:lineRule="exact"/>
              <w:rPr>
                <w:rFonts w:ascii="Arial" w:cs="Arial" w:eastAsia="Arial" w:hAnsi="Arial"/>
                <w:sz w:val="18"/>
                <w:szCs w:val="18"/>
                <w:color w:val="0000EE"/>
              </w:rPr>
            </w:pPr>
            <w:hyperlink r:id="rId150">
              <w:r>
                <w:rPr>
                  <w:rFonts w:ascii="Arial" w:cs="Arial" w:eastAsia="Arial" w:hAnsi="Arial"/>
                  <w:sz w:val="18"/>
                  <w:szCs w:val="18"/>
                  <w:color w:val="0000EE"/>
                </w:rPr>
                <w:t>Bank of America, N.A., as administrative Agent and Bank of America, N.A., as</w:t>
              </w:r>
            </w:hyperlink>
          </w:p>
        </w:tc>
        <w:tc>
          <w:tcPr>
            <w:tcW w:w="92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Statement</w:t>
            </w:r>
          </w:p>
        </w:tc>
        <w:tc>
          <w:tcPr>
            <w:tcW w:w="74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w w:val="99"/>
              </w:rPr>
              <w:t>10, 2006</w:t>
            </w:r>
          </w:p>
        </w:tc>
      </w:tr>
      <w:tr>
        <w:trPr>
          <w:trHeight w:val="196"/>
        </w:trPr>
        <w:tc>
          <w:tcPr>
            <w:tcW w:w="680" w:type="dxa"/>
            <w:vAlign w:val="bottom"/>
            <w:tcBorders>
              <w:left w:val="single" w:sz="8" w:color="auto"/>
              <w:right w:val="single" w:sz="8" w:color="auto"/>
            </w:tcBorders>
          </w:tcPr>
          <w:p>
            <w:pPr>
              <w:spacing w:after="0"/>
              <w:rPr>
                <w:sz w:val="17"/>
                <w:szCs w:val="17"/>
                <w:color w:val="auto"/>
              </w:rPr>
            </w:pPr>
          </w:p>
        </w:tc>
        <w:tc>
          <w:tcPr>
            <w:tcW w:w="572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r:id="rId150">
              <w:r>
                <w:rPr>
                  <w:rFonts w:ascii="Arial" w:cs="Arial" w:eastAsia="Arial" w:hAnsi="Arial"/>
                  <w:sz w:val="18"/>
                  <w:szCs w:val="18"/>
                  <w:color w:val="0000EE"/>
                </w:rPr>
                <w:t>Collateral Agent.</w:t>
              </w:r>
            </w:hyperlink>
          </w:p>
        </w:tc>
        <w:tc>
          <w:tcPr>
            <w:tcW w:w="560" w:type="dxa"/>
            <w:vAlign w:val="bottom"/>
            <w:tcBorders>
              <w:right w:val="single" w:sz="8" w:color="auto"/>
            </w:tcBorders>
            <w:gridSpan w:val="12"/>
          </w:tcPr>
          <w:p>
            <w:pPr>
              <w:spacing w:after="0"/>
              <w:rPr>
                <w:sz w:val="17"/>
                <w:szCs w:val="17"/>
                <w:color w:val="auto"/>
              </w:rPr>
            </w:pPr>
          </w:p>
        </w:tc>
        <w:tc>
          <w:tcPr>
            <w:tcW w:w="92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w w:val="97"/>
              </w:rPr>
              <w:t>on Form S-</w:t>
            </w:r>
          </w:p>
        </w:tc>
        <w:tc>
          <w:tcPr>
            <w:tcW w:w="740" w:type="dxa"/>
            <w:vAlign w:val="bottom"/>
            <w:tcBorders>
              <w:right w:val="single" w:sz="8" w:color="auto"/>
            </w:tcBorders>
          </w:tcPr>
          <w:p>
            <w:pPr>
              <w:spacing w:after="0"/>
              <w:rPr>
                <w:sz w:val="17"/>
                <w:szCs w:val="17"/>
                <w:color w:val="auto"/>
              </w:rPr>
            </w:pPr>
          </w:p>
        </w:tc>
      </w:tr>
      <w:tr>
        <w:trPr>
          <w:trHeight w:val="222"/>
        </w:trPr>
        <w:tc>
          <w:tcPr>
            <w:tcW w:w="680" w:type="dxa"/>
            <w:vAlign w:val="bottom"/>
            <w:tcBorders>
              <w:left w:val="single" w:sz="8" w:color="auto"/>
              <w:right w:val="single" w:sz="8" w:color="auto"/>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4</w:t>
            </w:r>
          </w:p>
        </w:tc>
        <w:tc>
          <w:tcPr>
            <w:tcW w:w="740" w:type="dxa"/>
            <w:vAlign w:val="bottom"/>
            <w:tcBorders>
              <w:right w:val="single" w:sz="8" w:color="auto"/>
            </w:tcBorders>
          </w:tcPr>
          <w:p>
            <w:pPr>
              <w:spacing w:after="0"/>
              <w:rPr>
                <w:sz w:val="19"/>
                <w:szCs w:val="19"/>
                <w:color w:val="auto"/>
              </w:rPr>
            </w:pPr>
          </w:p>
        </w:tc>
      </w:tr>
      <w:tr>
        <w:trPr>
          <w:trHeight w:val="216"/>
        </w:trPr>
        <w:tc>
          <w:tcPr>
            <w:tcW w:w="680" w:type="dxa"/>
            <w:vAlign w:val="bottom"/>
            <w:tcBorders>
              <w:left w:val="single" w:sz="8" w:color="auto"/>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(File No.</w:t>
            </w:r>
          </w:p>
        </w:tc>
        <w:tc>
          <w:tcPr>
            <w:tcW w:w="740" w:type="dxa"/>
            <w:vAlign w:val="bottom"/>
            <w:tcBorders>
              <w:right w:val="single" w:sz="8" w:color="auto"/>
            </w:tcBorders>
          </w:tcPr>
          <w:p>
            <w:pPr>
              <w:spacing w:after="0"/>
              <w:rPr>
                <w:sz w:val="18"/>
                <w:szCs w:val="18"/>
                <w:color w:val="auto"/>
              </w:rPr>
            </w:pPr>
          </w:p>
        </w:tc>
      </w:tr>
      <w:tr>
        <w:trPr>
          <w:trHeight w:val="216"/>
        </w:trPr>
        <w:tc>
          <w:tcPr>
            <w:tcW w:w="680" w:type="dxa"/>
            <w:vAlign w:val="bottom"/>
            <w:tcBorders>
              <w:left w:val="single" w:sz="8" w:color="auto"/>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333-</w:t>
            </w:r>
          </w:p>
        </w:tc>
        <w:tc>
          <w:tcPr>
            <w:tcW w:w="740" w:type="dxa"/>
            <w:vAlign w:val="bottom"/>
            <w:tcBorders>
              <w:right w:val="single" w:sz="8" w:color="auto"/>
            </w:tcBorders>
          </w:tcPr>
          <w:p>
            <w:pPr>
              <w:spacing w:after="0"/>
              <w:rPr>
                <w:sz w:val="18"/>
                <w:szCs w:val="18"/>
                <w:color w:val="auto"/>
              </w:rPr>
            </w:pPr>
          </w:p>
        </w:tc>
      </w:tr>
      <w:tr>
        <w:trPr>
          <w:trHeight w:val="230"/>
        </w:trPr>
        <w:tc>
          <w:tcPr>
            <w:tcW w:w="680" w:type="dxa"/>
            <w:vAlign w:val="bottom"/>
            <w:tcBorders>
              <w:left w:val="single" w:sz="8" w:color="auto"/>
              <w:bottom w:val="single" w:sz="8" w:color="auto"/>
              <w:right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137916)</w:t>
            </w:r>
          </w:p>
        </w:tc>
        <w:tc>
          <w:tcPr>
            <w:tcW w:w="740" w:type="dxa"/>
            <w:vAlign w:val="bottom"/>
            <w:tcBorders>
              <w:bottom w:val="single" w:sz="8" w:color="auto"/>
              <w:right w:val="single" w:sz="8" w:color="auto"/>
            </w:tcBorders>
          </w:tcPr>
          <w:p>
            <w:pPr>
              <w:spacing w:after="0"/>
              <w:rPr>
                <w:sz w:val="20"/>
                <w:szCs w:val="20"/>
                <w:color w:val="auto"/>
              </w:rPr>
            </w:pPr>
          </w:p>
        </w:tc>
      </w:tr>
      <w:tr>
        <w:trPr>
          <w:trHeight w:val="169"/>
        </w:trPr>
        <w:tc>
          <w:tcPr>
            <w:tcW w:w="680" w:type="dxa"/>
            <w:vAlign w:val="bottom"/>
            <w:tcBorders>
              <w:left w:val="single" w:sz="8" w:color="auto"/>
              <w:right w:val="single" w:sz="8" w:color="auto"/>
            </w:tcBorders>
          </w:tcPr>
          <w:p>
            <w:pPr>
              <w:spacing w:after="0" w:line="170" w:lineRule="exact"/>
              <w:rPr>
                <w:sz w:val="20"/>
                <w:szCs w:val="20"/>
                <w:color w:val="auto"/>
              </w:rPr>
            </w:pPr>
            <w:r>
              <w:rPr>
                <w:rFonts w:ascii="Arial" w:cs="Arial" w:eastAsia="Arial" w:hAnsi="Arial"/>
                <w:sz w:val="18"/>
                <w:szCs w:val="18"/>
                <w:color w:val="auto"/>
              </w:rPr>
              <w:t>10.13</w:t>
            </w:r>
          </w:p>
        </w:tc>
        <w:tc>
          <w:tcPr>
            <w:tcW w:w="6160" w:type="dxa"/>
            <w:vAlign w:val="bottom"/>
            <w:tcBorders>
              <w:bottom w:val="single" w:sz="8" w:color="0000EE"/>
            </w:tcBorders>
            <w:gridSpan w:val="22"/>
          </w:tcPr>
          <w:p>
            <w:pPr>
              <w:spacing w:after="0" w:line="170" w:lineRule="exact"/>
              <w:rPr>
                <w:rFonts w:ascii="Arial" w:cs="Arial" w:eastAsia="Arial" w:hAnsi="Arial"/>
                <w:sz w:val="18"/>
                <w:szCs w:val="18"/>
                <w:color w:val="0000EE"/>
                <w:w w:val="90"/>
              </w:rPr>
            </w:pPr>
            <w:hyperlink r:id="rId151">
              <w:r>
                <w:rPr>
                  <w:rFonts w:ascii="Arial" w:cs="Arial" w:eastAsia="Arial" w:hAnsi="Arial"/>
                  <w:sz w:val="18"/>
                  <w:szCs w:val="18"/>
                  <w:color w:val="0000EE"/>
                  <w:w w:val="90"/>
                </w:rPr>
                <w:t>Security Agreement, dated April 13, 2006, by and among each of the borrowers party</w:t>
              </w:r>
            </w:hyperlink>
          </w:p>
        </w:tc>
        <w:tc>
          <w:tcPr>
            <w:tcW w:w="120" w:type="dxa"/>
            <w:vAlign w:val="bottom"/>
            <w:tcBorders>
              <w:right w:val="single" w:sz="8" w:color="auto"/>
            </w:tcBorders>
            <w:gridSpan w:val="3"/>
          </w:tcPr>
          <w:p>
            <w:pPr>
              <w:spacing w:after="0"/>
              <w:rPr>
                <w:sz w:val="14"/>
                <w:szCs w:val="14"/>
                <w:color w:val="auto"/>
              </w:rPr>
            </w:pPr>
          </w:p>
        </w:tc>
        <w:tc>
          <w:tcPr>
            <w:tcW w:w="920" w:type="dxa"/>
            <w:vAlign w:val="bottom"/>
            <w:tcBorders>
              <w:right w:val="single" w:sz="8" w:color="auto"/>
            </w:tcBorders>
          </w:tcPr>
          <w:p>
            <w:pPr>
              <w:spacing w:after="0" w:line="170" w:lineRule="exact"/>
              <w:rPr>
                <w:sz w:val="20"/>
                <w:szCs w:val="20"/>
                <w:color w:val="auto"/>
              </w:rPr>
            </w:pPr>
            <w:r>
              <w:rPr>
                <w:rFonts w:ascii="Arial" w:cs="Arial" w:eastAsia="Arial" w:hAnsi="Arial"/>
                <w:sz w:val="18"/>
                <w:szCs w:val="18"/>
                <w:color w:val="auto"/>
                <w:w w:val="91"/>
              </w:rPr>
              <w:t>Registration</w:t>
            </w:r>
          </w:p>
        </w:tc>
        <w:tc>
          <w:tcPr>
            <w:tcW w:w="740" w:type="dxa"/>
            <w:vAlign w:val="bottom"/>
            <w:tcBorders>
              <w:right w:val="single" w:sz="8" w:color="auto"/>
            </w:tcBorders>
          </w:tcPr>
          <w:p>
            <w:pPr>
              <w:spacing w:after="0" w:line="170" w:lineRule="exact"/>
              <w:rPr>
                <w:sz w:val="20"/>
                <w:szCs w:val="20"/>
                <w:color w:val="auto"/>
              </w:rPr>
            </w:pPr>
            <w:r>
              <w:rPr>
                <w:rFonts w:ascii="Arial" w:cs="Arial" w:eastAsia="Arial" w:hAnsi="Arial"/>
                <w:sz w:val="18"/>
                <w:szCs w:val="18"/>
                <w:color w:val="auto"/>
              </w:rPr>
              <w:t>October</w:t>
            </w:r>
          </w:p>
        </w:tc>
      </w:tr>
      <w:tr>
        <w:trPr>
          <w:trHeight w:val="196"/>
        </w:trPr>
        <w:tc>
          <w:tcPr>
            <w:tcW w:w="680" w:type="dxa"/>
            <w:vAlign w:val="bottom"/>
            <w:tcBorders>
              <w:left w:val="single" w:sz="8" w:color="auto"/>
              <w:right w:val="single" w:sz="8" w:color="auto"/>
            </w:tcBorders>
          </w:tcPr>
          <w:p>
            <w:pPr>
              <w:spacing w:after="0"/>
              <w:rPr>
                <w:sz w:val="17"/>
                <w:szCs w:val="17"/>
                <w:color w:val="auto"/>
              </w:rPr>
            </w:pPr>
          </w:p>
        </w:tc>
        <w:tc>
          <w:tcPr>
            <w:tcW w:w="600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r:id="rId151">
              <w:r>
                <w:rPr>
                  <w:rFonts w:ascii="Arial" w:cs="Arial" w:eastAsia="Arial" w:hAnsi="Arial"/>
                  <w:sz w:val="18"/>
                  <w:szCs w:val="18"/>
                  <w:color w:val="0000EE"/>
                  <w:w w:val="90"/>
                </w:rPr>
                <w:t>thereto, each of the facility guarantors party thereto, and Bank of America, N.A., as</w:t>
              </w:r>
            </w:hyperlink>
          </w:p>
        </w:tc>
        <w:tc>
          <w:tcPr>
            <w:tcW w:w="280" w:type="dxa"/>
            <w:vAlign w:val="bottom"/>
            <w:tcBorders>
              <w:right w:val="single" w:sz="8" w:color="auto"/>
            </w:tcBorders>
            <w:gridSpan w:val="7"/>
          </w:tcPr>
          <w:p>
            <w:pPr>
              <w:spacing w:after="0"/>
              <w:rPr>
                <w:sz w:val="17"/>
                <w:szCs w:val="17"/>
                <w:color w:val="auto"/>
              </w:rPr>
            </w:pPr>
          </w:p>
        </w:tc>
        <w:tc>
          <w:tcPr>
            <w:tcW w:w="92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Statement</w:t>
            </w:r>
          </w:p>
        </w:tc>
        <w:tc>
          <w:tcPr>
            <w:tcW w:w="74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w w:val="99"/>
              </w:rPr>
              <w:t>10, 2006</w:t>
            </w:r>
          </w:p>
        </w:tc>
      </w:tr>
      <w:tr>
        <w:trPr>
          <w:trHeight w:val="196"/>
        </w:trPr>
        <w:tc>
          <w:tcPr>
            <w:tcW w:w="680" w:type="dxa"/>
            <w:vAlign w:val="bottom"/>
            <w:tcBorders>
              <w:left w:val="single" w:sz="8" w:color="auto"/>
              <w:right w:val="single" w:sz="8" w:color="auto"/>
            </w:tcBorders>
          </w:tcPr>
          <w:p>
            <w:pPr>
              <w:spacing w:after="0"/>
              <w:rPr>
                <w:sz w:val="17"/>
                <w:szCs w:val="17"/>
                <w:color w:val="auto"/>
              </w:rPr>
            </w:pPr>
          </w:p>
        </w:tc>
        <w:tc>
          <w:tcPr>
            <w:tcW w:w="6280" w:type="dxa"/>
            <w:vAlign w:val="bottom"/>
            <w:tcBorders>
              <w:right w:val="single" w:sz="8" w:color="auto"/>
            </w:tcBorders>
            <w:gridSpan w:val="25"/>
          </w:tcPr>
          <w:p>
            <w:pPr>
              <w:spacing w:after="0" w:line="196" w:lineRule="exact"/>
              <w:rPr>
                <w:rFonts w:ascii="Arial" w:cs="Arial" w:eastAsia="Arial" w:hAnsi="Arial"/>
                <w:sz w:val="18"/>
                <w:szCs w:val="18"/>
                <w:color w:val="0000EE"/>
              </w:rPr>
            </w:pPr>
            <w:hyperlink r:id="rId151">
              <w:r>
                <w:rPr>
                  <w:rFonts w:ascii="Arial" w:cs="Arial" w:eastAsia="Arial" w:hAnsi="Arial"/>
                  <w:sz w:val="18"/>
                  <w:szCs w:val="18"/>
                  <w:color w:val="0000EE"/>
                </w:rPr>
                <w:t>collateral agent.</w:t>
              </w:r>
            </w:hyperlink>
          </w:p>
        </w:tc>
        <w:tc>
          <w:tcPr>
            <w:tcW w:w="92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w w:val="97"/>
              </w:rPr>
              <w:t>on Form S-</w:t>
            </w:r>
          </w:p>
        </w:tc>
        <w:tc>
          <w:tcPr>
            <w:tcW w:w="740" w:type="dxa"/>
            <w:vAlign w:val="bottom"/>
            <w:tcBorders>
              <w:right w:val="single" w:sz="8" w:color="auto"/>
            </w:tcBorders>
          </w:tcPr>
          <w:p>
            <w:pPr>
              <w:spacing w:after="0"/>
              <w:rPr>
                <w:sz w:val="17"/>
                <w:szCs w:val="17"/>
                <w:color w:val="auto"/>
              </w:rPr>
            </w:pPr>
          </w:p>
        </w:tc>
      </w:tr>
      <w:tr>
        <w:trPr>
          <w:trHeight w:val="222"/>
        </w:trPr>
        <w:tc>
          <w:tcPr>
            <w:tcW w:w="680" w:type="dxa"/>
            <w:vAlign w:val="bottom"/>
            <w:tcBorders>
              <w:left w:val="single" w:sz="8" w:color="auto"/>
              <w:right w:val="single" w:sz="8" w:color="auto"/>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4</w:t>
            </w:r>
          </w:p>
        </w:tc>
        <w:tc>
          <w:tcPr>
            <w:tcW w:w="740" w:type="dxa"/>
            <w:vAlign w:val="bottom"/>
            <w:tcBorders>
              <w:right w:val="single" w:sz="8" w:color="auto"/>
            </w:tcBorders>
          </w:tcPr>
          <w:p>
            <w:pPr>
              <w:spacing w:after="0"/>
              <w:rPr>
                <w:sz w:val="19"/>
                <w:szCs w:val="19"/>
                <w:color w:val="auto"/>
              </w:rPr>
            </w:pPr>
          </w:p>
        </w:tc>
      </w:tr>
      <w:tr>
        <w:trPr>
          <w:trHeight w:val="216"/>
        </w:trPr>
        <w:tc>
          <w:tcPr>
            <w:tcW w:w="680" w:type="dxa"/>
            <w:vAlign w:val="bottom"/>
            <w:tcBorders>
              <w:left w:val="single" w:sz="8" w:color="auto"/>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(File No.</w:t>
            </w:r>
          </w:p>
        </w:tc>
        <w:tc>
          <w:tcPr>
            <w:tcW w:w="740" w:type="dxa"/>
            <w:vAlign w:val="bottom"/>
            <w:tcBorders>
              <w:right w:val="single" w:sz="8" w:color="auto"/>
            </w:tcBorders>
          </w:tcPr>
          <w:p>
            <w:pPr>
              <w:spacing w:after="0"/>
              <w:rPr>
                <w:sz w:val="18"/>
                <w:szCs w:val="18"/>
                <w:color w:val="auto"/>
              </w:rPr>
            </w:pPr>
          </w:p>
        </w:tc>
      </w:tr>
      <w:tr>
        <w:trPr>
          <w:trHeight w:val="216"/>
        </w:trPr>
        <w:tc>
          <w:tcPr>
            <w:tcW w:w="680" w:type="dxa"/>
            <w:vAlign w:val="bottom"/>
            <w:tcBorders>
              <w:left w:val="single" w:sz="8" w:color="auto"/>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333-</w:t>
            </w:r>
          </w:p>
        </w:tc>
        <w:tc>
          <w:tcPr>
            <w:tcW w:w="740" w:type="dxa"/>
            <w:vAlign w:val="bottom"/>
            <w:tcBorders>
              <w:right w:val="single" w:sz="8" w:color="auto"/>
            </w:tcBorders>
          </w:tcPr>
          <w:p>
            <w:pPr>
              <w:spacing w:after="0"/>
              <w:rPr>
                <w:sz w:val="18"/>
                <w:szCs w:val="18"/>
                <w:color w:val="auto"/>
              </w:rPr>
            </w:pPr>
          </w:p>
        </w:tc>
      </w:tr>
      <w:tr>
        <w:trPr>
          <w:trHeight w:val="230"/>
        </w:trPr>
        <w:tc>
          <w:tcPr>
            <w:tcW w:w="680" w:type="dxa"/>
            <w:vAlign w:val="bottom"/>
            <w:tcBorders>
              <w:left w:val="single" w:sz="8" w:color="auto"/>
              <w:bottom w:val="single" w:sz="8" w:color="auto"/>
              <w:right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137916)</w:t>
            </w:r>
          </w:p>
        </w:tc>
        <w:tc>
          <w:tcPr>
            <w:tcW w:w="740" w:type="dxa"/>
            <w:vAlign w:val="bottom"/>
            <w:tcBorders>
              <w:bottom w:val="single" w:sz="8" w:color="auto"/>
              <w:right w:val="single" w:sz="8" w:color="auto"/>
            </w:tcBorders>
          </w:tcPr>
          <w:p>
            <w:pPr>
              <w:spacing w:after="0"/>
              <w:rPr>
                <w:sz w:val="20"/>
                <w:szCs w:val="20"/>
                <w:color w:val="auto"/>
              </w:rPr>
            </w:pPr>
          </w:p>
        </w:tc>
      </w:tr>
      <w:tr>
        <w:trPr>
          <w:trHeight w:val="169"/>
        </w:trPr>
        <w:tc>
          <w:tcPr>
            <w:tcW w:w="680" w:type="dxa"/>
            <w:vAlign w:val="bottom"/>
            <w:tcBorders>
              <w:left w:val="single" w:sz="8" w:color="auto"/>
              <w:right w:val="single" w:sz="8" w:color="auto"/>
            </w:tcBorders>
          </w:tcPr>
          <w:p>
            <w:pPr>
              <w:spacing w:after="0" w:line="170" w:lineRule="exact"/>
              <w:rPr>
                <w:sz w:val="20"/>
                <w:szCs w:val="20"/>
                <w:color w:val="auto"/>
              </w:rPr>
            </w:pPr>
            <w:r>
              <w:rPr>
                <w:rFonts w:ascii="Arial" w:cs="Arial" w:eastAsia="Arial" w:hAnsi="Arial"/>
                <w:sz w:val="18"/>
                <w:szCs w:val="18"/>
                <w:color w:val="auto"/>
              </w:rPr>
              <w:t>10.14</w:t>
            </w:r>
          </w:p>
        </w:tc>
        <w:tc>
          <w:tcPr>
            <w:tcW w:w="6280" w:type="dxa"/>
            <w:vAlign w:val="bottom"/>
            <w:tcBorders>
              <w:right w:val="single" w:sz="8" w:color="auto"/>
            </w:tcBorders>
            <w:gridSpan w:val="25"/>
          </w:tcPr>
          <w:p>
            <w:pPr>
              <w:spacing w:after="0" w:line="170" w:lineRule="exact"/>
              <w:rPr>
                <w:rFonts w:ascii="Arial" w:cs="Arial" w:eastAsia="Arial" w:hAnsi="Arial"/>
                <w:sz w:val="18"/>
                <w:szCs w:val="18"/>
                <w:color w:val="0000EE"/>
                <w:w w:val="91"/>
              </w:rPr>
            </w:pPr>
            <w:hyperlink r:id="rId152">
              <w:r>
                <w:rPr>
                  <w:rFonts w:ascii="Arial" w:cs="Arial" w:eastAsia="Arial" w:hAnsi="Arial"/>
                  <w:sz w:val="18"/>
                  <w:szCs w:val="18"/>
                  <w:color w:val="0000EE"/>
                  <w:w w:val="91"/>
                </w:rPr>
                <w:t>Intellectual Property Security Agreement, dated April 13, 2006, by and among each of</w:t>
              </w:r>
            </w:hyperlink>
          </w:p>
        </w:tc>
        <w:tc>
          <w:tcPr>
            <w:tcW w:w="920" w:type="dxa"/>
            <w:vAlign w:val="bottom"/>
            <w:tcBorders>
              <w:right w:val="single" w:sz="8" w:color="auto"/>
            </w:tcBorders>
          </w:tcPr>
          <w:p>
            <w:pPr>
              <w:spacing w:after="0" w:line="170" w:lineRule="exact"/>
              <w:rPr>
                <w:sz w:val="20"/>
                <w:szCs w:val="20"/>
                <w:color w:val="auto"/>
              </w:rPr>
            </w:pPr>
            <w:r>
              <w:rPr>
                <w:rFonts w:ascii="Arial" w:cs="Arial" w:eastAsia="Arial" w:hAnsi="Arial"/>
                <w:sz w:val="18"/>
                <w:szCs w:val="18"/>
                <w:color w:val="auto"/>
                <w:w w:val="91"/>
              </w:rPr>
              <w:t>Registration</w:t>
            </w:r>
          </w:p>
        </w:tc>
        <w:tc>
          <w:tcPr>
            <w:tcW w:w="740" w:type="dxa"/>
            <w:vAlign w:val="bottom"/>
            <w:tcBorders>
              <w:right w:val="single" w:sz="8" w:color="auto"/>
            </w:tcBorders>
          </w:tcPr>
          <w:p>
            <w:pPr>
              <w:spacing w:after="0" w:line="170" w:lineRule="exact"/>
              <w:rPr>
                <w:sz w:val="20"/>
                <w:szCs w:val="20"/>
                <w:color w:val="auto"/>
              </w:rPr>
            </w:pPr>
            <w:r>
              <w:rPr>
                <w:rFonts w:ascii="Arial" w:cs="Arial" w:eastAsia="Arial" w:hAnsi="Arial"/>
                <w:sz w:val="18"/>
                <w:szCs w:val="18"/>
                <w:color w:val="auto"/>
              </w:rPr>
              <w:t>October</w:t>
            </w:r>
          </w:p>
        </w:tc>
      </w:tr>
      <w:tr>
        <w:trPr>
          <w:trHeight w:val="196"/>
        </w:trPr>
        <w:tc>
          <w:tcPr>
            <w:tcW w:w="680" w:type="dxa"/>
            <w:vAlign w:val="bottom"/>
            <w:tcBorders>
              <w:left w:val="single" w:sz="8" w:color="auto"/>
              <w:right w:val="single" w:sz="8" w:color="auto"/>
            </w:tcBorders>
          </w:tcPr>
          <w:p>
            <w:pPr>
              <w:spacing w:after="0"/>
              <w:rPr>
                <w:sz w:val="17"/>
                <w:szCs w:val="17"/>
                <w:color w:val="auto"/>
              </w:rPr>
            </w:pPr>
          </w:p>
        </w:tc>
        <w:tc>
          <w:tcPr>
            <w:tcW w:w="6120" w:type="dxa"/>
            <w:vAlign w:val="bottom"/>
            <w:tcBorders>
              <w:top w:val="single" w:sz="8" w:color="0000EE"/>
              <w:bottom w:val="single" w:sz="8" w:color="0000EE"/>
            </w:tcBorders>
            <w:gridSpan w:val="20"/>
          </w:tcPr>
          <w:p>
            <w:pPr>
              <w:spacing w:after="0" w:line="196" w:lineRule="exact"/>
              <w:rPr>
                <w:rFonts w:ascii="Arial" w:cs="Arial" w:eastAsia="Arial" w:hAnsi="Arial"/>
                <w:sz w:val="18"/>
                <w:szCs w:val="18"/>
                <w:color w:val="0000EE"/>
                <w:w w:val="90"/>
              </w:rPr>
            </w:pPr>
            <w:hyperlink r:id="rId152">
              <w:r>
                <w:rPr>
                  <w:rFonts w:ascii="Arial" w:cs="Arial" w:eastAsia="Arial" w:hAnsi="Arial"/>
                  <w:sz w:val="18"/>
                  <w:szCs w:val="18"/>
                  <w:color w:val="0000EE"/>
                  <w:w w:val="90"/>
                </w:rPr>
                <w:t>the borrowers party thereto, each of the facility guarantors party thereto, and Bank of</w:t>
              </w:r>
            </w:hyperlink>
          </w:p>
        </w:tc>
        <w:tc>
          <w:tcPr>
            <w:tcW w:w="80" w:type="dxa"/>
            <w:vAlign w:val="bottom"/>
            <w:tcBorders>
              <w:top w:val="single" w:sz="8" w:color="0000EE"/>
            </w:tcBorders>
            <w:gridSpan w:val="4"/>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Statement</w:t>
            </w:r>
          </w:p>
        </w:tc>
        <w:tc>
          <w:tcPr>
            <w:tcW w:w="74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w w:val="99"/>
              </w:rPr>
              <w:t>10, 2006</w:t>
            </w:r>
          </w:p>
        </w:tc>
      </w:tr>
      <w:tr>
        <w:trPr>
          <w:trHeight w:val="196"/>
        </w:trPr>
        <w:tc>
          <w:tcPr>
            <w:tcW w:w="680" w:type="dxa"/>
            <w:vAlign w:val="bottom"/>
            <w:tcBorders>
              <w:left w:val="single" w:sz="8" w:color="auto"/>
              <w:right w:val="single" w:sz="8" w:color="auto"/>
            </w:tcBorders>
          </w:tcPr>
          <w:p>
            <w:pPr>
              <w:spacing w:after="0"/>
              <w:rPr>
                <w:sz w:val="17"/>
                <w:szCs w:val="17"/>
                <w:color w:val="auto"/>
              </w:rPr>
            </w:pPr>
          </w:p>
        </w:tc>
        <w:tc>
          <w:tcPr>
            <w:tcW w:w="6280" w:type="dxa"/>
            <w:vAlign w:val="bottom"/>
            <w:tcBorders>
              <w:right w:val="single" w:sz="8" w:color="auto"/>
            </w:tcBorders>
            <w:gridSpan w:val="25"/>
          </w:tcPr>
          <w:p>
            <w:pPr>
              <w:spacing w:after="0" w:line="196" w:lineRule="exact"/>
              <w:rPr>
                <w:rFonts w:ascii="Arial" w:cs="Arial" w:eastAsia="Arial" w:hAnsi="Arial"/>
                <w:sz w:val="18"/>
                <w:szCs w:val="18"/>
                <w:color w:val="0000EE"/>
              </w:rPr>
            </w:pPr>
            <w:hyperlink r:id="rId152">
              <w:r>
                <w:rPr>
                  <w:rFonts w:ascii="Arial" w:cs="Arial" w:eastAsia="Arial" w:hAnsi="Arial"/>
                  <w:sz w:val="18"/>
                  <w:szCs w:val="18"/>
                  <w:color w:val="0000EE"/>
                </w:rPr>
                <w:t>America, N.A., as collateral agent.</w:t>
              </w:r>
            </w:hyperlink>
          </w:p>
        </w:tc>
        <w:tc>
          <w:tcPr>
            <w:tcW w:w="92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w w:val="97"/>
              </w:rPr>
              <w:t>on Form S-</w:t>
            </w:r>
          </w:p>
        </w:tc>
        <w:tc>
          <w:tcPr>
            <w:tcW w:w="740" w:type="dxa"/>
            <w:vAlign w:val="bottom"/>
            <w:tcBorders>
              <w:right w:val="single" w:sz="8" w:color="auto"/>
            </w:tcBorders>
          </w:tcPr>
          <w:p>
            <w:pPr>
              <w:spacing w:after="0"/>
              <w:rPr>
                <w:sz w:val="17"/>
                <w:szCs w:val="17"/>
                <w:color w:val="auto"/>
              </w:rPr>
            </w:pPr>
          </w:p>
        </w:tc>
      </w:tr>
      <w:tr>
        <w:trPr>
          <w:trHeight w:val="222"/>
        </w:trPr>
        <w:tc>
          <w:tcPr>
            <w:tcW w:w="680" w:type="dxa"/>
            <w:vAlign w:val="bottom"/>
            <w:tcBorders>
              <w:left w:val="single" w:sz="8" w:color="auto"/>
              <w:right w:val="single" w:sz="8" w:color="auto"/>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560" w:type="dxa"/>
            <w:vAlign w:val="bottom"/>
            <w:tcBorders>
              <w:top w:val="single" w:sz="8" w:color="0000EE"/>
            </w:tcBorders>
          </w:tcPr>
          <w:p>
            <w:pPr>
              <w:spacing w:after="0"/>
              <w:rPr>
                <w:sz w:val="19"/>
                <w:szCs w:val="19"/>
                <w:color w:val="auto"/>
              </w:rPr>
            </w:pPr>
          </w:p>
        </w:tc>
        <w:tc>
          <w:tcPr>
            <w:tcW w:w="700" w:type="dxa"/>
            <w:vAlign w:val="bottom"/>
            <w:tcBorders>
              <w:top w:val="single" w:sz="8" w:color="0000EE"/>
            </w:tcBorders>
          </w:tcPr>
          <w:p>
            <w:pPr>
              <w:spacing w:after="0"/>
              <w:rPr>
                <w:sz w:val="19"/>
                <w:szCs w:val="19"/>
                <w:color w:val="auto"/>
              </w:rPr>
            </w:pPr>
          </w:p>
        </w:tc>
        <w:tc>
          <w:tcPr>
            <w:tcW w:w="19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4</w:t>
            </w:r>
          </w:p>
        </w:tc>
        <w:tc>
          <w:tcPr>
            <w:tcW w:w="740" w:type="dxa"/>
            <w:vAlign w:val="bottom"/>
            <w:tcBorders>
              <w:right w:val="single" w:sz="8" w:color="auto"/>
            </w:tcBorders>
          </w:tcPr>
          <w:p>
            <w:pPr>
              <w:spacing w:after="0"/>
              <w:rPr>
                <w:sz w:val="19"/>
                <w:szCs w:val="19"/>
                <w:color w:val="auto"/>
              </w:rPr>
            </w:pPr>
          </w:p>
        </w:tc>
      </w:tr>
      <w:tr>
        <w:trPr>
          <w:trHeight w:val="216"/>
        </w:trPr>
        <w:tc>
          <w:tcPr>
            <w:tcW w:w="680" w:type="dxa"/>
            <w:vAlign w:val="bottom"/>
            <w:tcBorders>
              <w:left w:val="single" w:sz="8" w:color="auto"/>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(File No.</w:t>
            </w:r>
          </w:p>
        </w:tc>
        <w:tc>
          <w:tcPr>
            <w:tcW w:w="740" w:type="dxa"/>
            <w:vAlign w:val="bottom"/>
            <w:tcBorders>
              <w:right w:val="single" w:sz="8" w:color="auto"/>
            </w:tcBorders>
          </w:tcPr>
          <w:p>
            <w:pPr>
              <w:spacing w:after="0"/>
              <w:rPr>
                <w:sz w:val="18"/>
                <w:szCs w:val="18"/>
                <w:color w:val="auto"/>
              </w:rPr>
            </w:pPr>
          </w:p>
        </w:tc>
      </w:tr>
      <w:tr>
        <w:trPr>
          <w:trHeight w:val="216"/>
        </w:trPr>
        <w:tc>
          <w:tcPr>
            <w:tcW w:w="680" w:type="dxa"/>
            <w:vAlign w:val="bottom"/>
            <w:tcBorders>
              <w:left w:val="single" w:sz="8" w:color="auto"/>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333-</w:t>
            </w:r>
          </w:p>
        </w:tc>
        <w:tc>
          <w:tcPr>
            <w:tcW w:w="740" w:type="dxa"/>
            <w:vAlign w:val="bottom"/>
            <w:tcBorders>
              <w:right w:val="single" w:sz="8" w:color="auto"/>
            </w:tcBorders>
          </w:tcPr>
          <w:p>
            <w:pPr>
              <w:spacing w:after="0"/>
              <w:rPr>
                <w:sz w:val="18"/>
                <w:szCs w:val="18"/>
                <w:color w:val="auto"/>
              </w:rPr>
            </w:pPr>
          </w:p>
        </w:tc>
      </w:tr>
      <w:tr>
        <w:trPr>
          <w:trHeight w:val="230"/>
        </w:trPr>
        <w:tc>
          <w:tcPr>
            <w:tcW w:w="680" w:type="dxa"/>
            <w:vAlign w:val="bottom"/>
            <w:tcBorders>
              <w:left w:val="single" w:sz="8" w:color="auto"/>
              <w:bottom w:val="single" w:sz="8" w:color="auto"/>
              <w:right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137916)</w:t>
            </w:r>
          </w:p>
        </w:tc>
        <w:tc>
          <w:tcPr>
            <w:tcW w:w="740" w:type="dxa"/>
            <w:vAlign w:val="bottom"/>
            <w:tcBorders>
              <w:bottom w:val="single" w:sz="8" w:color="auto"/>
              <w:right w:val="single" w:sz="8" w:color="auto"/>
            </w:tcBorders>
          </w:tcPr>
          <w:p>
            <w:pPr>
              <w:spacing w:after="0"/>
              <w:rPr>
                <w:sz w:val="20"/>
                <w:szCs w:val="20"/>
                <w:color w:val="auto"/>
              </w:rPr>
            </w:pPr>
          </w:p>
        </w:tc>
      </w:tr>
      <w:tr>
        <w:trPr>
          <w:trHeight w:val="169"/>
        </w:trPr>
        <w:tc>
          <w:tcPr>
            <w:tcW w:w="680" w:type="dxa"/>
            <w:vAlign w:val="bottom"/>
            <w:tcBorders>
              <w:left w:val="single" w:sz="8" w:color="auto"/>
              <w:right w:val="single" w:sz="8" w:color="auto"/>
            </w:tcBorders>
          </w:tcPr>
          <w:p>
            <w:pPr>
              <w:spacing w:after="0" w:line="170" w:lineRule="exact"/>
              <w:rPr>
                <w:sz w:val="20"/>
                <w:szCs w:val="20"/>
                <w:color w:val="auto"/>
              </w:rPr>
            </w:pPr>
            <w:r>
              <w:rPr>
                <w:rFonts w:ascii="Arial" w:cs="Arial" w:eastAsia="Arial" w:hAnsi="Arial"/>
                <w:sz w:val="18"/>
                <w:szCs w:val="18"/>
                <w:color w:val="auto"/>
              </w:rPr>
              <w:t>10.15</w:t>
            </w:r>
          </w:p>
        </w:tc>
        <w:tc>
          <w:tcPr>
            <w:tcW w:w="5920" w:type="dxa"/>
            <w:vAlign w:val="bottom"/>
            <w:tcBorders>
              <w:bottom w:val="single" w:sz="8" w:color="0000EE"/>
            </w:tcBorders>
            <w:gridSpan w:val="15"/>
          </w:tcPr>
          <w:p>
            <w:pPr>
              <w:spacing w:after="0" w:line="170" w:lineRule="exact"/>
              <w:rPr>
                <w:rFonts w:ascii="Arial" w:cs="Arial" w:eastAsia="Arial" w:hAnsi="Arial"/>
                <w:sz w:val="18"/>
                <w:szCs w:val="18"/>
                <w:color w:val="0000EE"/>
                <w:w w:val="90"/>
              </w:rPr>
            </w:pPr>
            <w:hyperlink r:id="rId153">
              <w:r>
                <w:rPr>
                  <w:rFonts w:ascii="Arial" w:cs="Arial" w:eastAsia="Arial" w:hAnsi="Arial"/>
                  <w:sz w:val="18"/>
                  <w:szCs w:val="18"/>
                  <w:color w:val="0000EE"/>
                  <w:w w:val="90"/>
                </w:rPr>
                <w:t>Pledge Agreement, dated April 13, 2006, by and between Burlington Coat Factory</w:t>
              </w:r>
            </w:hyperlink>
          </w:p>
        </w:tc>
        <w:tc>
          <w:tcPr>
            <w:tcW w:w="360" w:type="dxa"/>
            <w:vAlign w:val="bottom"/>
            <w:tcBorders>
              <w:right w:val="single" w:sz="8" w:color="auto"/>
            </w:tcBorders>
            <w:gridSpan w:val="10"/>
          </w:tcPr>
          <w:p>
            <w:pPr>
              <w:spacing w:after="0"/>
              <w:rPr>
                <w:sz w:val="14"/>
                <w:szCs w:val="14"/>
                <w:color w:val="auto"/>
              </w:rPr>
            </w:pPr>
          </w:p>
        </w:tc>
        <w:tc>
          <w:tcPr>
            <w:tcW w:w="920" w:type="dxa"/>
            <w:vAlign w:val="bottom"/>
            <w:tcBorders>
              <w:right w:val="single" w:sz="8" w:color="auto"/>
            </w:tcBorders>
          </w:tcPr>
          <w:p>
            <w:pPr>
              <w:spacing w:after="0" w:line="170" w:lineRule="exact"/>
              <w:rPr>
                <w:sz w:val="20"/>
                <w:szCs w:val="20"/>
                <w:color w:val="auto"/>
              </w:rPr>
            </w:pPr>
            <w:r>
              <w:rPr>
                <w:rFonts w:ascii="Arial" w:cs="Arial" w:eastAsia="Arial" w:hAnsi="Arial"/>
                <w:sz w:val="18"/>
                <w:szCs w:val="18"/>
                <w:color w:val="auto"/>
                <w:w w:val="91"/>
              </w:rPr>
              <w:t>Registration</w:t>
            </w:r>
          </w:p>
        </w:tc>
        <w:tc>
          <w:tcPr>
            <w:tcW w:w="740" w:type="dxa"/>
            <w:vAlign w:val="bottom"/>
            <w:tcBorders>
              <w:right w:val="single" w:sz="8" w:color="auto"/>
            </w:tcBorders>
          </w:tcPr>
          <w:p>
            <w:pPr>
              <w:spacing w:after="0" w:line="170" w:lineRule="exact"/>
              <w:rPr>
                <w:sz w:val="20"/>
                <w:szCs w:val="20"/>
                <w:color w:val="auto"/>
              </w:rPr>
            </w:pPr>
            <w:r>
              <w:rPr>
                <w:rFonts w:ascii="Arial" w:cs="Arial" w:eastAsia="Arial" w:hAnsi="Arial"/>
                <w:sz w:val="18"/>
                <w:szCs w:val="18"/>
                <w:color w:val="auto"/>
              </w:rPr>
              <w:t>October</w:t>
            </w:r>
          </w:p>
        </w:tc>
      </w:tr>
      <w:tr>
        <w:trPr>
          <w:trHeight w:val="196"/>
        </w:trPr>
        <w:tc>
          <w:tcPr>
            <w:tcW w:w="680" w:type="dxa"/>
            <w:vAlign w:val="bottom"/>
            <w:tcBorders>
              <w:left w:val="single" w:sz="8" w:color="auto"/>
              <w:right w:val="single" w:sz="8" w:color="auto"/>
            </w:tcBorders>
          </w:tcPr>
          <w:p>
            <w:pPr>
              <w:spacing w:after="0"/>
              <w:rPr>
                <w:sz w:val="17"/>
                <w:szCs w:val="17"/>
                <w:color w:val="auto"/>
              </w:rPr>
            </w:pPr>
          </w:p>
        </w:tc>
        <w:tc>
          <w:tcPr>
            <w:tcW w:w="6100" w:type="dxa"/>
            <w:vAlign w:val="bottom"/>
            <w:tcBorders>
              <w:bottom w:val="single" w:sz="8" w:color="0000EE"/>
            </w:tcBorders>
            <w:gridSpan w:val="19"/>
          </w:tcPr>
          <w:p>
            <w:pPr>
              <w:spacing w:after="0" w:line="196" w:lineRule="exact"/>
              <w:rPr>
                <w:rFonts w:ascii="Arial" w:cs="Arial" w:eastAsia="Arial" w:hAnsi="Arial"/>
                <w:sz w:val="18"/>
                <w:szCs w:val="18"/>
                <w:color w:val="0000EE"/>
                <w:w w:val="92"/>
              </w:rPr>
            </w:pPr>
            <w:hyperlink r:id="rId153">
              <w:r>
                <w:rPr>
                  <w:rFonts w:ascii="Arial" w:cs="Arial" w:eastAsia="Arial" w:hAnsi="Arial"/>
                  <w:sz w:val="18"/>
                  <w:szCs w:val="18"/>
                  <w:color w:val="0000EE"/>
                  <w:w w:val="92"/>
                </w:rPr>
                <w:t>Holdings, Inc., Burlington Coat Factory Investments Holdings, Inc., Burlington Coat</w:t>
              </w:r>
            </w:hyperlink>
          </w:p>
        </w:tc>
        <w:tc>
          <w:tcPr>
            <w:tcW w:w="180" w:type="dxa"/>
            <w:vAlign w:val="bottom"/>
            <w:tcBorders>
              <w:right w:val="single" w:sz="8" w:color="auto"/>
            </w:tcBorders>
            <w:gridSpan w:val="6"/>
          </w:tcPr>
          <w:p>
            <w:pPr>
              <w:spacing w:after="0"/>
              <w:rPr>
                <w:sz w:val="17"/>
                <w:szCs w:val="17"/>
                <w:color w:val="auto"/>
              </w:rPr>
            </w:pPr>
          </w:p>
        </w:tc>
        <w:tc>
          <w:tcPr>
            <w:tcW w:w="92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Statement</w:t>
            </w:r>
          </w:p>
        </w:tc>
        <w:tc>
          <w:tcPr>
            <w:tcW w:w="74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w w:val="99"/>
              </w:rPr>
              <w:t>10, 2006</w:t>
            </w:r>
          </w:p>
        </w:tc>
      </w:tr>
      <w:tr>
        <w:trPr>
          <w:trHeight w:val="196"/>
        </w:trPr>
        <w:tc>
          <w:tcPr>
            <w:tcW w:w="680" w:type="dxa"/>
            <w:vAlign w:val="bottom"/>
            <w:tcBorders>
              <w:left w:val="single" w:sz="8" w:color="auto"/>
              <w:right w:val="single" w:sz="8" w:color="auto"/>
            </w:tcBorders>
          </w:tcPr>
          <w:p>
            <w:pPr>
              <w:spacing w:after="0"/>
              <w:rPr>
                <w:sz w:val="17"/>
                <w:szCs w:val="17"/>
                <w:color w:val="auto"/>
              </w:rPr>
            </w:pPr>
          </w:p>
        </w:tc>
        <w:tc>
          <w:tcPr>
            <w:tcW w:w="598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r:id="rId153">
              <w:r>
                <w:rPr>
                  <w:rFonts w:ascii="Arial" w:cs="Arial" w:eastAsia="Arial" w:hAnsi="Arial"/>
                  <w:sz w:val="18"/>
                  <w:szCs w:val="18"/>
                  <w:color w:val="0000EE"/>
                  <w:w w:val="91"/>
                </w:rPr>
                <w:t>Factory Warehouse Corporation, Burlington Coat Factory Realty Corp., Burlington</w:t>
              </w:r>
            </w:hyperlink>
          </w:p>
        </w:tc>
        <w:tc>
          <w:tcPr>
            <w:tcW w:w="300" w:type="dxa"/>
            <w:vAlign w:val="bottom"/>
            <w:tcBorders>
              <w:right w:val="single" w:sz="8" w:color="auto"/>
            </w:tcBorders>
            <w:gridSpan w:val="8"/>
          </w:tcPr>
          <w:p>
            <w:pPr>
              <w:spacing w:after="0"/>
              <w:rPr>
                <w:sz w:val="17"/>
                <w:szCs w:val="17"/>
                <w:color w:val="auto"/>
              </w:rPr>
            </w:pPr>
          </w:p>
        </w:tc>
        <w:tc>
          <w:tcPr>
            <w:tcW w:w="92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w w:val="97"/>
              </w:rPr>
              <w:t>on Form S-</w:t>
            </w:r>
          </w:p>
        </w:tc>
        <w:tc>
          <w:tcPr>
            <w:tcW w:w="740" w:type="dxa"/>
            <w:vAlign w:val="bottom"/>
            <w:tcBorders>
              <w:right w:val="single" w:sz="8" w:color="auto"/>
            </w:tcBorders>
          </w:tcPr>
          <w:p>
            <w:pPr>
              <w:spacing w:after="0"/>
              <w:rPr>
                <w:sz w:val="17"/>
                <w:szCs w:val="17"/>
                <w:color w:val="auto"/>
              </w:rPr>
            </w:pPr>
          </w:p>
        </w:tc>
      </w:tr>
      <w:tr>
        <w:trPr>
          <w:trHeight w:val="196"/>
        </w:trPr>
        <w:tc>
          <w:tcPr>
            <w:tcW w:w="680" w:type="dxa"/>
            <w:vAlign w:val="bottom"/>
            <w:tcBorders>
              <w:left w:val="single" w:sz="8" w:color="auto"/>
              <w:right w:val="single" w:sz="8" w:color="auto"/>
            </w:tcBorders>
          </w:tcPr>
          <w:p>
            <w:pPr>
              <w:spacing w:after="0"/>
              <w:rPr>
                <w:sz w:val="17"/>
                <w:szCs w:val="17"/>
                <w:color w:val="auto"/>
              </w:rPr>
            </w:pPr>
          </w:p>
        </w:tc>
        <w:tc>
          <w:tcPr>
            <w:tcW w:w="5980" w:type="dxa"/>
            <w:vAlign w:val="bottom"/>
            <w:tcBorders>
              <w:bottom w:val="single" w:sz="8" w:color="0000EE"/>
            </w:tcBorders>
            <w:gridSpan w:val="17"/>
          </w:tcPr>
          <w:p>
            <w:pPr>
              <w:spacing w:after="0" w:line="196" w:lineRule="exact"/>
              <w:rPr>
                <w:rFonts w:ascii="Arial" w:cs="Arial" w:eastAsia="Arial" w:hAnsi="Arial"/>
                <w:sz w:val="18"/>
                <w:szCs w:val="18"/>
                <w:color w:val="0000EE"/>
                <w:w w:val="92"/>
              </w:rPr>
            </w:pPr>
            <w:hyperlink r:id="rId153">
              <w:r>
                <w:rPr>
                  <w:rFonts w:ascii="Arial" w:cs="Arial" w:eastAsia="Arial" w:hAnsi="Arial"/>
                  <w:sz w:val="18"/>
                  <w:szCs w:val="18"/>
                  <w:color w:val="0000EE"/>
                  <w:w w:val="92"/>
                </w:rPr>
                <w:t>Coat Factory Purchasing, Inc., K&amp;T Acquisition Corp., Burlington Coat Factory of</w:t>
              </w:r>
            </w:hyperlink>
          </w:p>
        </w:tc>
        <w:tc>
          <w:tcPr>
            <w:tcW w:w="300" w:type="dxa"/>
            <w:vAlign w:val="bottom"/>
            <w:tcBorders>
              <w:right w:val="single" w:sz="8" w:color="auto"/>
            </w:tcBorders>
            <w:gridSpan w:val="8"/>
          </w:tcPr>
          <w:p>
            <w:pPr>
              <w:spacing w:after="0"/>
              <w:rPr>
                <w:sz w:val="17"/>
                <w:szCs w:val="17"/>
                <w:color w:val="auto"/>
              </w:rPr>
            </w:pPr>
          </w:p>
        </w:tc>
        <w:tc>
          <w:tcPr>
            <w:tcW w:w="92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4</w:t>
            </w:r>
          </w:p>
        </w:tc>
        <w:tc>
          <w:tcPr>
            <w:tcW w:w="740" w:type="dxa"/>
            <w:vAlign w:val="bottom"/>
            <w:tcBorders>
              <w:right w:val="single" w:sz="8" w:color="auto"/>
            </w:tcBorders>
          </w:tcPr>
          <w:p>
            <w:pPr>
              <w:spacing w:after="0"/>
              <w:rPr>
                <w:sz w:val="17"/>
                <w:szCs w:val="17"/>
                <w:color w:val="auto"/>
              </w:rPr>
            </w:pPr>
          </w:p>
        </w:tc>
      </w:tr>
      <w:tr>
        <w:trPr>
          <w:trHeight w:val="196"/>
        </w:trPr>
        <w:tc>
          <w:tcPr>
            <w:tcW w:w="680" w:type="dxa"/>
            <w:vAlign w:val="bottom"/>
            <w:tcBorders>
              <w:left w:val="single" w:sz="8" w:color="auto"/>
              <w:right w:val="single" w:sz="8" w:color="auto"/>
            </w:tcBorders>
          </w:tcPr>
          <w:p>
            <w:pPr>
              <w:spacing w:after="0"/>
              <w:rPr>
                <w:sz w:val="17"/>
                <w:szCs w:val="17"/>
                <w:color w:val="auto"/>
              </w:rPr>
            </w:pPr>
          </w:p>
        </w:tc>
        <w:tc>
          <w:tcPr>
            <w:tcW w:w="6280" w:type="dxa"/>
            <w:vAlign w:val="bottom"/>
            <w:tcBorders>
              <w:right w:val="single" w:sz="8" w:color="auto"/>
            </w:tcBorders>
            <w:gridSpan w:val="25"/>
          </w:tcPr>
          <w:p>
            <w:pPr>
              <w:spacing w:after="0" w:line="196" w:lineRule="exact"/>
              <w:rPr>
                <w:rFonts w:ascii="Arial" w:cs="Arial" w:eastAsia="Arial" w:hAnsi="Arial"/>
                <w:sz w:val="18"/>
                <w:szCs w:val="18"/>
                <w:color w:val="0000EE"/>
                <w:w w:val="97"/>
              </w:rPr>
            </w:pPr>
            <w:hyperlink r:id="rId153">
              <w:r>
                <w:rPr>
                  <w:rFonts w:ascii="Arial" w:cs="Arial" w:eastAsia="Arial" w:hAnsi="Arial"/>
                  <w:sz w:val="18"/>
                  <w:szCs w:val="18"/>
                  <w:color w:val="0000EE"/>
                  <w:w w:val="97"/>
                </w:rPr>
                <w:t>New York, LLC, Burlington Coat Factory Warehouse of Baytown, Inc., Burlington</w:t>
              </w:r>
            </w:hyperlink>
          </w:p>
        </w:tc>
        <w:tc>
          <w:tcPr>
            <w:tcW w:w="92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(File No.</w:t>
            </w:r>
          </w:p>
        </w:tc>
        <w:tc>
          <w:tcPr>
            <w:tcW w:w="740" w:type="dxa"/>
            <w:vAlign w:val="bottom"/>
            <w:tcBorders>
              <w:right w:val="single" w:sz="8" w:color="auto"/>
            </w:tcBorders>
          </w:tcPr>
          <w:p>
            <w:pPr>
              <w:spacing w:after="0"/>
              <w:rPr>
                <w:sz w:val="17"/>
                <w:szCs w:val="17"/>
                <w:color w:val="auto"/>
              </w:rPr>
            </w:pPr>
          </w:p>
        </w:tc>
      </w:tr>
      <w:tr>
        <w:trPr>
          <w:trHeight w:val="20"/>
        </w:trPr>
        <w:tc>
          <w:tcPr>
            <w:tcW w:w="680" w:type="dxa"/>
            <w:vAlign w:val="bottom"/>
            <w:tcBorders>
              <w:left w:val="single" w:sz="8" w:color="auto"/>
              <w:right w:val="single" w:sz="8" w:color="auto"/>
            </w:tcBorders>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40" w:type="dxa"/>
            <w:vAlign w:val="bottom"/>
            <w:gridSpan w:val="5"/>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Borders>
              <w:right w:val="single" w:sz="8" w:color="auto"/>
            </w:tcBorders>
            <w:gridSpan w:val="2"/>
          </w:tcPr>
          <w:p>
            <w:pPr>
              <w:spacing w:after="0" w:line="20" w:lineRule="exact"/>
              <w:rPr>
                <w:sz w:val="1"/>
                <w:szCs w:val="1"/>
                <w:color w:val="auto"/>
              </w:rPr>
            </w:pPr>
          </w:p>
        </w:tc>
        <w:tc>
          <w:tcPr>
            <w:tcW w:w="920" w:type="dxa"/>
            <w:vAlign w:val="bottom"/>
            <w:tcBorders>
              <w:right w:val="single" w:sz="8" w:color="auto"/>
            </w:tcBorders>
          </w:tcPr>
          <w:p>
            <w:pPr>
              <w:spacing w:after="0" w:line="20" w:lineRule="exact"/>
              <w:rPr>
                <w:sz w:val="1"/>
                <w:szCs w:val="1"/>
                <w:color w:val="auto"/>
              </w:rPr>
            </w:pPr>
          </w:p>
        </w:tc>
        <w:tc>
          <w:tcPr>
            <w:tcW w:w="740" w:type="dxa"/>
            <w:vAlign w:val="bottom"/>
            <w:tcBorders>
              <w:right w:val="single" w:sz="8" w:color="auto"/>
            </w:tcBorders>
          </w:tcPr>
          <w:p>
            <w:pPr>
              <w:spacing w:after="0" w:line="20" w:lineRule="exact"/>
              <w:rPr>
                <w:sz w:val="1"/>
                <w:szCs w:val="1"/>
                <w:color w:val="auto"/>
              </w:rPr>
            </w:pPr>
          </w:p>
        </w:tc>
      </w:tr>
      <w:tr>
        <w:trPr>
          <w:trHeight w:val="196"/>
        </w:trPr>
        <w:tc>
          <w:tcPr>
            <w:tcW w:w="680" w:type="dxa"/>
            <w:vAlign w:val="bottom"/>
            <w:tcBorders>
              <w:left w:val="single" w:sz="8" w:color="auto"/>
              <w:right w:val="single" w:sz="8" w:color="auto"/>
            </w:tcBorders>
          </w:tcPr>
          <w:p>
            <w:pPr>
              <w:spacing w:after="0"/>
              <w:rPr>
                <w:sz w:val="17"/>
                <w:szCs w:val="17"/>
                <w:color w:val="auto"/>
              </w:rPr>
            </w:pPr>
          </w:p>
        </w:tc>
        <w:tc>
          <w:tcPr>
            <w:tcW w:w="6140" w:type="dxa"/>
            <w:vAlign w:val="bottom"/>
            <w:tcBorders>
              <w:bottom w:val="single" w:sz="8" w:color="0000EE"/>
            </w:tcBorders>
            <w:gridSpan w:val="21"/>
          </w:tcPr>
          <w:p>
            <w:pPr>
              <w:spacing w:after="0" w:line="196" w:lineRule="exact"/>
              <w:rPr>
                <w:rFonts w:ascii="Arial" w:cs="Arial" w:eastAsia="Arial" w:hAnsi="Arial"/>
                <w:sz w:val="18"/>
                <w:szCs w:val="18"/>
                <w:color w:val="0000EE"/>
                <w:w w:val="90"/>
              </w:rPr>
            </w:pPr>
            <w:hyperlink r:id="rId153">
              <w:r>
                <w:rPr>
                  <w:rFonts w:ascii="Arial" w:cs="Arial" w:eastAsia="Arial" w:hAnsi="Arial"/>
                  <w:sz w:val="18"/>
                  <w:szCs w:val="18"/>
                  <w:color w:val="0000EE"/>
                  <w:w w:val="90"/>
                </w:rPr>
                <w:t>Coat Factory of Texas, Inc., as the pledgors, and Bank of America, N.A., as collateral</w:t>
              </w:r>
            </w:hyperlink>
          </w:p>
        </w:tc>
        <w:tc>
          <w:tcPr>
            <w:tcW w:w="140" w:type="dxa"/>
            <w:vAlign w:val="bottom"/>
            <w:tcBorders>
              <w:right w:val="single" w:sz="8" w:color="auto"/>
            </w:tcBorders>
            <w:gridSpan w:val="4"/>
          </w:tcPr>
          <w:p>
            <w:pPr>
              <w:spacing w:after="0"/>
              <w:rPr>
                <w:sz w:val="17"/>
                <w:szCs w:val="17"/>
                <w:color w:val="auto"/>
              </w:rPr>
            </w:pPr>
          </w:p>
        </w:tc>
        <w:tc>
          <w:tcPr>
            <w:tcW w:w="92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333-</w:t>
            </w:r>
          </w:p>
        </w:tc>
        <w:tc>
          <w:tcPr>
            <w:tcW w:w="740" w:type="dxa"/>
            <w:vAlign w:val="bottom"/>
            <w:tcBorders>
              <w:right w:val="single" w:sz="8" w:color="auto"/>
            </w:tcBorders>
          </w:tcPr>
          <w:p>
            <w:pPr>
              <w:spacing w:after="0"/>
              <w:rPr>
                <w:sz w:val="17"/>
                <w:szCs w:val="17"/>
                <w:color w:val="auto"/>
              </w:rPr>
            </w:pPr>
          </w:p>
        </w:tc>
      </w:tr>
      <w:tr>
        <w:trPr>
          <w:trHeight w:val="196"/>
        </w:trPr>
        <w:tc>
          <w:tcPr>
            <w:tcW w:w="680" w:type="dxa"/>
            <w:vAlign w:val="bottom"/>
            <w:tcBorders>
              <w:left w:val="single" w:sz="8" w:color="auto"/>
              <w:right w:val="single" w:sz="8" w:color="auto"/>
            </w:tcBorders>
          </w:tcPr>
          <w:p>
            <w:pPr>
              <w:spacing w:after="0"/>
              <w:rPr>
                <w:sz w:val="17"/>
                <w:szCs w:val="17"/>
                <w:color w:val="auto"/>
              </w:rPr>
            </w:pPr>
          </w:p>
        </w:tc>
        <w:tc>
          <w:tcPr>
            <w:tcW w:w="6280" w:type="dxa"/>
            <w:vAlign w:val="bottom"/>
            <w:tcBorders>
              <w:right w:val="single" w:sz="8" w:color="auto"/>
            </w:tcBorders>
            <w:gridSpan w:val="25"/>
          </w:tcPr>
          <w:p>
            <w:pPr>
              <w:spacing w:after="0" w:line="196" w:lineRule="exact"/>
              <w:rPr>
                <w:rFonts w:ascii="Arial" w:cs="Arial" w:eastAsia="Arial" w:hAnsi="Arial"/>
                <w:sz w:val="18"/>
                <w:szCs w:val="18"/>
                <w:color w:val="0000EE"/>
              </w:rPr>
            </w:pPr>
            <w:hyperlink r:id="rId153">
              <w:r>
                <w:rPr>
                  <w:rFonts w:ascii="Arial" w:cs="Arial" w:eastAsia="Arial" w:hAnsi="Arial"/>
                  <w:sz w:val="18"/>
                  <w:szCs w:val="18"/>
                  <w:color w:val="0000EE"/>
                </w:rPr>
                <w:t>agent.</w:t>
              </w:r>
            </w:hyperlink>
          </w:p>
        </w:tc>
        <w:tc>
          <w:tcPr>
            <w:tcW w:w="92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137916)</w:t>
            </w:r>
          </w:p>
        </w:tc>
        <w:tc>
          <w:tcPr>
            <w:tcW w:w="740" w:type="dxa"/>
            <w:vAlign w:val="bottom"/>
            <w:tcBorders>
              <w:right w:val="single" w:sz="8" w:color="auto"/>
            </w:tcBorders>
          </w:tcPr>
          <w:p>
            <w:pPr>
              <w:spacing w:after="0"/>
              <w:rPr>
                <w:sz w:val="17"/>
                <w:szCs w:val="17"/>
                <w:color w:val="auto"/>
              </w:rPr>
            </w:pPr>
          </w:p>
        </w:tc>
      </w:tr>
      <w:tr>
        <w:trPr>
          <w:trHeight w:val="21"/>
        </w:trPr>
        <w:tc>
          <w:tcPr>
            <w:tcW w:w="6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2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680" w:type="dxa"/>
            <w:vAlign w:val="bottom"/>
            <w:tcBorders>
              <w:left w:val="single" w:sz="8" w:color="auto"/>
              <w:right w:val="single" w:sz="8" w:color="auto"/>
            </w:tcBorders>
          </w:tcPr>
          <w:p>
            <w:pPr>
              <w:spacing w:after="0" w:line="170" w:lineRule="exact"/>
              <w:rPr>
                <w:sz w:val="20"/>
                <w:szCs w:val="20"/>
                <w:color w:val="auto"/>
              </w:rPr>
            </w:pPr>
            <w:r>
              <w:rPr>
                <w:rFonts w:ascii="Arial" w:cs="Arial" w:eastAsia="Arial" w:hAnsi="Arial"/>
                <w:sz w:val="18"/>
                <w:szCs w:val="18"/>
                <w:color w:val="auto"/>
              </w:rPr>
              <w:t>10.16+</w:t>
            </w:r>
          </w:p>
        </w:tc>
        <w:tc>
          <w:tcPr>
            <w:tcW w:w="6280" w:type="dxa"/>
            <w:vAlign w:val="bottom"/>
            <w:tcBorders>
              <w:right w:val="single" w:sz="8" w:color="auto"/>
            </w:tcBorders>
            <w:gridSpan w:val="25"/>
          </w:tcPr>
          <w:p>
            <w:pPr>
              <w:spacing w:after="0" w:line="170" w:lineRule="exact"/>
              <w:rPr>
                <w:rFonts w:ascii="Arial" w:cs="Arial" w:eastAsia="Arial" w:hAnsi="Arial"/>
                <w:sz w:val="18"/>
                <w:szCs w:val="18"/>
                <w:color w:val="0000EE"/>
                <w:w w:val="94"/>
              </w:rPr>
            </w:pPr>
            <w:hyperlink r:id="rId154">
              <w:r>
                <w:rPr>
                  <w:rFonts w:ascii="Arial" w:cs="Arial" w:eastAsia="Arial" w:hAnsi="Arial"/>
                  <w:sz w:val="18"/>
                  <w:szCs w:val="18"/>
                  <w:color w:val="0000EE"/>
                  <w:w w:val="94"/>
                </w:rPr>
                <w:t>Employment Agreement, dated October 13, 2009, by and between Burlington Coat</w:t>
              </w:r>
            </w:hyperlink>
          </w:p>
        </w:tc>
        <w:tc>
          <w:tcPr>
            <w:tcW w:w="920" w:type="dxa"/>
            <w:vAlign w:val="bottom"/>
            <w:tcBorders>
              <w:right w:val="single" w:sz="8" w:color="auto"/>
            </w:tcBorders>
          </w:tcPr>
          <w:p>
            <w:pPr>
              <w:spacing w:after="0" w:line="170" w:lineRule="exact"/>
              <w:rPr>
                <w:sz w:val="20"/>
                <w:szCs w:val="20"/>
                <w:color w:val="auto"/>
              </w:rPr>
            </w:pPr>
            <w:r>
              <w:rPr>
                <w:rFonts w:ascii="Arial" w:cs="Arial" w:eastAsia="Arial" w:hAnsi="Arial"/>
                <w:sz w:val="18"/>
                <w:szCs w:val="18"/>
                <w:color w:val="auto"/>
              </w:rPr>
              <w:t>Transition</w:t>
            </w:r>
          </w:p>
        </w:tc>
        <w:tc>
          <w:tcPr>
            <w:tcW w:w="740" w:type="dxa"/>
            <w:vAlign w:val="bottom"/>
            <w:tcBorders>
              <w:right w:val="single" w:sz="8" w:color="auto"/>
            </w:tcBorders>
          </w:tcPr>
          <w:p>
            <w:pPr>
              <w:spacing w:after="0" w:line="170" w:lineRule="exact"/>
              <w:rPr>
                <w:sz w:val="20"/>
                <w:szCs w:val="20"/>
                <w:color w:val="auto"/>
              </w:rPr>
            </w:pPr>
            <w:r>
              <w:rPr>
                <w:rFonts w:ascii="Arial" w:cs="Arial" w:eastAsia="Arial" w:hAnsi="Arial"/>
                <w:sz w:val="18"/>
                <w:szCs w:val="18"/>
                <w:color w:val="auto"/>
              </w:rPr>
              <w:t>April 30,</w:t>
            </w:r>
          </w:p>
        </w:tc>
      </w:tr>
      <w:tr>
        <w:trPr>
          <w:trHeight w:val="196"/>
        </w:trPr>
        <w:tc>
          <w:tcPr>
            <w:tcW w:w="680" w:type="dxa"/>
            <w:vAlign w:val="bottom"/>
            <w:tcBorders>
              <w:left w:val="single" w:sz="8" w:color="auto"/>
              <w:right w:val="single" w:sz="8" w:color="auto"/>
            </w:tcBorders>
          </w:tcPr>
          <w:p>
            <w:pPr>
              <w:spacing w:after="0"/>
              <w:rPr>
                <w:sz w:val="17"/>
                <w:szCs w:val="17"/>
                <w:color w:val="auto"/>
              </w:rPr>
            </w:pPr>
          </w:p>
        </w:tc>
        <w:tc>
          <w:tcPr>
            <w:tcW w:w="596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154">
              <w:r>
                <w:rPr>
                  <w:rFonts w:ascii="Arial" w:cs="Arial" w:eastAsia="Arial" w:hAnsi="Arial"/>
                  <w:sz w:val="18"/>
                  <w:szCs w:val="18"/>
                  <w:color w:val="0000EE"/>
                </w:rPr>
                <w:t>Factory Warehouse Corporation and Joyce Manning Magrini.</w:t>
              </w:r>
            </w:hyperlink>
          </w:p>
        </w:tc>
        <w:tc>
          <w:tcPr>
            <w:tcW w:w="320" w:type="dxa"/>
            <w:vAlign w:val="bottom"/>
            <w:tcBorders>
              <w:right w:val="single" w:sz="8" w:color="auto"/>
            </w:tcBorders>
            <w:gridSpan w:val="9"/>
          </w:tcPr>
          <w:p>
            <w:pPr>
              <w:spacing w:after="0"/>
              <w:rPr>
                <w:sz w:val="17"/>
                <w:szCs w:val="17"/>
                <w:color w:val="auto"/>
              </w:rPr>
            </w:pPr>
          </w:p>
        </w:tc>
        <w:tc>
          <w:tcPr>
            <w:tcW w:w="92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Report on</w:t>
            </w:r>
          </w:p>
        </w:tc>
        <w:tc>
          <w:tcPr>
            <w:tcW w:w="74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2010</w:t>
            </w:r>
          </w:p>
        </w:tc>
      </w:tr>
      <w:tr>
        <w:trPr>
          <w:trHeight w:val="222"/>
        </w:trPr>
        <w:tc>
          <w:tcPr>
            <w:tcW w:w="680" w:type="dxa"/>
            <w:vAlign w:val="bottom"/>
            <w:tcBorders>
              <w:left w:val="single" w:sz="8" w:color="auto"/>
              <w:right w:val="single" w:sz="8" w:color="auto"/>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560" w:type="dxa"/>
            <w:vAlign w:val="bottom"/>
            <w:tcBorders>
              <w:top w:val="single" w:sz="8" w:color="0000EE"/>
            </w:tcBorders>
          </w:tcPr>
          <w:p>
            <w:pPr>
              <w:spacing w:after="0"/>
              <w:rPr>
                <w:sz w:val="19"/>
                <w:szCs w:val="19"/>
                <w:color w:val="auto"/>
              </w:rPr>
            </w:pPr>
          </w:p>
        </w:tc>
        <w:tc>
          <w:tcPr>
            <w:tcW w:w="700" w:type="dxa"/>
            <w:vAlign w:val="bottom"/>
            <w:tcBorders>
              <w:top w:val="single" w:sz="8" w:color="0000EE"/>
            </w:tcBorders>
          </w:tcPr>
          <w:p>
            <w:pPr>
              <w:spacing w:after="0"/>
              <w:rPr>
                <w:sz w:val="19"/>
                <w:szCs w:val="19"/>
                <w:color w:val="auto"/>
              </w:rPr>
            </w:pPr>
          </w:p>
        </w:tc>
        <w:tc>
          <w:tcPr>
            <w:tcW w:w="1940" w:type="dxa"/>
            <w:vAlign w:val="bottom"/>
            <w:tcBorders>
              <w:top w:val="single" w:sz="8" w:color="0000EE"/>
            </w:tcBorders>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Form 10-</w:t>
            </w:r>
          </w:p>
        </w:tc>
        <w:tc>
          <w:tcPr>
            <w:tcW w:w="740" w:type="dxa"/>
            <w:vAlign w:val="bottom"/>
            <w:tcBorders>
              <w:right w:val="single" w:sz="8" w:color="auto"/>
            </w:tcBorders>
          </w:tcPr>
          <w:p>
            <w:pPr>
              <w:spacing w:after="0"/>
              <w:rPr>
                <w:sz w:val="19"/>
                <w:szCs w:val="19"/>
                <w:color w:val="auto"/>
              </w:rPr>
            </w:pPr>
          </w:p>
        </w:tc>
      </w:tr>
      <w:tr>
        <w:trPr>
          <w:trHeight w:val="216"/>
        </w:trPr>
        <w:tc>
          <w:tcPr>
            <w:tcW w:w="680" w:type="dxa"/>
            <w:vAlign w:val="bottom"/>
            <w:tcBorders>
              <w:left w:val="single" w:sz="8" w:color="auto"/>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K/T</w:t>
            </w:r>
          </w:p>
        </w:tc>
        <w:tc>
          <w:tcPr>
            <w:tcW w:w="740" w:type="dxa"/>
            <w:vAlign w:val="bottom"/>
            <w:tcBorders>
              <w:right w:val="single" w:sz="8" w:color="auto"/>
            </w:tcBorders>
          </w:tcPr>
          <w:p>
            <w:pPr>
              <w:spacing w:after="0"/>
              <w:rPr>
                <w:sz w:val="18"/>
                <w:szCs w:val="18"/>
                <w:color w:val="auto"/>
              </w:rPr>
            </w:pPr>
          </w:p>
        </w:tc>
      </w:tr>
      <w:tr>
        <w:trPr>
          <w:trHeight w:val="216"/>
        </w:trPr>
        <w:tc>
          <w:tcPr>
            <w:tcW w:w="680" w:type="dxa"/>
            <w:vAlign w:val="bottom"/>
            <w:tcBorders>
              <w:left w:val="single" w:sz="8" w:color="auto"/>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(File No.</w:t>
            </w:r>
          </w:p>
        </w:tc>
        <w:tc>
          <w:tcPr>
            <w:tcW w:w="740" w:type="dxa"/>
            <w:vAlign w:val="bottom"/>
            <w:tcBorders>
              <w:right w:val="single" w:sz="8" w:color="auto"/>
            </w:tcBorders>
          </w:tcPr>
          <w:p>
            <w:pPr>
              <w:spacing w:after="0"/>
              <w:rPr>
                <w:sz w:val="18"/>
                <w:szCs w:val="18"/>
                <w:color w:val="auto"/>
              </w:rPr>
            </w:pPr>
          </w:p>
        </w:tc>
      </w:tr>
      <w:tr>
        <w:trPr>
          <w:trHeight w:val="216"/>
        </w:trPr>
        <w:tc>
          <w:tcPr>
            <w:tcW w:w="680" w:type="dxa"/>
            <w:vAlign w:val="bottom"/>
            <w:tcBorders>
              <w:left w:val="single" w:sz="8" w:color="auto"/>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333-</w:t>
            </w:r>
          </w:p>
        </w:tc>
        <w:tc>
          <w:tcPr>
            <w:tcW w:w="740" w:type="dxa"/>
            <w:vAlign w:val="bottom"/>
            <w:tcBorders>
              <w:right w:val="single" w:sz="8" w:color="auto"/>
            </w:tcBorders>
          </w:tcPr>
          <w:p>
            <w:pPr>
              <w:spacing w:after="0"/>
              <w:rPr>
                <w:sz w:val="18"/>
                <w:szCs w:val="18"/>
                <w:color w:val="auto"/>
              </w:rPr>
            </w:pPr>
          </w:p>
        </w:tc>
      </w:tr>
      <w:tr>
        <w:trPr>
          <w:trHeight w:val="216"/>
        </w:trPr>
        <w:tc>
          <w:tcPr>
            <w:tcW w:w="680" w:type="dxa"/>
            <w:vAlign w:val="bottom"/>
            <w:tcBorders>
              <w:left w:val="single" w:sz="8" w:color="auto"/>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137916-</w:t>
            </w:r>
          </w:p>
        </w:tc>
        <w:tc>
          <w:tcPr>
            <w:tcW w:w="740" w:type="dxa"/>
            <w:vAlign w:val="bottom"/>
            <w:tcBorders>
              <w:right w:val="single" w:sz="8" w:color="auto"/>
            </w:tcBorders>
          </w:tcPr>
          <w:p>
            <w:pPr>
              <w:spacing w:after="0"/>
              <w:rPr>
                <w:sz w:val="18"/>
                <w:szCs w:val="18"/>
                <w:color w:val="auto"/>
              </w:rPr>
            </w:pPr>
          </w:p>
        </w:tc>
      </w:tr>
      <w:tr>
        <w:trPr>
          <w:trHeight w:val="230"/>
        </w:trPr>
        <w:tc>
          <w:tcPr>
            <w:tcW w:w="680" w:type="dxa"/>
            <w:vAlign w:val="bottom"/>
            <w:tcBorders>
              <w:left w:val="single" w:sz="8" w:color="auto"/>
              <w:bottom w:val="single" w:sz="8" w:color="auto"/>
              <w:right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110)</w:t>
            </w:r>
          </w:p>
        </w:tc>
        <w:tc>
          <w:tcPr>
            <w:tcW w:w="740" w:type="dxa"/>
            <w:vAlign w:val="bottom"/>
            <w:tcBorders>
              <w:bottom w:val="single" w:sz="8" w:color="auto"/>
              <w:right w:val="single" w:sz="8" w:color="auto"/>
            </w:tcBorders>
          </w:tcPr>
          <w:p>
            <w:pPr>
              <w:spacing w:after="0"/>
              <w:rPr>
                <w:sz w:val="20"/>
                <w:szCs w:val="20"/>
                <w:color w:val="auto"/>
              </w:rPr>
            </w:pPr>
          </w:p>
        </w:tc>
      </w:tr>
      <w:tr>
        <w:trPr>
          <w:trHeight w:val="169"/>
        </w:trPr>
        <w:tc>
          <w:tcPr>
            <w:tcW w:w="680" w:type="dxa"/>
            <w:vAlign w:val="bottom"/>
            <w:tcBorders>
              <w:left w:val="single" w:sz="8" w:color="auto"/>
              <w:right w:val="single" w:sz="8" w:color="auto"/>
            </w:tcBorders>
          </w:tcPr>
          <w:p>
            <w:pPr>
              <w:spacing w:after="0" w:line="170" w:lineRule="exact"/>
              <w:rPr>
                <w:sz w:val="20"/>
                <w:szCs w:val="20"/>
                <w:color w:val="auto"/>
              </w:rPr>
            </w:pPr>
            <w:r>
              <w:rPr>
                <w:rFonts w:ascii="Arial" w:cs="Arial" w:eastAsia="Arial" w:hAnsi="Arial"/>
                <w:sz w:val="18"/>
                <w:szCs w:val="18"/>
                <w:color w:val="auto"/>
                <w:w w:val="90"/>
              </w:rPr>
              <w:t>10.16.1+</w:t>
            </w:r>
          </w:p>
        </w:tc>
        <w:tc>
          <w:tcPr>
            <w:tcW w:w="6280" w:type="dxa"/>
            <w:vAlign w:val="bottom"/>
            <w:tcBorders>
              <w:right w:val="single" w:sz="8" w:color="auto"/>
            </w:tcBorders>
            <w:gridSpan w:val="25"/>
          </w:tcPr>
          <w:p>
            <w:pPr>
              <w:spacing w:after="0" w:line="170" w:lineRule="exact"/>
              <w:rPr>
                <w:rFonts w:ascii="Arial" w:cs="Arial" w:eastAsia="Arial" w:hAnsi="Arial"/>
                <w:sz w:val="18"/>
                <w:szCs w:val="18"/>
                <w:color w:val="0000EE"/>
                <w:w w:val="94"/>
              </w:rPr>
            </w:pPr>
            <w:hyperlink r:id="rId155">
              <w:r>
                <w:rPr>
                  <w:rFonts w:ascii="Arial" w:cs="Arial" w:eastAsia="Arial" w:hAnsi="Arial"/>
                  <w:sz w:val="18"/>
                  <w:szCs w:val="18"/>
                  <w:color w:val="0000EE"/>
                  <w:w w:val="94"/>
                </w:rPr>
                <w:t>Amendment to Employment Agreement, dated February 26, 2010, by and between</w:t>
              </w:r>
            </w:hyperlink>
          </w:p>
        </w:tc>
        <w:tc>
          <w:tcPr>
            <w:tcW w:w="920" w:type="dxa"/>
            <w:vAlign w:val="bottom"/>
            <w:tcBorders>
              <w:right w:val="single" w:sz="8" w:color="auto"/>
            </w:tcBorders>
          </w:tcPr>
          <w:p>
            <w:pPr>
              <w:spacing w:after="0" w:line="170" w:lineRule="exact"/>
              <w:rPr>
                <w:sz w:val="20"/>
                <w:szCs w:val="20"/>
                <w:color w:val="auto"/>
              </w:rPr>
            </w:pPr>
            <w:r>
              <w:rPr>
                <w:rFonts w:ascii="Arial" w:cs="Arial" w:eastAsia="Arial" w:hAnsi="Arial"/>
                <w:sz w:val="18"/>
                <w:szCs w:val="18"/>
                <w:color w:val="auto"/>
              </w:rPr>
              <w:t>Transition</w:t>
            </w:r>
          </w:p>
        </w:tc>
        <w:tc>
          <w:tcPr>
            <w:tcW w:w="740" w:type="dxa"/>
            <w:vAlign w:val="bottom"/>
            <w:tcBorders>
              <w:right w:val="single" w:sz="8" w:color="auto"/>
            </w:tcBorders>
          </w:tcPr>
          <w:p>
            <w:pPr>
              <w:spacing w:after="0" w:line="170" w:lineRule="exact"/>
              <w:rPr>
                <w:sz w:val="20"/>
                <w:szCs w:val="20"/>
                <w:color w:val="auto"/>
              </w:rPr>
            </w:pPr>
            <w:r>
              <w:rPr>
                <w:rFonts w:ascii="Arial" w:cs="Arial" w:eastAsia="Arial" w:hAnsi="Arial"/>
                <w:sz w:val="18"/>
                <w:szCs w:val="18"/>
                <w:color w:val="auto"/>
              </w:rPr>
              <w:t>April 30,</w:t>
            </w:r>
          </w:p>
        </w:tc>
      </w:tr>
      <w:tr>
        <w:trPr>
          <w:trHeight w:val="196"/>
        </w:trPr>
        <w:tc>
          <w:tcPr>
            <w:tcW w:w="680" w:type="dxa"/>
            <w:vAlign w:val="bottom"/>
            <w:tcBorders>
              <w:left w:val="single" w:sz="8" w:color="auto"/>
              <w:right w:val="single" w:sz="8" w:color="auto"/>
            </w:tcBorders>
          </w:tcPr>
          <w:p>
            <w:pPr>
              <w:spacing w:after="0"/>
              <w:rPr>
                <w:sz w:val="17"/>
                <w:szCs w:val="17"/>
                <w:color w:val="auto"/>
              </w:rPr>
            </w:pPr>
          </w:p>
        </w:tc>
        <w:tc>
          <w:tcPr>
            <w:tcW w:w="5960" w:type="dxa"/>
            <w:vAlign w:val="bottom"/>
            <w:tcBorders>
              <w:top w:val="single" w:sz="8" w:color="0000EE"/>
            </w:tcBorders>
            <w:gridSpan w:val="16"/>
          </w:tcPr>
          <w:p>
            <w:pPr>
              <w:spacing w:after="0" w:line="196" w:lineRule="exact"/>
              <w:rPr>
                <w:rFonts w:ascii="Arial" w:cs="Arial" w:eastAsia="Arial" w:hAnsi="Arial"/>
                <w:sz w:val="18"/>
                <w:szCs w:val="18"/>
                <w:color w:val="0000EE"/>
                <w:w w:val="96"/>
              </w:rPr>
            </w:pPr>
            <w:hyperlink r:id="rId155">
              <w:r>
                <w:rPr>
                  <w:rFonts w:ascii="Arial" w:cs="Arial" w:eastAsia="Arial" w:hAnsi="Arial"/>
                  <w:sz w:val="18"/>
                  <w:szCs w:val="18"/>
                  <w:color w:val="0000EE"/>
                  <w:w w:val="96"/>
                </w:rPr>
                <w:t>Burlington Coat Factory Warehouse Corporation and Joyce Manning Magrini.</w:t>
              </w:r>
            </w:hyperlink>
          </w:p>
        </w:tc>
        <w:tc>
          <w:tcPr>
            <w:tcW w:w="320" w:type="dxa"/>
            <w:vAlign w:val="bottom"/>
            <w:tcBorders>
              <w:right w:val="single" w:sz="8" w:color="auto"/>
            </w:tcBorders>
            <w:gridSpan w:val="9"/>
          </w:tcPr>
          <w:p>
            <w:pPr>
              <w:spacing w:after="0"/>
              <w:rPr>
                <w:sz w:val="17"/>
                <w:szCs w:val="17"/>
                <w:color w:val="auto"/>
              </w:rPr>
            </w:pPr>
          </w:p>
        </w:tc>
        <w:tc>
          <w:tcPr>
            <w:tcW w:w="92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Report on</w:t>
            </w:r>
          </w:p>
        </w:tc>
        <w:tc>
          <w:tcPr>
            <w:tcW w:w="74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2010</w:t>
            </w:r>
          </w:p>
        </w:tc>
      </w:tr>
      <w:tr>
        <w:trPr>
          <w:trHeight w:val="222"/>
        </w:trPr>
        <w:tc>
          <w:tcPr>
            <w:tcW w:w="680" w:type="dxa"/>
            <w:vAlign w:val="bottom"/>
            <w:tcBorders>
              <w:left w:val="single" w:sz="8" w:color="auto"/>
              <w:right w:val="single" w:sz="8" w:color="auto"/>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560" w:type="dxa"/>
            <w:vAlign w:val="bottom"/>
            <w:tcBorders>
              <w:top w:val="single" w:sz="8" w:color="0000EE"/>
            </w:tcBorders>
          </w:tcPr>
          <w:p>
            <w:pPr>
              <w:spacing w:after="0"/>
              <w:rPr>
                <w:sz w:val="19"/>
                <w:szCs w:val="19"/>
                <w:color w:val="auto"/>
              </w:rPr>
            </w:pPr>
          </w:p>
        </w:tc>
        <w:tc>
          <w:tcPr>
            <w:tcW w:w="700" w:type="dxa"/>
            <w:vAlign w:val="bottom"/>
            <w:tcBorders>
              <w:top w:val="single" w:sz="8" w:color="0000EE"/>
            </w:tcBorders>
          </w:tcPr>
          <w:p>
            <w:pPr>
              <w:spacing w:after="0"/>
              <w:rPr>
                <w:sz w:val="19"/>
                <w:szCs w:val="19"/>
                <w:color w:val="auto"/>
              </w:rPr>
            </w:pPr>
          </w:p>
        </w:tc>
        <w:tc>
          <w:tcPr>
            <w:tcW w:w="1940" w:type="dxa"/>
            <w:vAlign w:val="bottom"/>
            <w:tcBorders>
              <w:top w:val="single" w:sz="8" w:color="0000EE"/>
            </w:tcBorders>
          </w:tcPr>
          <w:p>
            <w:pPr>
              <w:spacing w:after="0"/>
              <w:rPr>
                <w:sz w:val="19"/>
                <w:szCs w:val="19"/>
                <w:color w:val="auto"/>
              </w:rPr>
            </w:pPr>
          </w:p>
        </w:tc>
        <w:tc>
          <w:tcPr>
            <w:tcW w:w="74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Form 10-</w:t>
            </w:r>
          </w:p>
        </w:tc>
        <w:tc>
          <w:tcPr>
            <w:tcW w:w="740" w:type="dxa"/>
            <w:vAlign w:val="bottom"/>
            <w:tcBorders>
              <w:right w:val="single" w:sz="8" w:color="auto"/>
            </w:tcBorders>
          </w:tcPr>
          <w:p>
            <w:pPr>
              <w:spacing w:after="0"/>
              <w:rPr>
                <w:sz w:val="19"/>
                <w:szCs w:val="19"/>
                <w:color w:val="auto"/>
              </w:rPr>
            </w:pPr>
          </w:p>
        </w:tc>
      </w:tr>
      <w:tr>
        <w:trPr>
          <w:trHeight w:val="216"/>
        </w:trPr>
        <w:tc>
          <w:tcPr>
            <w:tcW w:w="680" w:type="dxa"/>
            <w:vAlign w:val="bottom"/>
            <w:tcBorders>
              <w:left w:val="single" w:sz="8" w:color="auto"/>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K/T</w:t>
            </w:r>
          </w:p>
        </w:tc>
        <w:tc>
          <w:tcPr>
            <w:tcW w:w="740" w:type="dxa"/>
            <w:vAlign w:val="bottom"/>
            <w:tcBorders>
              <w:right w:val="single" w:sz="8" w:color="auto"/>
            </w:tcBorders>
          </w:tcPr>
          <w:p>
            <w:pPr>
              <w:spacing w:after="0"/>
              <w:rPr>
                <w:sz w:val="18"/>
                <w:szCs w:val="18"/>
                <w:color w:val="auto"/>
              </w:rPr>
            </w:pPr>
          </w:p>
        </w:tc>
      </w:tr>
      <w:tr>
        <w:trPr>
          <w:trHeight w:val="216"/>
        </w:trPr>
        <w:tc>
          <w:tcPr>
            <w:tcW w:w="680" w:type="dxa"/>
            <w:vAlign w:val="bottom"/>
            <w:tcBorders>
              <w:left w:val="single" w:sz="8" w:color="auto"/>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(File No.</w:t>
            </w:r>
          </w:p>
        </w:tc>
        <w:tc>
          <w:tcPr>
            <w:tcW w:w="740" w:type="dxa"/>
            <w:vAlign w:val="bottom"/>
            <w:tcBorders>
              <w:right w:val="single" w:sz="8" w:color="auto"/>
            </w:tcBorders>
          </w:tcPr>
          <w:p>
            <w:pPr>
              <w:spacing w:after="0"/>
              <w:rPr>
                <w:sz w:val="18"/>
                <w:szCs w:val="18"/>
                <w:color w:val="auto"/>
              </w:rPr>
            </w:pPr>
          </w:p>
        </w:tc>
      </w:tr>
      <w:tr>
        <w:trPr>
          <w:trHeight w:val="216"/>
        </w:trPr>
        <w:tc>
          <w:tcPr>
            <w:tcW w:w="680" w:type="dxa"/>
            <w:vAlign w:val="bottom"/>
            <w:tcBorders>
              <w:left w:val="single" w:sz="8" w:color="auto"/>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333-</w:t>
            </w:r>
          </w:p>
        </w:tc>
        <w:tc>
          <w:tcPr>
            <w:tcW w:w="740" w:type="dxa"/>
            <w:vAlign w:val="bottom"/>
            <w:tcBorders>
              <w:right w:val="single" w:sz="8" w:color="auto"/>
            </w:tcBorders>
          </w:tcPr>
          <w:p>
            <w:pPr>
              <w:spacing w:after="0"/>
              <w:rPr>
                <w:sz w:val="18"/>
                <w:szCs w:val="18"/>
                <w:color w:val="auto"/>
              </w:rPr>
            </w:pPr>
          </w:p>
        </w:tc>
      </w:tr>
      <w:tr>
        <w:trPr>
          <w:trHeight w:val="216"/>
        </w:trPr>
        <w:tc>
          <w:tcPr>
            <w:tcW w:w="680" w:type="dxa"/>
            <w:vAlign w:val="bottom"/>
            <w:tcBorders>
              <w:left w:val="single" w:sz="8" w:color="auto"/>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137916-</w:t>
            </w:r>
          </w:p>
        </w:tc>
        <w:tc>
          <w:tcPr>
            <w:tcW w:w="740" w:type="dxa"/>
            <w:vAlign w:val="bottom"/>
            <w:tcBorders>
              <w:right w:val="single" w:sz="8" w:color="auto"/>
            </w:tcBorders>
          </w:tcPr>
          <w:p>
            <w:pPr>
              <w:spacing w:after="0"/>
              <w:rPr>
                <w:sz w:val="18"/>
                <w:szCs w:val="18"/>
                <w:color w:val="auto"/>
              </w:rPr>
            </w:pPr>
          </w:p>
        </w:tc>
      </w:tr>
      <w:tr>
        <w:trPr>
          <w:trHeight w:val="230"/>
        </w:trPr>
        <w:tc>
          <w:tcPr>
            <w:tcW w:w="680" w:type="dxa"/>
            <w:vAlign w:val="bottom"/>
            <w:tcBorders>
              <w:left w:val="single" w:sz="8" w:color="auto"/>
              <w:bottom w:val="single" w:sz="8" w:color="auto"/>
              <w:right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110)</w:t>
            </w:r>
          </w:p>
        </w:tc>
        <w:tc>
          <w:tcPr>
            <w:tcW w:w="740" w:type="dxa"/>
            <w:vAlign w:val="bottom"/>
            <w:tcBorders>
              <w:bottom w:val="single" w:sz="8" w:color="auto"/>
              <w:right w:val="single" w:sz="8" w:color="auto"/>
            </w:tcBorders>
          </w:tcPr>
          <w:p>
            <w:pPr>
              <w:spacing w:after="0"/>
              <w:rPr>
                <w:sz w:val="20"/>
                <w:szCs w:val="20"/>
                <w:color w:val="auto"/>
              </w:rPr>
            </w:pPr>
          </w:p>
        </w:tc>
      </w:tr>
      <w:tr>
        <w:trPr>
          <w:trHeight w:val="169"/>
        </w:trPr>
        <w:tc>
          <w:tcPr>
            <w:tcW w:w="680" w:type="dxa"/>
            <w:vAlign w:val="bottom"/>
            <w:tcBorders>
              <w:left w:val="single" w:sz="8" w:color="auto"/>
              <w:right w:val="single" w:sz="8" w:color="auto"/>
            </w:tcBorders>
          </w:tcPr>
          <w:p>
            <w:pPr>
              <w:spacing w:after="0" w:line="170" w:lineRule="exact"/>
              <w:rPr>
                <w:sz w:val="20"/>
                <w:szCs w:val="20"/>
                <w:color w:val="auto"/>
              </w:rPr>
            </w:pPr>
            <w:r>
              <w:rPr>
                <w:rFonts w:ascii="Arial" w:cs="Arial" w:eastAsia="Arial" w:hAnsi="Arial"/>
                <w:sz w:val="18"/>
                <w:szCs w:val="18"/>
                <w:color w:val="auto"/>
                <w:w w:val="90"/>
              </w:rPr>
              <w:t>10.16.2+</w:t>
            </w:r>
          </w:p>
        </w:tc>
        <w:tc>
          <w:tcPr>
            <w:tcW w:w="5680" w:type="dxa"/>
            <w:vAlign w:val="bottom"/>
            <w:tcBorders>
              <w:bottom w:val="single" w:sz="8" w:color="0000EE"/>
            </w:tcBorders>
            <w:gridSpan w:val="12"/>
          </w:tcPr>
          <w:p>
            <w:pPr>
              <w:spacing w:after="0" w:line="170" w:lineRule="exact"/>
              <w:rPr>
                <w:rFonts w:ascii="Arial" w:cs="Arial" w:eastAsia="Arial" w:hAnsi="Arial"/>
                <w:sz w:val="18"/>
                <w:szCs w:val="18"/>
                <w:color w:val="0000EE"/>
                <w:w w:val="90"/>
              </w:rPr>
            </w:pPr>
            <w:hyperlink r:id="rId156">
              <w:r>
                <w:rPr>
                  <w:rFonts w:ascii="Arial" w:cs="Arial" w:eastAsia="Arial" w:hAnsi="Arial"/>
                  <w:sz w:val="18"/>
                  <w:szCs w:val="18"/>
                  <w:color w:val="0000EE"/>
                  <w:w w:val="90"/>
                </w:rPr>
                <w:t>Amendment No. 2 to Employment Agreement, dated October 18, 2012, by and</w:t>
              </w:r>
            </w:hyperlink>
          </w:p>
        </w:tc>
        <w:tc>
          <w:tcPr>
            <w:tcW w:w="600" w:type="dxa"/>
            <w:vAlign w:val="bottom"/>
            <w:tcBorders>
              <w:right w:val="single" w:sz="8" w:color="auto"/>
            </w:tcBorders>
            <w:gridSpan w:val="13"/>
          </w:tcPr>
          <w:p>
            <w:pPr>
              <w:spacing w:after="0"/>
              <w:rPr>
                <w:sz w:val="14"/>
                <w:szCs w:val="14"/>
                <w:color w:val="auto"/>
              </w:rPr>
            </w:pPr>
          </w:p>
        </w:tc>
        <w:tc>
          <w:tcPr>
            <w:tcW w:w="920" w:type="dxa"/>
            <w:vAlign w:val="bottom"/>
            <w:tcBorders>
              <w:right w:val="single" w:sz="8" w:color="auto"/>
            </w:tcBorders>
          </w:tcPr>
          <w:p>
            <w:pPr>
              <w:spacing w:after="0" w:line="170" w:lineRule="exact"/>
              <w:rPr>
                <w:sz w:val="20"/>
                <w:szCs w:val="20"/>
                <w:color w:val="auto"/>
              </w:rPr>
            </w:pPr>
            <w:r>
              <w:rPr>
                <w:rFonts w:ascii="Arial" w:cs="Arial" w:eastAsia="Arial" w:hAnsi="Arial"/>
                <w:sz w:val="18"/>
                <w:szCs w:val="18"/>
                <w:color w:val="auto"/>
              </w:rPr>
              <w:t>Quarterly</w:t>
            </w:r>
          </w:p>
        </w:tc>
        <w:tc>
          <w:tcPr>
            <w:tcW w:w="740" w:type="dxa"/>
            <w:vAlign w:val="bottom"/>
            <w:tcBorders>
              <w:right w:val="single" w:sz="8" w:color="auto"/>
            </w:tcBorders>
          </w:tcPr>
          <w:p>
            <w:pPr>
              <w:spacing w:after="0" w:line="170" w:lineRule="exact"/>
              <w:rPr>
                <w:sz w:val="20"/>
                <w:szCs w:val="20"/>
                <w:color w:val="auto"/>
              </w:rPr>
            </w:pPr>
            <w:r>
              <w:rPr>
                <w:rFonts w:ascii="Arial" w:cs="Arial" w:eastAsia="Arial" w:hAnsi="Arial"/>
                <w:sz w:val="18"/>
                <w:szCs w:val="18"/>
                <w:color w:val="auto"/>
                <w:w w:val="84"/>
              </w:rPr>
              <w:t>December</w:t>
            </w:r>
          </w:p>
        </w:tc>
      </w:tr>
      <w:tr>
        <w:trPr>
          <w:trHeight w:val="196"/>
        </w:trPr>
        <w:tc>
          <w:tcPr>
            <w:tcW w:w="680" w:type="dxa"/>
            <w:vAlign w:val="bottom"/>
            <w:tcBorders>
              <w:left w:val="single" w:sz="8" w:color="auto"/>
              <w:right w:val="single" w:sz="8" w:color="auto"/>
            </w:tcBorders>
          </w:tcPr>
          <w:p>
            <w:pPr>
              <w:spacing w:after="0"/>
              <w:rPr>
                <w:sz w:val="17"/>
                <w:szCs w:val="17"/>
                <w:color w:val="auto"/>
              </w:rPr>
            </w:pPr>
          </w:p>
        </w:tc>
        <w:tc>
          <w:tcPr>
            <w:tcW w:w="560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r:id="rId156">
              <w:r>
                <w:rPr>
                  <w:rFonts w:ascii="Arial" w:cs="Arial" w:eastAsia="Arial" w:hAnsi="Arial"/>
                  <w:sz w:val="18"/>
                  <w:szCs w:val="18"/>
                  <w:color w:val="0000EE"/>
                  <w:w w:val="90"/>
                </w:rPr>
                <w:t>between Burlington Coat Factory Warehouse Corporation and Joyce Manning</w:t>
              </w:r>
            </w:hyperlink>
          </w:p>
        </w:tc>
        <w:tc>
          <w:tcPr>
            <w:tcW w:w="680" w:type="dxa"/>
            <w:vAlign w:val="bottom"/>
            <w:tcBorders>
              <w:right w:val="single" w:sz="8" w:color="auto"/>
            </w:tcBorders>
            <w:gridSpan w:val="15"/>
          </w:tcPr>
          <w:p>
            <w:pPr>
              <w:spacing w:after="0"/>
              <w:rPr>
                <w:sz w:val="17"/>
                <w:szCs w:val="17"/>
                <w:color w:val="auto"/>
              </w:rPr>
            </w:pPr>
          </w:p>
        </w:tc>
        <w:tc>
          <w:tcPr>
            <w:tcW w:w="92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Report on</w:t>
            </w:r>
          </w:p>
        </w:tc>
        <w:tc>
          <w:tcPr>
            <w:tcW w:w="74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w w:val="99"/>
              </w:rPr>
              <w:t>11, 2012</w:t>
            </w:r>
          </w:p>
        </w:tc>
      </w:tr>
      <w:tr>
        <w:trPr>
          <w:trHeight w:val="196"/>
        </w:trPr>
        <w:tc>
          <w:tcPr>
            <w:tcW w:w="680" w:type="dxa"/>
            <w:vAlign w:val="bottom"/>
            <w:tcBorders>
              <w:left w:val="single" w:sz="8" w:color="auto"/>
              <w:right w:val="single" w:sz="8" w:color="auto"/>
            </w:tcBorders>
          </w:tcPr>
          <w:p>
            <w:pPr>
              <w:spacing w:after="0"/>
              <w:rPr>
                <w:sz w:val="17"/>
                <w:szCs w:val="17"/>
                <w:color w:val="auto"/>
              </w:rPr>
            </w:pPr>
          </w:p>
        </w:tc>
        <w:tc>
          <w:tcPr>
            <w:tcW w:w="6280" w:type="dxa"/>
            <w:vAlign w:val="bottom"/>
            <w:tcBorders>
              <w:right w:val="single" w:sz="8" w:color="auto"/>
            </w:tcBorders>
            <w:gridSpan w:val="25"/>
          </w:tcPr>
          <w:p>
            <w:pPr>
              <w:spacing w:after="0" w:line="196" w:lineRule="exact"/>
              <w:rPr>
                <w:rFonts w:ascii="Arial" w:cs="Arial" w:eastAsia="Arial" w:hAnsi="Arial"/>
                <w:sz w:val="18"/>
                <w:szCs w:val="18"/>
                <w:color w:val="0000EE"/>
              </w:rPr>
            </w:pPr>
            <w:hyperlink r:id="rId156">
              <w:r>
                <w:rPr>
                  <w:rFonts w:ascii="Arial" w:cs="Arial" w:eastAsia="Arial" w:hAnsi="Arial"/>
                  <w:sz w:val="18"/>
                  <w:szCs w:val="18"/>
                  <w:color w:val="0000EE"/>
                </w:rPr>
                <w:t>Magrini.</w:t>
              </w:r>
            </w:hyperlink>
          </w:p>
        </w:tc>
        <w:tc>
          <w:tcPr>
            <w:tcW w:w="92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Form 10-Q</w:t>
            </w:r>
          </w:p>
        </w:tc>
        <w:tc>
          <w:tcPr>
            <w:tcW w:w="740" w:type="dxa"/>
            <w:vAlign w:val="bottom"/>
            <w:tcBorders>
              <w:right w:val="single" w:sz="8" w:color="auto"/>
            </w:tcBorders>
          </w:tcPr>
          <w:p>
            <w:pPr>
              <w:spacing w:after="0"/>
              <w:rPr>
                <w:sz w:val="17"/>
                <w:szCs w:val="17"/>
                <w:color w:val="auto"/>
              </w:rPr>
            </w:pPr>
          </w:p>
        </w:tc>
      </w:tr>
      <w:tr>
        <w:trPr>
          <w:trHeight w:val="222"/>
        </w:trPr>
        <w:tc>
          <w:tcPr>
            <w:tcW w:w="680" w:type="dxa"/>
            <w:vAlign w:val="bottom"/>
            <w:tcBorders>
              <w:left w:val="single" w:sz="8" w:color="auto"/>
              <w:right w:val="single" w:sz="8" w:color="auto"/>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(File No.</w:t>
            </w:r>
          </w:p>
        </w:tc>
        <w:tc>
          <w:tcPr>
            <w:tcW w:w="740" w:type="dxa"/>
            <w:vAlign w:val="bottom"/>
            <w:tcBorders>
              <w:right w:val="single" w:sz="8" w:color="auto"/>
            </w:tcBorders>
          </w:tcPr>
          <w:p>
            <w:pPr>
              <w:spacing w:after="0"/>
              <w:rPr>
                <w:sz w:val="19"/>
                <w:szCs w:val="19"/>
                <w:color w:val="auto"/>
              </w:rPr>
            </w:pPr>
          </w:p>
        </w:tc>
      </w:tr>
      <w:tr>
        <w:trPr>
          <w:trHeight w:val="216"/>
        </w:trPr>
        <w:tc>
          <w:tcPr>
            <w:tcW w:w="680" w:type="dxa"/>
            <w:vAlign w:val="bottom"/>
            <w:tcBorders>
              <w:left w:val="single" w:sz="8" w:color="auto"/>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333-</w:t>
            </w:r>
          </w:p>
        </w:tc>
        <w:tc>
          <w:tcPr>
            <w:tcW w:w="740" w:type="dxa"/>
            <w:vAlign w:val="bottom"/>
            <w:tcBorders>
              <w:right w:val="single" w:sz="8" w:color="auto"/>
            </w:tcBorders>
          </w:tcPr>
          <w:p>
            <w:pPr>
              <w:spacing w:after="0"/>
              <w:rPr>
                <w:sz w:val="18"/>
                <w:szCs w:val="18"/>
                <w:color w:val="auto"/>
              </w:rPr>
            </w:pPr>
          </w:p>
        </w:tc>
      </w:tr>
      <w:tr>
        <w:trPr>
          <w:trHeight w:val="216"/>
        </w:trPr>
        <w:tc>
          <w:tcPr>
            <w:tcW w:w="680" w:type="dxa"/>
            <w:vAlign w:val="bottom"/>
            <w:tcBorders>
              <w:left w:val="single" w:sz="8" w:color="auto"/>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137916-</w:t>
            </w:r>
          </w:p>
        </w:tc>
        <w:tc>
          <w:tcPr>
            <w:tcW w:w="740" w:type="dxa"/>
            <w:vAlign w:val="bottom"/>
            <w:tcBorders>
              <w:right w:val="single" w:sz="8" w:color="auto"/>
            </w:tcBorders>
          </w:tcPr>
          <w:p>
            <w:pPr>
              <w:spacing w:after="0"/>
              <w:rPr>
                <w:sz w:val="18"/>
                <w:szCs w:val="18"/>
                <w:color w:val="auto"/>
              </w:rPr>
            </w:pPr>
          </w:p>
        </w:tc>
      </w:tr>
      <w:tr>
        <w:trPr>
          <w:trHeight w:val="230"/>
        </w:trPr>
        <w:tc>
          <w:tcPr>
            <w:tcW w:w="680" w:type="dxa"/>
            <w:vAlign w:val="bottom"/>
            <w:tcBorders>
              <w:left w:val="single" w:sz="8" w:color="auto"/>
              <w:bottom w:val="single" w:sz="8" w:color="auto"/>
              <w:right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110)</w:t>
            </w:r>
          </w:p>
        </w:tc>
        <w:tc>
          <w:tcPr>
            <w:tcW w:w="740" w:type="dxa"/>
            <w:vAlign w:val="bottom"/>
            <w:tcBorders>
              <w:bottom w:val="single" w:sz="8" w:color="auto"/>
              <w:right w:val="single" w:sz="8" w:color="auto"/>
            </w:tcBorders>
          </w:tcPr>
          <w:p>
            <w:pPr>
              <w:spacing w:after="0"/>
              <w:rPr>
                <w:sz w:val="20"/>
                <w:szCs w:val="20"/>
                <w:color w:val="auto"/>
              </w:rPr>
            </w:pPr>
          </w:p>
        </w:tc>
      </w:tr>
      <w:tr>
        <w:trPr>
          <w:trHeight w:val="169"/>
        </w:trPr>
        <w:tc>
          <w:tcPr>
            <w:tcW w:w="680" w:type="dxa"/>
            <w:vAlign w:val="bottom"/>
            <w:tcBorders>
              <w:left w:val="single" w:sz="8" w:color="auto"/>
              <w:right w:val="single" w:sz="8" w:color="auto"/>
            </w:tcBorders>
          </w:tcPr>
          <w:p>
            <w:pPr>
              <w:spacing w:after="0" w:line="170" w:lineRule="exact"/>
              <w:rPr>
                <w:sz w:val="20"/>
                <w:szCs w:val="20"/>
                <w:color w:val="auto"/>
              </w:rPr>
            </w:pPr>
            <w:r>
              <w:rPr>
                <w:rFonts w:ascii="Arial" w:cs="Arial" w:eastAsia="Arial" w:hAnsi="Arial"/>
                <w:sz w:val="18"/>
                <w:szCs w:val="18"/>
                <w:color w:val="auto"/>
              </w:rPr>
              <w:t>10.17+</w:t>
            </w:r>
          </w:p>
        </w:tc>
        <w:tc>
          <w:tcPr>
            <w:tcW w:w="6280" w:type="dxa"/>
            <w:vAlign w:val="bottom"/>
            <w:tcBorders>
              <w:right w:val="single" w:sz="8" w:color="auto"/>
            </w:tcBorders>
            <w:gridSpan w:val="25"/>
          </w:tcPr>
          <w:p>
            <w:pPr>
              <w:spacing w:after="0" w:line="170" w:lineRule="exact"/>
              <w:rPr>
                <w:rFonts w:ascii="Arial" w:cs="Arial" w:eastAsia="Arial" w:hAnsi="Arial"/>
                <w:sz w:val="18"/>
                <w:szCs w:val="18"/>
                <w:color w:val="0000EE"/>
                <w:w w:val="95"/>
              </w:rPr>
            </w:pPr>
            <w:hyperlink r:id="rId157">
              <w:r>
                <w:rPr>
                  <w:rFonts w:ascii="Arial" w:cs="Arial" w:eastAsia="Arial" w:hAnsi="Arial"/>
                  <w:sz w:val="18"/>
                  <w:szCs w:val="18"/>
                  <w:color w:val="0000EE"/>
                  <w:w w:val="95"/>
                </w:rPr>
                <w:t>Employment Agreement, dated December 2, 2008, by and among Burlington Coat</w:t>
              </w:r>
            </w:hyperlink>
          </w:p>
        </w:tc>
        <w:tc>
          <w:tcPr>
            <w:tcW w:w="920" w:type="dxa"/>
            <w:vAlign w:val="bottom"/>
            <w:tcBorders>
              <w:right w:val="single" w:sz="8" w:color="auto"/>
            </w:tcBorders>
          </w:tcPr>
          <w:p>
            <w:pPr>
              <w:spacing w:after="0" w:line="170" w:lineRule="exact"/>
              <w:rPr>
                <w:sz w:val="20"/>
                <w:szCs w:val="20"/>
                <w:color w:val="auto"/>
              </w:rPr>
            </w:pPr>
            <w:r>
              <w:rPr>
                <w:rFonts w:ascii="Arial" w:cs="Arial" w:eastAsia="Arial" w:hAnsi="Arial"/>
                <w:sz w:val="18"/>
                <w:szCs w:val="18"/>
                <w:color w:val="auto"/>
              </w:rPr>
              <w:t>Quarterly</w:t>
            </w:r>
          </w:p>
        </w:tc>
        <w:tc>
          <w:tcPr>
            <w:tcW w:w="740" w:type="dxa"/>
            <w:vAlign w:val="bottom"/>
            <w:tcBorders>
              <w:right w:val="single" w:sz="8" w:color="auto"/>
            </w:tcBorders>
          </w:tcPr>
          <w:p>
            <w:pPr>
              <w:spacing w:after="0" w:line="170" w:lineRule="exact"/>
              <w:rPr>
                <w:sz w:val="20"/>
                <w:szCs w:val="20"/>
                <w:color w:val="auto"/>
              </w:rPr>
            </w:pPr>
            <w:r>
              <w:rPr>
                <w:rFonts w:ascii="Arial" w:cs="Arial" w:eastAsia="Arial" w:hAnsi="Arial"/>
                <w:sz w:val="18"/>
                <w:szCs w:val="18"/>
                <w:color w:val="auto"/>
              </w:rPr>
              <w:t>April 14,</w:t>
            </w:r>
          </w:p>
        </w:tc>
      </w:tr>
      <w:tr>
        <w:trPr>
          <w:trHeight w:val="20"/>
        </w:trPr>
        <w:tc>
          <w:tcPr>
            <w:tcW w:w="680" w:type="dxa"/>
            <w:vAlign w:val="bottom"/>
            <w:tcBorders>
              <w:left w:val="single" w:sz="8" w:color="auto"/>
              <w:right w:val="single" w:sz="8" w:color="auto"/>
            </w:tcBorders>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5140" w:type="dxa"/>
            <w:vAlign w:val="bottom"/>
            <w:gridSpan w:val="12"/>
            <w:shd w:val="clear" w:color="auto" w:fill="0000EE"/>
          </w:tcPr>
          <w:p>
            <w:pPr>
              <w:spacing w:after="0" w:line="20" w:lineRule="exact"/>
              <w:rPr>
                <w:sz w:val="1"/>
                <w:szCs w:val="1"/>
                <w:color w:val="auto"/>
              </w:rPr>
            </w:pPr>
          </w:p>
        </w:tc>
        <w:tc>
          <w:tcPr>
            <w:tcW w:w="260" w:type="dxa"/>
            <w:vAlign w:val="bottom"/>
            <w:gridSpan w:val="8"/>
          </w:tcPr>
          <w:p>
            <w:pPr>
              <w:spacing w:after="0" w:line="20" w:lineRule="exact"/>
              <w:rPr>
                <w:sz w:val="1"/>
                <w:szCs w:val="1"/>
                <w:color w:val="auto"/>
              </w:rPr>
            </w:pPr>
          </w:p>
        </w:tc>
        <w:tc>
          <w:tcPr>
            <w:tcW w:w="100" w:type="dxa"/>
            <w:vAlign w:val="bottom"/>
            <w:tcBorders>
              <w:right w:val="single" w:sz="8" w:color="auto"/>
            </w:tcBorders>
            <w:gridSpan w:val="2"/>
          </w:tcPr>
          <w:p>
            <w:pPr>
              <w:spacing w:after="0" w:line="20" w:lineRule="exact"/>
              <w:rPr>
                <w:sz w:val="1"/>
                <w:szCs w:val="1"/>
                <w:color w:val="auto"/>
              </w:rPr>
            </w:pPr>
          </w:p>
        </w:tc>
        <w:tc>
          <w:tcPr>
            <w:tcW w:w="920" w:type="dxa"/>
            <w:vAlign w:val="bottom"/>
            <w:tcBorders>
              <w:right w:val="single" w:sz="8" w:color="auto"/>
            </w:tcBorders>
          </w:tcPr>
          <w:p>
            <w:pPr>
              <w:spacing w:after="0" w:line="20" w:lineRule="exact"/>
              <w:rPr>
                <w:sz w:val="1"/>
                <w:szCs w:val="1"/>
                <w:color w:val="auto"/>
              </w:rPr>
            </w:pPr>
          </w:p>
        </w:tc>
        <w:tc>
          <w:tcPr>
            <w:tcW w:w="740" w:type="dxa"/>
            <w:vAlign w:val="bottom"/>
            <w:tcBorders>
              <w:right w:val="single" w:sz="8" w:color="auto"/>
            </w:tcBorders>
          </w:tcPr>
          <w:p>
            <w:pPr>
              <w:spacing w:after="0" w:line="20" w:lineRule="exact"/>
              <w:rPr>
                <w:sz w:val="1"/>
                <w:szCs w:val="1"/>
                <w:color w:val="auto"/>
              </w:rPr>
            </w:pPr>
          </w:p>
        </w:tc>
      </w:tr>
      <w:tr>
        <w:trPr>
          <w:trHeight w:val="196"/>
        </w:trPr>
        <w:tc>
          <w:tcPr>
            <w:tcW w:w="680" w:type="dxa"/>
            <w:vAlign w:val="bottom"/>
            <w:tcBorders>
              <w:left w:val="single" w:sz="8" w:color="auto"/>
              <w:right w:val="single" w:sz="8" w:color="auto"/>
            </w:tcBorders>
          </w:tcPr>
          <w:p>
            <w:pPr>
              <w:spacing w:after="0"/>
              <w:rPr>
                <w:sz w:val="17"/>
                <w:szCs w:val="17"/>
                <w:color w:val="auto"/>
              </w:rPr>
            </w:pPr>
          </w:p>
        </w:tc>
        <w:tc>
          <w:tcPr>
            <w:tcW w:w="6280" w:type="dxa"/>
            <w:vAlign w:val="bottom"/>
            <w:tcBorders>
              <w:right w:val="single" w:sz="8" w:color="auto"/>
            </w:tcBorders>
            <w:gridSpan w:val="25"/>
          </w:tcPr>
          <w:p>
            <w:pPr>
              <w:spacing w:after="0" w:line="196" w:lineRule="exact"/>
              <w:rPr>
                <w:rFonts w:ascii="Arial" w:cs="Arial" w:eastAsia="Arial" w:hAnsi="Arial"/>
                <w:sz w:val="18"/>
                <w:szCs w:val="18"/>
                <w:color w:val="0000EE"/>
                <w:w w:val="91"/>
              </w:rPr>
            </w:pPr>
            <w:hyperlink r:id="rId157">
              <w:r>
                <w:rPr>
                  <w:rFonts w:ascii="Arial" w:cs="Arial" w:eastAsia="Arial" w:hAnsi="Arial"/>
                  <w:sz w:val="18"/>
                  <w:szCs w:val="18"/>
                  <w:color w:val="0000EE"/>
                  <w:w w:val="91"/>
                </w:rPr>
                <w:t>Factory Warehouse Corporation, Burlington Coat Factory Holdings, Inc., and Thomas</w:t>
              </w:r>
            </w:hyperlink>
          </w:p>
        </w:tc>
        <w:tc>
          <w:tcPr>
            <w:tcW w:w="92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Report on</w:t>
            </w:r>
          </w:p>
        </w:tc>
        <w:tc>
          <w:tcPr>
            <w:tcW w:w="74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2009</w:t>
            </w:r>
          </w:p>
        </w:tc>
      </w:tr>
      <w:tr>
        <w:trPr>
          <w:trHeight w:val="196"/>
        </w:trPr>
        <w:tc>
          <w:tcPr>
            <w:tcW w:w="680" w:type="dxa"/>
            <w:vAlign w:val="bottom"/>
            <w:tcBorders>
              <w:left w:val="single" w:sz="8" w:color="auto"/>
              <w:right w:val="single" w:sz="8" w:color="auto"/>
            </w:tcBorders>
          </w:tcPr>
          <w:p>
            <w:pPr>
              <w:spacing w:after="0"/>
              <w:rPr>
                <w:sz w:val="17"/>
                <w:szCs w:val="17"/>
                <w:color w:val="auto"/>
              </w:rPr>
            </w:pPr>
          </w:p>
        </w:tc>
        <w:tc>
          <w:tcPr>
            <w:tcW w:w="618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r:id="rId157">
              <w:r>
                <w:rPr>
                  <w:rFonts w:ascii="Arial" w:cs="Arial" w:eastAsia="Arial" w:hAnsi="Arial"/>
                  <w:sz w:val="18"/>
                  <w:szCs w:val="18"/>
                  <w:color w:val="0000EE"/>
                </w:rPr>
                <w:t>Kingsbury.</w:t>
              </w:r>
            </w:hyperlink>
          </w:p>
        </w:tc>
        <w:tc>
          <w:tcPr>
            <w:tcW w:w="100" w:type="dxa"/>
            <w:vAlign w:val="bottom"/>
            <w:tcBorders>
              <w:right w:val="single" w:sz="8" w:color="auto"/>
            </w:tcBorders>
            <w:gridSpan w:val="2"/>
          </w:tcPr>
          <w:p>
            <w:pPr>
              <w:spacing w:after="0"/>
              <w:rPr>
                <w:sz w:val="17"/>
                <w:szCs w:val="17"/>
                <w:color w:val="auto"/>
              </w:rPr>
            </w:pPr>
          </w:p>
        </w:tc>
        <w:tc>
          <w:tcPr>
            <w:tcW w:w="92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Form 10-Q</w:t>
            </w:r>
          </w:p>
        </w:tc>
        <w:tc>
          <w:tcPr>
            <w:tcW w:w="740" w:type="dxa"/>
            <w:vAlign w:val="bottom"/>
            <w:tcBorders>
              <w:right w:val="single" w:sz="8" w:color="auto"/>
            </w:tcBorders>
          </w:tcPr>
          <w:p>
            <w:pPr>
              <w:spacing w:after="0"/>
              <w:rPr>
                <w:sz w:val="17"/>
                <w:szCs w:val="17"/>
                <w:color w:val="auto"/>
              </w:rPr>
            </w:pPr>
          </w:p>
        </w:tc>
      </w:tr>
      <w:tr>
        <w:trPr>
          <w:trHeight w:val="212"/>
        </w:trPr>
        <w:tc>
          <w:tcPr>
            <w:tcW w:w="680" w:type="dxa"/>
            <w:vAlign w:val="bottom"/>
            <w:tcBorders>
              <w:left w:val="single" w:sz="8" w:color="auto"/>
              <w:right w:val="single" w:sz="8" w:color="auto"/>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r>
    </w:tbl>
    <w:p>
      <w:pPr>
        <w:sectPr>
          <w:pgSz w:w="11900" w:h="16900" w:orient="portrait"/>
          <w:cols w:equalWidth="0" w:num="1">
            <w:col w:w="9019"/>
          </w:cols>
          <w:pgMar w:left="1440" w:top="336" w:right="1440" w:bottom="0" w:gutter="0" w:footer="0" w:header="0"/>
        </w:sectPr>
      </w:pPr>
    </w:p>
    <w:bookmarkStart w:id="93" w:name="page94"/>
    <w:bookmarkEnd w:id="9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206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(File No.</w:t>
            </w:r>
          </w:p>
        </w:tc>
        <w:tc>
          <w:tcPr>
            <w:tcW w:w="740" w:type="dxa"/>
            <w:vAlign w:val="bottom"/>
            <w:tcBorders>
              <w:right w:val="single" w:sz="8" w:color="auto"/>
            </w:tcBorders>
          </w:tcPr>
          <w:p>
            <w:pPr>
              <w:spacing w:after="0"/>
              <w:rPr>
                <w:sz w:val="17"/>
                <w:szCs w:val="17"/>
                <w:color w:val="auto"/>
              </w:rPr>
            </w:pPr>
          </w:p>
        </w:tc>
        <w:tc>
          <w:tcPr>
            <w:tcW w:w="1400" w:type="dxa"/>
            <w:vAlign w:val="bottom"/>
          </w:tcPr>
          <w:p>
            <w:pPr>
              <w:spacing w:after="0"/>
              <w:rPr>
                <w:sz w:val="17"/>
                <w:szCs w:val="17"/>
                <w:color w:val="auto"/>
              </w:rPr>
            </w:pPr>
          </w:p>
        </w:tc>
      </w:tr>
      <w:tr>
        <w:trPr>
          <w:trHeight w:val="216"/>
        </w:trPr>
        <w:tc>
          <w:tcPr>
            <w:tcW w:w="144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20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333-</w:t>
            </w:r>
          </w:p>
        </w:tc>
        <w:tc>
          <w:tcPr>
            <w:tcW w:w="740" w:type="dxa"/>
            <w:vAlign w:val="bottom"/>
            <w:tcBorders>
              <w:right w:val="single" w:sz="8" w:color="auto"/>
            </w:tcBorders>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144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20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137916-</w:t>
            </w:r>
          </w:p>
        </w:tc>
        <w:tc>
          <w:tcPr>
            <w:tcW w:w="740" w:type="dxa"/>
            <w:vAlign w:val="bottom"/>
            <w:tcBorders>
              <w:right w:val="single" w:sz="8" w:color="auto"/>
            </w:tcBorders>
          </w:tcPr>
          <w:p>
            <w:pPr>
              <w:spacing w:after="0"/>
              <w:rPr>
                <w:sz w:val="18"/>
                <w:szCs w:val="18"/>
                <w:color w:val="auto"/>
              </w:rPr>
            </w:pPr>
          </w:p>
        </w:tc>
        <w:tc>
          <w:tcPr>
            <w:tcW w:w="1400" w:type="dxa"/>
            <w:vAlign w:val="bottom"/>
          </w:tcPr>
          <w:p>
            <w:pPr>
              <w:spacing w:after="0"/>
              <w:rPr>
                <w:sz w:val="18"/>
                <w:szCs w:val="18"/>
                <w:color w:val="auto"/>
              </w:rPr>
            </w:pPr>
          </w:p>
        </w:tc>
      </w:tr>
      <w:tr>
        <w:trPr>
          <w:trHeight w:val="230"/>
        </w:trPr>
        <w:tc>
          <w:tcPr>
            <w:tcW w:w="1440" w:type="dxa"/>
            <w:vAlign w:val="bottom"/>
            <w:tcBorders>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206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110)</w:t>
            </w:r>
          </w:p>
        </w:tc>
        <w:tc>
          <w:tcPr>
            <w:tcW w:w="740" w:type="dxa"/>
            <w:vAlign w:val="bottom"/>
            <w:tcBorders>
              <w:bottom w:val="single" w:sz="8" w:color="auto"/>
              <w:right w:val="single" w:sz="8" w:color="auto"/>
            </w:tcBorders>
          </w:tcPr>
          <w:p>
            <w:pPr>
              <w:spacing w:after="0"/>
              <w:rPr>
                <w:sz w:val="20"/>
                <w:szCs w:val="20"/>
                <w:color w:val="auto"/>
              </w:rPr>
            </w:pPr>
          </w:p>
        </w:tc>
        <w:tc>
          <w:tcPr>
            <w:tcW w:w="1400" w:type="dxa"/>
            <w:vAlign w:val="bottom"/>
          </w:tcPr>
          <w:p>
            <w:pPr>
              <w:spacing w:after="0"/>
              <w:rPr>
                <w:sz w:val="20"/>
                <w:szCs w:val="20"/>
                <w:color w:val="auto"/>
              </w:rPr>
            </w:pPr>
          </w:p>
        </w:tc>
      </w:tr>
      <w:tr>
        <w:trPr>
          <w:trHeight w:val="169"/>
        </w:trPr>
        <w:tc>
          <w:tcPr>
            <w:tcW w:w="1440" w:type="dxa"/>
            <w:vAlign w:val="bottom"/>
            <w:tcBorders>
              <w:right w:val="single" w:sz="8" w:color="auto"/>
            </w:tcBorders>
          </w:tcPr>
          <w:p>
            <w:pPr>
              <w:spacing w:after="0"/>
              <w:rPr>
                <w:sz w:val="14"/>
                <w:szCs w:val="14"/>
                <w:color w:val="auto"/>
              </w:rPr>
            </w:pPr>
          </w:p>
        </w:tc>
        <w:tc>
          <w:tcPr>
            <w:tcW w:w="660" w:type="dxa"/>
            <w:vAlign w:val="bottom"/>
            <w:tcBorders>
              <w:right w:val="single" w:sz="8" w:color="auto"/>
            </w:tcBorders>
          </w:tcPr>
          <w:p>
            <w:pPr>
              <w:jc w:val="right"/>
              <w:spacing w:after="0" w:line="170" w:lineRule="exact"/>
              <w:rPr>
                <w:sz w:val="20"/>
                <w:szCs w:val="20"/>
                <w:color w:val="auto"/>
              </w:rPr>
            </w:pPr>
            <w:r>
              <w:rPr>
                <w:rFonts w:ascii="Arial" w:cs="Arial" w:eastAsia="Arial" w:hAnsi="Arial"/>
                <w:sz w:val="18"/>
                <w:szCs w:val="18"/>
                <w:color w:val="auto"/>
                <w:w w:val="84"/>
              </w:rPr>
              <w:t>10.17.1+</w:t>
            </w:r>
          </w:p>
        </w:tc>
        <w:tc>
          <w:tcPr>
            <w:tcW w:w="6280" w:type="dxa"/>
            <w:vAlign w:val="bottom"/>
            <w:tcBorders>
              <w:right w:val="single" w:sz="8" w:color="auto"/>
            </w:tcBorders>
            <w:gridSpan w:val="7"/>
          </w:tcPr>
          <w:p>
            <w:pPr>
              <w:spacing w:after="0" w:line="170" w:lineRule="exact"/>
              <w:rPr>
                <w:rFonts w:ascii="Arial" w:cs="Arial" w:eastAsia="Arial" w:hAnsi="Arial"/>
                <w:sz w:val="18"/>
                <w:szCs w:val="18"/>
                <w:color w:val="0000EE"/>
                <w:w w:val="90"/>
              </w:rPr>
            </w:pPr>
            <w:hyperlink r:id="rId158">
              <w:r>
                <w:rPr>
                  <w:rFonts w:ascii="Arial" w:cs="Arial" w:eastAsia="Arial" w:hAnsi="Arial"/>
                  <w:sz w:val="18"/>
                  <w:szCs w:val="18"/>
                  <w:color w:val="0000EE"/>
                  <w:w w:val="90"/>
                </w:rPr>
                <w:t>Amendment No. 1 to Employment Agreement, dated October 23, 2012, by and among</w:t>
              </w:r>
            </w:hyperlink>
          </w:p>
        </w:tc>
        <w:tc>
          <w:tcPr>
            <w:tcW w:w="920" w:type="dxa"/>
            <w:vAlign w:val="bottom"/>
            <w:tcBorders>
              <w:right w:val="single" w:sz="8" w:color="auto"/>
            </w:tcBorders>
          </w:tcPr>
          <w:p>
            <w:pPr>
              <w:spacing w:after="0" w:line="170" w:lineRule="exact"/>
              <w:rPr>
                <w:sz w:val="20"/>
                <w:szCs w:val="20"/>
                <w:color w:val="auto"/>
              </w:rPr>
            </w:pPr>
            <w:r>
              <w:rPr>
                <w:rFonts w:ascii="Arial" w:cs="Arial" w:eastAsia="Arial" w:hAnsi="Arial"/>
                <w:sz w:val="18"/>
                <w:szCs w:val="18"/>
                <w:color w:val="auto"/>
              </w:rPr>
              <w:t>Quarterly</w:t>
            </w:r>
          </w:p>
        </w:tc>
        <w:tc>
          <w:tcPr>
            <w:tcW w:w="740" w:type="dxa"/>
            <w:vAlign w:val="bottom"/>
            <w:tcBorders>
              <w:right w:val="single" w:sz="8" w:color="auto"/>
            </w:tcBorders>
          </w:tcPr>
          <w:p>
            <w:pPr>
              <w:spacing w:after="0" w:line="170" w:lineRule="exact"/>
              <w:rPr>
                <w:sz w:val="20"/>
                <w:szCs w:val="20"/>
                <w:color w:val="auto"/>
              </w:rPr>
            </w:pPr>
            <w:r>
              <w:rPr>
                <w:rFonts w:ascii="Arial" w:cs="Arial" w:eastAsia="Arial" w:hAnsi="Arial"/>
                <w:sz w:val="18"/>
                <w:szCs w:val="18"/>
                <w:color w:val="auto"/>
                <w:w w:val="84"/>
              </w:rPr>
              <w:t>December</w:t>
            </w:r>
          </w:p>
        </w:tc>
        <w:tc>
          <w:tcPr>
            <w:tcW w:w="1400" w:type="dxa"/>
            <w:vAlign w:val="bottom"/>
          </w:tcPr>
          <w:p>
            <w:pPr>
              <w:spacing w:after="0"/>
              <w:rPr>
                <w:sz w:val="14"/>
                <w:szCs w:val="14"/>
                <w:color w:val="auto"/>
              </w:rPr>
            </w:pPr>
          </w:p>
        </w:tc>
      </w:tr>
      <w:tr>
        <w:trPr>
          <w:trHeight w:val="196"/>
        </w:trPr>
        <w:tc>
          <w:tcPr>
            <w:tcW w:w="14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10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1"/>
              </w:rPr>
            </w:pPr>
            <w:hyperlink r:id="rId158">
              <w:r>
                <w:rPr>
                  <w:rFonts w:ascii="Arial" w:cs="Arial" w:eastAsia="Arial" w:hAnsi="Arial"/>
                  <w:sz w:val="18"/>
                  <w:szCs w:val="18"/>
                  <w:color w:val="0000EE"/>
                  <w:w w:val="91"/>
                </w:rPr>
                <w:t>Burlington Coat Factory Warehouse Corporation, Burlington Coat Factory Holdings,</w:t>
              </w:r>
            </w:hyperlink>
          </w:p>
        </w:tc>
        <w:tc>
          <w:tcPr>
            <w:tcW w:w="100" w:type="dxa"/>
            <w:vAlign w:val="bottom"/>
            <w:tcBorders>
              <w:top w:val="single" w:sz="8" w:color="0000EE"/>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Report on</w:t>
            </w:r>
          </w:p>
        </w:tc>
        <w:tc>
          <w:tcPr>
            <w:tcW w:w="74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w w:val="99"/>
              </w:rPr>
              <w:t>11, 2012</w:t>
            </w:r>
          </w:p>
        </w:tc>
        <w:tc>
          <w:tcPr>
            <w:tcW w:w="1400" w:type="dxa"/>
            <w:vAlign w:val="bottom"/>
          </w:tcPr>
          <w:p>
            <w:pPr>
              <w:spacing w:after="0"/>
              <w:rPr>
                <w:sz w:val="17"/>
                <w:szCs w:val="17"/>
                <w:color w:val="auto"/>
              </w:rPr>
            </w:pPr>
          </w:p>
        </w:tc>
      </w:tr>
      <w:tr>
        <w:trPr>
          <w:trHeight w:val="196"/>
        </w:trPr>
        <w:tc>
          <w:tcPr>
            <w:tcW w:w="14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280" w:type="dxa"/>
            <w:vAlign w:val="bottom"/>
            <w:tcBorders>
              <w:right w:val="single" w:sz="8" w:color="auto"/>
            </w:tcBorders>
            <w:gridSpan w:val="7"/>
          </w:tcPr>
          <w:p>
            <w:pPr>
              <w:spacing w:after="0" w:line="196" w:lineRule="exact"/>
              <w:rPr>
                <w:rFonts w:ascii="Arial" w:cs="Arial" w:eastAsia="Arial" w:hAnsi="Arial"/>
                <w:sz w:val="18"/>
                <w:szCs w:val="18"/>
                <w:color w:val="0000EE"/>
              </w:rPr>
            </w:pPr>
            <w:hyperlink r:id="rId158">
              <w:r>
                <w:rPr>
                  <w:rFonts w:ascii="Arial" w:cs="Arial" w:eastAsia="Arial" w:hAnsi="Arial"/>
                  <w:sz w:val="18"/>
                  <w:szCs w:val="18"/>
                  <w:color w:val="0000EE"/>
                </w:rPr>
                <w:t>Inc., and Thomas Kingsbury.</w:t>
              </w:r>
            </w:hyperlink>
          </w:p>
        </w:tc>
        <w:tc>
          <w:tcPr>
            <w:tcW w:w="92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Form 10-Q</w:t>
            </w:r>
          </w:p>
        </w:tc>
        <w:tc>
          <w:tcPr>
            <w:tcW w:w="740" w:type="dxa"/>
            <w:vAlign w:val="bottom"/>
            <w:tcBorders>
              <w:right w:val="single" w:sz="8" w:color="auto"/>
            </w:tcBorders>
          </w:tcPr>
          <w:p>
            <w:pPr>
              <w:spacing w:after="0"/>
              <w:rPr>
                <w:sz w:val="17"/>
                <w:szCs w:val="17"/>
                <w:color w:val="auto"/>
              </w:rPr>
            </w:pPr>
          </w:p>
        </w:tc>
        <w:tc>
          <w:tcPr>
            <w:tcW w:w="1400" w:type="dxa"/>
            <w:vAlign w:val="bottom"/>
          </w:tcPr>
          <w:p>
            <w:pPr>
              <w:spacing w:after="0"/>
              <w:rPr>
                <w:sz w:val="17"/>
                <w:szCs w:val="17"/>
                <w:color w:val="auto"/>
              </w:rPr>
            </w:pPr>
          </w:p>
        </w:tc>
      </w:tr>
      <w:tr>
        <w:trPr>
          <w:trHeight w:val="222"/>
        </w:trPr>
        <w:tc>
          <w:tcPr>
            <w:tcW w:w="1440" w:type="dxa"/>
            <w:vAlign w:val="bottom"/>
            <w:tcBorders>
              <w:right w:val="single" w:sz="8" w:color="auto"/>
            </w:tcBorders>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2060" w:type="dxa"/>
            <w:vAlign w:val="bottom"/>
            <w:tcBorders>
              <w:top w:val="single" w:sz="8" w:color="0000EE"/>
            </w:tcBorders>
          </w:tcPr>
          <w:p>
            <w:pPr>
              <w:spacing w:after="0"/>
              <w:rPr>
                <w:sz w:val="19"/>
                <w:szCs w:val="19"/>
                <w:color w:val="auto"/>
              </w:rPr>
            </w:pPr>
          </w:p>
        </w:tc>
        <w:tc>
          <w:tcPr>
            <w:tcW w:w="25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(File No.</w:t>
            </w:r>
          </w:p>
        </w:tc>
        <w:tc>
          <w:tcPr>
            <w:tcW w:w="740" w:type="dxa"/>
            <w:vAlign w:val="bottom"/>
            <w:tcBorders>
              <w:right w:val="single" w:sz="8" w:color="auto"/>
            </w:tcBorders>
          </w:tcPr>
          <w:p>
            <w:pPr>
              <w:spacing w:after="0"/>
              <w:rPr>
                <w:sz w:val="19"/>
                <w:szCs w:val="19"/>
                <w:color w:val="auto"/>
              </w:rPr>
            </w:pPr>
          </w:p>
        </w:tc>
        <w:tc>
          <w:tcPr>
            <w:tcW w:w="1400" w:type="dxa"/>
            <w:vAlign w:val="bottom"/>
          </w:tcPr>
          <w:p>
            <w:pPr>
              <w:spacing w:after="0"/>
              <w:rPr>
                <w:sz w:val="19"/>
                <w:szCs w:val="19"/>
                <w:color w:val="auto"/>
              </w:rPr>
            </w:pPr>
          </w:p>
        </w:tc>
      </w:tr>
      <w:tr>
        <w:trPr>
          <w:trHeight w:val="216"/>
        </w:trPr>
        <w:tc>
          <w:tcPr>
            <w:tcW w:w="144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20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333-</w:t>
            </w:r>
          </w:p>
        </w:tc>
        <w:tc>
          <w:tcPr>
            <w:tcW w:w="740" w:type="dxa"/>
            <w:vAlign w:val="bottom"/>
            <w:tcBorders>
              <w:right w:val="single" w:sz="8" w:color="auto"/>
            </w:tcBorders>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144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20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137916-</w:t>
            </w:r>
          </w:p>
        </w:tc>
        <w:tc>
          <w:tcPr>
            <w:tcW w:w="740" w:type="dxa"/>
            <w:vAlign w:val="bottom"/>
            <w:tcBorders>
              <w:right w:val="single" w:sz="8" w:color="auto"/>
            </w:tcBorders>
          </w:tcPr>
          <w:p>
            <w:pPr>
              <w:spacing w:after="0"/>
              <w:rPr>
                <w:sz w:val="18"/>
                <w:szCs w:val="18"/>
                <w:color w:val="auto"/>
              </w:rPr>
            </w:pPr>
          </w:p>
        </w:tc>
        <w:tc>
          <w:tcPr>
            <w:tcW w:w="1400" w:type="dxa"/>
            <w:vAlign w:val="bottom"/>
          </w:tcPr>
          <w:p>
            <w:pPr>
              <w:spacing w:after="0"/>
              <w:rPr>
                <w:sz w:val="18"/>
                <w:szCs w:val="18"/>
                <w:color w:val="auto"/>
              </w:rPr>
            </w:pPr>
          </w:p>
        </w:tc>
      </w:tr>
      <w:tr>
        <w:trPr>
          <w:trHeight w:val="230"/>
        </w:trPr>
        <w:tc>
          <w:tcPr>
            <w:tcW w:w="1440" w:type="dxa"/>
            <w:vAlign w:val="bottom"/>
            <w:tcBorders>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206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110)</w:t>
            </w:r>
          </w:p>
        </w:tc>
        <w:tc>
          <w:tcPr>
            <w:tcW w:w="740" w:type="dxa"/>
            <w:vAlign w:val="bottom"/>
            <w:tcBorders>
              <w:bottom w:val="single" w:sz="8" w:color="auto"/>
              <w:right w:val="single" w:sz="8" w:color="auto"/>
            </w:tcBorders>
          </w:tcPr>
          <w:p>
            <w:pPr>
              <w:spacing w:after="0"/>
              <w:rPr>
                <w:sz w:val="20"/>
                <w:szCs w:val="20"/>
                <w:color w:val="auto"/>
              </w:rPr>
            </w:pPr>
          </w:p>
        </w:tc>
        <w:tc>
          <w:tcPr>
            <w:tcW w:w="1400" w:type="dxa"/>
            <w:vAlign w:val="bottom"/>
          </w:tcPr>
          <w:p>
            <w:pPr>
              <w:spacing w:after="0"/>
              <w:rPr>
                <w:sz w:val="20"/>
                <w:szCs w:val="20"/>
                <w:color w:val="auto"/>
              </w:rPr>
            </w:pPr>
          </w:p>
        </w:tc>
      </w:tr>
      <w:tr>
        <w:trPr>
          <w:trHeight w:val="169"/>
        </w:trPr>
        <w:tc>
          <w:tcPr>
            <w:tcW w:w="1440" w:type="dxa"/>
            <w:vAlign w:val="bottom"/>
            <w:tcBorders>
              <w:right w:val="single" w:sz="8" w:color="auto"/>
            </w:tcBorders>
          </w:tcPr>
          <w:p>
            <w:pPr>
              <w:spacing w:after="0"/>
              <w:rPr>
                <w:sz w:val="14"/>
                <w:szCs w:val="14"/>
                <w:color w:val="auto"/>
              </w:rPr>
            </w:pPr>
          </w:p>
        </w:tc>
        <w:tc>
          <w:tcPr>
            <w:tcW w:w="660" w:type="dxa"/>
            <w:vAlign w:val="bottom"/>
            <w:tcBorders>
              <w:right w:val="single" w:sz="8" w:color="auto"/>
            </w:tcBorders>
          </w:tcPr>
          <w:p>
            <w:pPr>
              <w:jc w:val="right"/>
              <w:spacing w:after="0" w:line="170" w:lineRule="exact"/>
              <w:rPr>
                <w:sz w:val="20"/>
                <w:szCs w:val="20"/>
                <w:color w:val="auto"/>
              </w:rPr>
            </w:pPr>
            <w:r>
              <w:rPr>
                <w:rFonts w:ascii="Arial" w:cs="Arial" w:eastAsia="Arial" w:hAnsi="Arial"/>
                <w:sz w:val="18"/>
                <w:szCs w:val="18"/>
                <w:color w:val="auto"/>
                <w:w w:val="84"/>
              </w:rPr>
              <w:t>10.17.2+</w:t>
            </w:r>
          </w:p>
        </w:tc>
        <w:tc>
          <w:tcPr>
            <w:tcW w:w="6280" w:type="dxa"/>
            <w:vAlign w:val="bottom"/>
            <w:tcBorders>
              <w:right w:val="single" w:sz="8" w:color="auto"/>
            </w:tcBorders>
            <w:gridSpan w:val="7"/>
          </w:tcPr>
          <w:p>
            <w:pPr>
              <w:spacing w:after="0" w:line="170" w:lineRule="exact"/>
              <w:rPr>
                <w:rFonts w:ascii="Arial" w:cs="Arial" w:eastAsia="Arial" w:hAnsi="Arial"/>
                <w:sz w:val="18"/>
                <w:szCs w:val="18"/>
                <w:color w:val="0000EE"/>
                <w:w w:val="98"/>
              </w:rPr>
            </w:pPr>
            <w:hyperlink r:id="rId159">
              <w:r>
                <w:rPr>
                  <w:rFonts w:ascii="Arial" w:cs="Arial" w:eastAsia="Arial" w:hAnsi="Arial"/>
                  <w:sz w:val="18"/>
                  <w:szCs w:val="18"/>
                  <w:color w:val="0000EE"/>
                  <w:w w:val="98"/>
                </w:rPr>
                <w:t>Amendment No. 2 to Employment Agreement, dated December 8, 2014, by and</w:t>
              </w:r>
            </w:hyperlink>
          </w:p>
        </w:tc>
        <w:tc>
          <w:tcPr>
            <w:tcW w:w="920" w:type="dxa"/>
            <w:vAlign w:val="bottom"/>
            <w:tcBorders>
              <w:right w:val="single" w:sz="8" w:color="auto"/>
            </w:tcBorders>
          </w:tcPr>
          <w:p>
            <w:pPr>
              <w:spacing w:after="0" w:line="170" w:lineRule="exact"/>
              <w:rPr>
                <w:sz w:val="20"/>
                <w:szCs w:val="20"/>
                <w:color w:val="auto"/>
              </w:rPr>
            </w:pPr>
            <w:r>
              <w:rPr>
                <w:rFonts w:ascii="Arial" w:cs="Arial" w:eastAsia="Arial" w:hAnsi="Arial"/>
                <w:sz w:val="18"/>
                <w:szCs w:val="18"/>
                <w:color w:val="auto"/>
              </w:rPr>
              <w:t>Current</w:t>
            </w:r>
          </w:p>
        </w:tc>
        <w:tc>
          <w:tcPr>
            <w:tcW w:w="740" w:type="dxa"/>
            <w:vAlign w:val="bottom"/>
            <w:tcBorders>
              <w:right w:val="single" w:sz="8" w:color="auto"/>
            </w:tcBorders>
          </w:tcPr>
          <w:p>
            <w:pPr>
              <w:spacing w:after="0" w:line="170" w:lineRule="exact"/>
              <w:rPr>
                <w:sz w:val="20"/>
                <w:szCs w:val="20"/>
                <w:color w:val="auto"/>
              </w:rPr>
            </w:pPr>
            <w:r>
              <w:rPr>
                <w:rFonts w:ascii="Arial" w:cs="Arial" w:eastAsia="Arial" w:hAnsi="Arial"/>
                <w:sz w:val="18"/>
                <w:szCs w:val="18"/>
                <w:color w:val="auto"/>
                <w:w w:val="84"/>
              </w:rPr>
              <w:t>December</w:t>
            </w:r>
          </w:p>
        </w:tc>
        <w:tc>
          <w:tcPr>
            <w:tcW w:w="1400" w:type="dxa"/>
            <w:vAlign w:val="bottom"/>
          </w:tcPr>
          <w:p>
            <w:pPr>
              <w:spacing w:after="0"/>
              <w:rPr>
                <w:sz w:val="14"/>
                <w:szCs w:val="14"/>
                <w:color w:val="auto"/>
              </w:rPr>
            </w:pPr>
          </w:p>
        </w:tc>
      </w:tr>
      <w:tr>
        <w:trPr>
          <w:trHeight w:val="20"/>
        </w:trPr>
        <w:tc>
          <w:tcPr>
            <w:tcW w:w="1440" w:type="dxa"/>
            <w:vAlign w:val="bottom"/>
            <w:tcBorders>
              <w:right w:val="single" w:sz="8" w:color="auto"/>
            </w:tcBorders>
          </w:tcPr>
          <w:p>
            <w:pPr>
              <w:spacing w:after="0" w:line="20" w:lineRule="exact"/>
              <w:rPr>
                <w:sz w:val="1"/>
                <w:szCs w:val="1"/>
                <w:color w:val="auto"/>
              </w:rPr>
            </w:pPr>
          </w:p>
        </w:tc>
        <w:tc>
          <w:tcPr>
            <w:tcW w:w="660" w:type="dxa"/>
            <w:vAlign w:val="bottom"/>
            <w:tcBorders>
              <w:right w:val="single" w:sz="8" w:color="auto"/>
            </w:tcBorders>
          </w:tcPr>
          <w:p>
            <w:pPr>
              <w:spacing w:after="0" w:line="20" w:lineRule="exact"/>
              <w:rPr>
                <w:sz w:val="1"/>
                <w:szCs w:val="1"/>
                <w:color w:val="auto"/>
              </w:rPr>
            </w:pPr>
          </w:p>
        </w:tc>
        <w:tc>
          <w:tcPr>
            <w:tcW w:w="4560" w:type="dxa"/>
            <w:vAlign w:val="bottom"/>
            <w:gridSpan w:val="2"/>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right w:val="single" w:sz="8" w:color="auto"/>
            </w:tcBorders>
            <w:gridSpan w:val="3"/>
          </w:tcPr>
          <w:p>
            <w:pPr>
              <w:spacing w:after="0" w:line="20" w:lineRule="exact"/>
              <w:rPr>
                <w:sz w:val="1"/>
                <w:szCs w:val="1"/>
                <w:color w:val="auto"/>
              </w:rPr>
            </w:pPr>
          </w:p>
        </w:tc>
        <w:tc>
          <w:tcPr>
            <w:tcW w:w="920" w:type="dxa"/>
            <w:vAlign w:val="bottom"/>
            <w:tcBorders>
              <w:right w:val="single" w:sz="8" w:color="auto"/>
            </w:tcBorders>
          </w:tcPr>
          <w:p>
            <w:pPr>
              <w:spacing w:after="0" w:line="20" w:lineRule="exact"/>
              <w:rPr>
                <w:sz w:val="1"/>
                <w:szCs w:val="1"/>
                <w:color w:val="auto"/>
              </w:rPr>
            </w:pPr>
          </w:p>
        </w:tc>
        <w:tc>
          <w:tcPr>
            <w:tcW w:w="740" w:type="dxa"/>
            <w:vAlign w:val="bottom"/>
            <w:tcBorders>
              <w:right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96"/>
        </w:trPr>
        <w:tc>
          <w:tcPr>
            <w:tcW w:w="14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280" w:type="dxa"/>
            <w:vAlign w:val="bottom"/>
            <w:tcBorders>
              <w:right w:val="single" w:sz="8" w:color="auto"/>
            </w:tcBorders>
            <w:gridSpan w:val="7"/>
          </w:tcPr>
          <w:p>
            <w:pPr>
              <w:spacing w:after="0" w:line="196" w:lineRule="exact"/>
              <w:rPr>
                <w:rFonts w:ascii="Arial" w:cs="Arial" w:eastAsia="Arial" w:hAnsi="Arial"/>
                <w:sz w:val="18"/>
                <w:szCs w:val="18"/>
                <w:color w:val="0000EE"/>
                <w:w w:val="96"/>
              </w:rPr>
            </w:pPr>
            <w:hyperlink r:id="rId159">
              <w:r>
                <w:rPr>
                  <w:rFonts w:ascii="Arial" w:cs="Arial" w:eastAsia="Arial" w:hAnsi="Arial"/>
                  <w:sz w:val="18"/>
                  <w:szCs w:val="18"/>
                  <w:color w:val="0000EE"/>
                  <w:w w:val="96"/>
                </w:rPr>
                <w:t>among Burlington Coat Factory Warehouse Corporation, Burlington Coat Factory</w:t>
              </w:r>
            </w:hyperlink>
          </w:p>
        </w:tc>
        <w:tc>
          <w:tcPr>
            <w:tcW w:w="92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Report on</w:t>
            </w:r>
          </w:p>
        </w:tc>
        <w:tc>
          <w:tcPr>
            <w:tcW w:w="74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9, 2014</w:t>
            </w:r>
          </w:p>
        </w:tc>
        <w:tc>
          <w:tcPr>
            <w:tcW w:w="1400" w:type="dxa"/>
            <w:vAlign w:val="bottom"/>
          </w:tcPr>
          <w:p>
            <w:pPr>
              <w:spacing w:after="0"/>
              <w:rPr>
                <w:sz w:val="17"/>
                <w:szCs w:val="17"/>
                <w:color w:val="auto"/>
              </w:rPr>
            </w:pPr>
          </w:p>
        </w:tc>
      </w:tr>
      <w:tr>
        <w:trPr>
          <w:trHeight w:val="196"/>
        </w:trPr>
        <w:tc>
          <w:tcPr>
            <w:tcW w:w="14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588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r:id="rId159">
              <w:r>
                <w:rPr>
                  <w:rFonts w:ascii="Arial" w:cs="Arial" w:eastAsia="Arial" w:hAnsi="Arial"/>
                  <w:sz w:val="18"/>
                  <w:szCs w:val="18"/>
                  <w:color w:val="0000EE"/>
                </w:rPr>
                <w:t>Holdings, LLC, Burlington Stores, Inc. and Thomas Kingsbury.</w:t>
              </w:r>
            </w:hyperlink>
          </w:p>
        </w:tc>
        <w:tc>
          <w:tcPr>
            <w:tcW w:w="400" w:type="dxa"/>
            <w:vAlign w:val="bottom"/>
            <w:tcBorders>
              <w:right w:val="single" w:sz="8" w:color="auto"/>
            </w:tcBorders>
            <w:gridSpan w:val="3"/>
          </w:tcPr>
          <w:p>
            <w:pPr>
              <w:spacing w:after="0"/>
              <w:rPr>
                <w:sz w:val="17"/>
                <w:szCs w:val="17"/>
                <w:color w:val="auto"/>
              </w:rPr>
            </w:pPr>
          </w:p>
        </w:tc>
        <w:tc>
          <w:tcPr>
            <w:tcW w:w="92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Form 8-K</w:t>
            </w:r>
          </w:p>
        </w:tc>
        <w:tc>
          <w:tcPr>
            <w:tcW w:w="740" w:type="dxa"/>
            <w:vAlign w:val="bottom"/>
            <w:tcBorders>
              <w:right w:val="single" w:sz="8" w:color="auto"/>
            </w:tcBorders>
          </w:tcPr>
          <w:p>
            <w:pPr>
              <w:spacing w:after="0"/>
              <w:rPr>
                <w:sz w:val="17"/>
                <w:szCs w:val="17"/>
                <w:color w:val="auto"/>
              </w:rPr>
            </w:pPr>
          </w:p>
        </w:tc>
        <w:tc>
          <w:tcPr>
            <w:tcW w:w="1400" w:type="dxa"/>
            <w:vAlign w:val="bottom"/>
          </w:tcPr>
          <w:p>
            <w:pPr>
              <w:spacing w:after="0"/>
              <w:rPr>
                <w:sz w:val="17"/>
                <w:szCs w:val="17"/>
                <w:color w:val="auto"/>
              </w:rPr>
            </w:pPr>
          </w:p>
        </w:tc>
      </w:tr>
      <w:tr>
        <w:trPr>
          <w:trHeight w:val="222"/>
        </w:trPr>
        <w:tc>
          <w:tcPr>
            <w:tcW w:w="1440" w:type="dxa"/>
            <w:vAlign w:val="bottom"/>
            <w:tcBorders>
              <w:right w:val="single" w:sz="8" w:color="auto"/>
            </w:tcBorders>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2060" w:type="dxa"/>
            <w:vAlign w:val="bottom"/>
            <w:tcBorders>
              <w:top w:val="single" w:sz="8" w:color="0000EE"/>
            </w:tcBorders>
          </w:tcPr>
          <w:p>
            <w:pPr>
              <w:spacing w:after="0"/>
              <w:rPr>
                <w:sz w:val="19"/>
                <w:szCs w:val="19"/>
                <w:color w:val="auto"/>
              </w:rPr>
            </w:pPr>
          </w:p>
        </w:tc>
        <w:tc>
          <w:tcPr>
            <w:tcW w:w="2500" w:type="dxa"/>
            <w:vAlign w:val="bottom"/>
            <w:tcBorders>
              <w:top w:val="single" w:sz="8" w:color="0000EE"/>
            </w:tcBorders>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(File No.</w:t>
            </w:r>
          </w:p>
        </w:tc>
        <w:tc>
          <w:tcPr>
            <w:tcW w:w="740" w:type="dxa"/>
            <w:vAlign w:val="bottom"/>
            <w:tcBorders>
              <w:right w:val="single" w:sz="8" w:color="auto"/>
            </w:tcBorders>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1440" w:type="dxa"/>
            <w:vAlign w:val="bottom"/>
            <w:tcBorders>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206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w w:val="95"/>
              </w:rPr>
              <w:t>001-36107)</w:t>
            </w:r>
          </w:p>
        </w:tc>
        <w:tc>
          <w:tcPr>
            <w:tcW w:w="740" w:type="dxa"/>
            <w:vAlign w:val="bottom"/>
            <w:tcBorders>
              <w:bottom w:val="single" w:sz="8" w:color="auto"/>
              <w:right w:val="single" w:sz="8" w:color="auto"/>
            </w:tcBorders>
          </w:tcPr>
          <w:p>
            <w:pPr>
              <w:spacing w:after="0"/>
              <w:rPr>
                <w:sz w:val="20"/>
                <w:szCs w:val="20"/>
                <w:color w:val="auto"/>
              </w:rPr>
            </w:pPr>
          </w:p>
        </w:tc>
        <w:tc>
          <w:tcPr>
            <w:tcW w:w="1400" w:type="dxa"/>
            <w:vAlign w:val="bottom"/>
          </w:tcPr>
          <w:p>
            <w:pPr>
              <w:spacing w:after="0"/>
              <w:rPr>
                <w:sz w:val="20"/>
                <w:szCs w:val="20"/>
                <w:color w:val="auto"/>
              </w:rPr>
            </w:pPr>
          </w:p>
        </w:tc>
      </w:tr>
      <w:tr>
        <w:trPr>
          <w:trHeight w:val="426"/>
        </w:trPr>
        <w:tc>
          <w:tcPr>
            <w:tcW w:w="1440" w:type="dxa"/>
            <w:vAlign w:val="bottom"/>
          </w:tcPr>
          <w:p>
            <w:pPr>
              <w:spacing w:after="0"/>
              <w:rPr>
                <w:sz w:val="24"/>
                <w:szCs w:val="24"/>
                <w:color w:val="auto"/>
              </w:rPr>
            </w:pPr>
          </w:p>
        </w:tc>
        <w:tc>
          <w:tcPr>
            <w:tcW w:w="5220" w:type="dxa"/>
            <w:vAlign w:val="bottom"/>
            <w:gridSpan w:val="3"/>
          </w:tcPr>
          <w:p>
            <w:pPr>
              <w:jc w:val="right"/>
              <w:ind w:right="860"/>
              <w:spacing w:after="0"/>
              <w:rPr>
                <w:sz w:val="20"/>
                <w:szCs w:val="20"/>
                <w:color w:val="auto"/>
              </w:rPr>
            </w:pPr>
            <w:r>
              <w:rPr>
                <w:rFonts w:ascii="Arial" w:cs="Arial" w:eastAsia="Arial" w:hAnsi="Arial"/>
                <w:sz w:val="18"/>
                <w:szCs w:val="18"/>
                <w:color w:val="auto"/>
              </w:rPr>
              <w:t>90</w:t>
            </w: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15"/>
        </w:trPr>
        <w:tc>
          <w:tcPr>
            <w:tcW w:w="14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2060" w:type="dxa"/>
            <w:vAlign w:val="bottom"/>
            <w:tcBorders>
              <w:bottom w:val="single" w:sz="8" w:color="9A9A9A"/>
            </w:tcBorders>
          </w:tcPr>
          <w:p>
            <w:pPr>
              <w:spacing w:after="0"/>
              <w:rPr>
                <w:sz w:val="10"/>
                <w:szCs w:val="10"/>
                <w:color w:val="auto"/>
              </w:rPr>
            </w:pPr>
          </w:p>
        </w:tc>
        <w:tc>
          <w:tcPr>
            <w:tcW w:w="250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34" w:right="219" w:bottom="1440" w:gutter="0" w:footer="0" w:header="0"/>
        </w:sectPr>
      </w:pPr>
    </w:p>
    <w:bookmarkStart w:id="94" w:name="page95"/>
    <w:bookmarkEnd w:id="94"/>
    <w:p>
      <w:pPr>
        <w:spacing w:after="0" w:line="62" w:lineRule="exact"/>
        <w:rPr>
          <w:sz w:val="20"/>
          <w:szCs w:val="20"/>
          <w:color w:val="auto"/>
        </w:rPr>
      </w:pPr>
    </w:p>
    <w:tbl>
      <w:tblPr>
        <w:tblLayout w:type="fixed"/>
        <w:tblInd w:w="230" w:type="dxa"/>
        <w:tblCellMar>
          <w:top w:w="0" w:type="dxa"/>
          <w:left w:w="0" w:type="dxa"/>
          <w:bottom w:w="0" w:type="dxa"/>
          <w:right w:w="0" w:type="dxa"/>
        </w:tblCellMar>
      </w:tblPr>
      <w:tr>
        <w:trPr>
          <w:trHeight w:val="211"/>
        </w:trPr>
        <w:tc>
          <w:tcPr>
            <w:tcW w:w="680" w:type="dxa"/>
            <w:vAlign w:val="bottom"/>
            <w:tcBorders>
              <w:top w:val="single" w:sz="8" w:color="auto"/>
              <w:left w:val="single" w:sz="8" w:color="auto"/>
              <w:right w:val="single" w:sz="8" w:color="auto"/>
            </w:tcBorders>
          </w:tcPr>
          <w:p>
            <w:pPr>
              <w:spacing w:after="0"/>
              <w:rPr>
                <w:sz w:val="18"/>
                <w:szCs w:val="18"/>
                <w:color w:val="auto"/>
              </w:rPr>
            </w:pPr>
          </w:p>
        </w:tc>
        <w:tc>
          <w:tcPr>
            <w:tcW w:w="24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 w:type="dxa"/>
            <w:vAlign w:val="bottom"/>
            <w:tcBorders>
              <w:top w:val="single" w:sz="8" w:color="auto"/>
              <w:right w:val="single" w:sz="8" w:color="auto"/>
            </w:tcBorders>
          </w:tcPr>
          <w:p>
            <w:pPr>
              <w:spacing w:after="0"/>
              <w:rPr>
                <w:sz w:val="18"/>
                <w:szCs w:val="18"/>
                <w:color w:val="auto"/>
              </w:rPr>
            </w:pPr>
          </w:p>
        </w:tc>
        <w:tc>
          <w:tcPr>
            <w:tcW w:w="1680" w:type="dxa"/>
            <w:vAlign w:val="bottom"/>
            <w:tcBorders>
              <w:top w:val="single" w:sz="8" w:color="auto"/>
              <w:right w:val="single" w:sz="8" w:color="auto"/>
            </w:tcBorders>
            <w:gridSpan w:val="2"/>
          </w:tcPr>
          <w:p>
            <w:pPr>
              <w:jc w:val="right"/>
              <w:ind w:right="130"/>
              <w:spacing w:after="0"/>
              <w:rPr>
                <w:sz w:val="20"/>
                <w:szCs w:val="20"/>
                <w:color w:val="auto"/>
              </w:rPr>
            </w:pPr>
            <w:r>
              <w:rPr>
                <w:rFonts w:ascii="Arial" w:cs="Arial" w:eastAsia="Arial" w:hAnsi="Arial"/>
                <w:sz w:val="18"/>
                <w:szCs w:val="18"/>
                <w:b w:val="1"/>
                <w:bCs w:val="1"/>
                <w:color w:val="auto"/>
              </w:rPr>
              <w:t>Incorporated by</w:t>
            </w:r>
          </w:p>
        </w:tc>
      </w:tr>
      <w:tr>
        <w:trPr>
          <w:trHeight w:val="234"/>
        </w:trPr>
        <w:tc>
          <w:tcPr>
            <w:tcW w:w="680" w:type="dxa"/>
            <w:vAlign w:val="bottom"/>
            <w:tcBorders>
              <w:left w:val="single" w:sz="8" w:color="auto"/>
              <w:right w:val="single" w:sz="8" w:color="auto"/>
            </w:tcBorders>
          </w:tcPr>
          <w:p>
            <w:pPr>
              <w:spacing w:after="0"/>
              <w:rPr>
                <w:sz w:val="20"/>
                <w:szCs w:val="20"/>
                <w:color w:val="auto"/>
              </w:rPr>
            </w:pPr>
          </w:p>
        </w:tc>
        <w:tc>
          <w:tcPr>
            <w:tcW w:w="24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gridSpan w:val="2"/>
          </w:tcPr>
          <w:p>
            <w:pPr>
              <w:ind w:left="440"/>
              <w:spacing w:after="0"/>
              <w:rPr>
                <w:sz w:val="20"/>
                <w:szCs w:val="20"/>
                <w:color w:val="auto"/>
              </w:rPr>
            </w:pPr>
            <w:r>
              <w:rPr>
                <w:rFonts w:ascii="Arial" w:cs="Arial" w:eastAsia="Arial" w:hAnsi="Arial"/>
                <w:sz w:val="18"/>
                <w:szCs w:val="18"/>
                <w:b w:val="1"/>
                <w:bCs w:val="1"/>
                <w:color w:val="auto"/>
              </w:rPr>
              <w:t>Reference</w:t>
            </w:r>
          </w:p>
        </w:tc>
      </w:tr>
      <w:tr>
        <w:trPr>
          <w:trHeight w:val="191"/>
        </w:trPr>
        <w:tc>
          <w:tcPr>
            <w:tcW w:w="680" w:type="dxa"/>
            <w:vAlign w:val="bottom"/>
            <w:tcBorders>
              <w:left w:val="single" w:sz="8" w:color="auto"/>
              <w:right w:val="single" w:sz="8" w:color="auto"/>
            </w:tcBorders>
          </w:tcPr>
          <w:p>
            <w:pPr>
              <w:spacing w:after="0"/>
              <w:rPr>
                <w:sz w:val="16"/>
                <w:szCs w:val="16"/>
                <w:color w:val="auto"/>
              </w:rPr>
            </w:pPr>
          </w:p>
        </w:tc>
        <w:tc>
          <w:tcPr>
            <w:tcW w:w="24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2"/>
              </w:rPr>
              <w:t>Form and</w:t>
            </w:r>
          </w:p>
        </w:tc>
        <w:tc>
          <w:tcPr>
            <w:tcW w:w="780" w:type="dxa"/>
            <w:vAlign w:val="bottom"/>
            <w:tcBorders>
              <w:right w:val="single" w:sz="8" w:color="auto"/>
            </w:tcBorders>
          </w:tcPr>
          <w:p>
            <w:pPr>
              <w:spacing w:after="0"/>
              <w:rPr>
                <w:sz w:val="16"/>
                <w:szCs w:val="16"/>
                <w:color w:val="auto"/>
              </w:rPr>
            </w:pPr>
          </w:p>
        </w:tc>
      </w:tr>
      <w:tr>
        <w:trPr>
          <w:trHeight w:val="216"/>
        </w:trPr>
        <w:tc>
          <w:tcPr>
            <w:tcW w:w="6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w w:val="99"/>
              </w:rPr>
              <w:t>Exhibit</w:t>
            </w:r>
          </w:p>
        </w:tc>
        <w:tc>
          <w:tcPr>
            <w:tcW w:w="2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SEC file</w:t>
            </w:r>
          </w:p>
        </w:tc>
        <w:tc>
          <w:tcPr>
            <w:tcW w:w="780" w:type="dxa"/>
            <w:vAlign w:val="bottom"/>
            <w:tcBorders>
              <w:right w:val="single" w:sz="8" w:color="auto"/>
            </w:tcBorders>
          </w:tcPr>
          <w:p>
            <w:pPr>
              <w:ind w:left="160"/>
              <w:spacing w:after="0"/>
              <w:rPr>
                <w:sz w:val="20"/>
                <w:szCs w:val="20"/>
                <w:color w:val="auto"/>
              </w:rPr>
            </w:pPr>
            <w:r>
              <w:rPr>
                <w:rFonts w:ascii="Arial" w:cs="Arial" w:eastAsia="Arial" w:hAnsi="Arial"/>
                <w:sz w:val="18"/>
                <w:szCs w:val="18"/>
                <w:b w:val="1"/>
                <w:bCs w:val="1"/>
                <w:color w:val="auto"/>
              </w:rPr>
              <w:t>Filing</w:t>
            </w:r>
          </w:p>
        </w:tc>
      </w:tr>
      <w:tr>
        <w:trPr>
          <w:trHeight w:val="234"/>
        </w:trPr>
        <w:tc>
          <w:tcPr>
            <w:tcW w:w="68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w w:val="94"/>
              </w:rPr>
              <w:t>Number</w:t>
            </w:r>
          </w:p>
        </w:tc>
        <w:tc>
          <w:tcPr>
            <w:tcW w:w="6260" w:type="dxa"/>
            <w:vAlign w:val="bottom"/>
            <w:tcBorders>
              <w:bottom w:val="single" w:sz="8" w:color="auto"/>
              <w:right w:val="single" w:sz="8" w:color="auto"/>
            </w:tcBorders>
            <w:gridSpan w:val="21"/>
          </w:tcPr>
          <w:p>
            <w:pPr>
              <w:ind w:left="2360"/>
              <w:spacing w:after="0"/>
              <w:rPr>
                <w:sz w:val="20"/>
                <w:szCs w:val="20"/>
                <w:color w:val="auto"/>
              </w:rPr>
            </w:pPr>
            <w:r>
              <w:rPr>
                <w:rFonts w:ascii="Arial" w:cs="Arial" w:eastAsia="Arial" w:hAnsi="Arial"/>
                <w:sz w:val="18"/>
                <w:szCs w:val="18"/>
                <w:b w:val="1"/>
                <w:bCs w:val="1"/>
                <w:color w:val="auto"/>
              </w:rPr>
              <w:t>Exhibit Description</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No.</w:t>
            </w:r>
          </w:p>
        </w:tc>
        <w:tc>
          <w:tcPr>
            <w:tcW w:w="780" w:type="dxa"/>
            <w:vAlign w:val="bottom"/>
            <w:tcBorders>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Date</w:t>
            </w:r>
          </w:p>
        </w:tc>
      </w:tr>
      <w:tr>
        <w:trPr>
          <w:trHeight w:val="169"/>
        </w:trPr>
        <w:tc>
          <w:tcPr>
            <w:tcW w:w="680" w:type="dxa"/>
            <w:vAlign w:val="bottom"/>
            <w:tcBorders>
              <w:left w:val="single" w:sz="8" w:color="auto"/>
              <w:right w:val="single" w:sz="8" w:color="auto"/>
            </w:tcBorders>
          </w:tcPr>
          <w:p>
            <w:pPr>
              <w:spacing w:after="0" w:line="170" w:lineRule="exact"/>
              <w:rPr>
                <w:sz w:val="20"/>
                <w:szCs w:val="20"/>
                <w:color w:val="auto"/>
              </w:rPr>
            </w:pPr>
            <w:r>
              <w:rPr>
                <w:rFonts w:ascii="Arial" w:cs="Arial" w:eastAsia="Arial" w:hAnsi="Arial"/>
                <w:sz w:val="18"/>
                <w:szCs w:val="18"/>
                <w:color w:val="auto"/>
                <w:w w:val="90"/>
              </w:rPr>
              <w:t>10.17.3+</w:t>
            </w:r>
          </w:p>
        </w:tc>
        <w:tc>
          <w:tcPr>
            <w:tcW w:w="6000" w:type="dxa"/>
            <w:vAlign w:val="bottom"/>
            <w:tcBorders>
              <w:bottom w:val="single" w:sz="8" w:color="0000EE"/>
            </w:tcBorders>
            <w:gridSpan w:val="16"/>
          </w:tcPr>
          <w:p>
            <w:pPr>
              <w:spacing w:after="0" w:line="170" w:lineRule="exact"/>
              <w:rPr>
                <w:rFonts w:ascii="Arial" w:cs="Arial" w:eastAsia="Arial" w:hAnsi="Arial"/>
                <w:sz w:val="18"/>
                <w:szCs w:val="18"/>
                <w:color w:val="0000EE"/>
                <w:w w:val="91"/>
              </w:rPr>
            </w:pPr>
            <w:hyperlink r:id="rId162">
              <w:r>
                <w:rPr>
                  <w:rFonts w:ascii="Arial" w:cs="Arial" w:eastAsia="Arial" w:hAnsi="Arial"/>
                  <w:sz w:val="18"/>
                  <w:szCs w:val="18"/>
                  <w:color w:val="0000EE"/>
                  <w:w w:val="91"/>
                </w:rPr>
                <w:t>Amendment No. 3 to Employment Agreement, dated May 18, 2015, by and among</w:t>
              </w:r>
            </w:hyperlink>
          </w:p>
        </w:tc>
        <w:tc>
          <w:tcPr>
            <w:tcW w:w="260" w:type="dxa"/>
            <w:vAlign w:val="bottom"/>
            <w:tcBorders>
              <w:right w:val="single" w:sz="8" w:color="auto"/>
            </w:tcBorders>
            <w:gridSpan w:val="5"/>
          </w:tcPr>
          <w:p>
            <w:pPr>
              <w:spacing w:after="0"/>
              <w:rPr>
                <w:sz w:val="14"/>
                <w:szCs w:val="14"/>
                <w:color w:val="auto"/>
              </w:rPr>
            </w:pPr>
          </w:p>
        </w:tc>
        <w:tc>
          <w:tcPr>
            <w:tcW w:w="900" w:type="dxa"/>
            <w:vAlign w:val="bottom"/>
            <w:tcBorders>
              <w:right w:val="single" w:sz="8" w:color="auto"/>
            </w:tcBorders>
          </w:tcPr>
          <w:p>
            <w:pPr>
              <w:spacing w:after="0" w:line="170" w:lineRule="exact"/>
              <w:rPr>
                <w:sz w:val="20"/>
                <w:szCs w:val="20"/>
                <w:color w:val="auto"/>
              </w:rPr>
            </w:pPr>
            <w:r>
              <w:rPr>
                <w:rFonts w:ascii="Arial" w:cs="Arial" w:eastAsia="Arial" w:hAnsi="Arial"/>
                <w:sz w:val="18"/>
                <w:szCs w:val="18"/>
                <w:color w:val="auto"/>
              </w:rPr>
              <w:t>Quarterly</w:t>
            </w:r>
          </w:p>
        </w:tc>
        <w:tc>
          <w:tcPr>
            <w:tcW w:w="780" w:type="dxa"/>
            <w:vAlign w:val="bottom"/>
            <w:tcBorders>
              <w:right w:val="single" w:sz="8" w:color="auto"/>
            </w:tcBorders>
          </w:tcPr>
          <w:p>
            <w:pPr>
              <w:spacing w:after="0" w:line="170" w:lineRule="exact"/>
              <w:rPr>
                <w:sz w:val="20"/>
                <w:szCs w:val="20"/>
                <w:color w:val="auto"/>
              </w:rPr>
            </w:pPr>
            <w:r>
              <w:rPr>
                <w:rFonts w:ascii="Arial" w:cs="Arial" w:eastAsia="Arial" w:hAnsi="Arial"/>
                <w:sz w:val="18"/>
                <w:szCs w:val="18"/>
                <w:color w:val="auto"/>
              </w:rPr>
              <w:t>August</w:t>
            </w:r>
          </w:p>
        </w:tc>
      </w:tr>
      <w:tr>
        <w:trPr>
          <w:trHeight w:val="196"/>
        </w:trPr>
        <w:tc>
          <w:tcPr>
            <w:tcW w:w="680" w:type="dxa"/>
            <w:vAlign w:val="bottom"/>
            <w:tcBorders>
              <w:left w:val="single" w:sz="8" w:color="auto"/>
              <w:right w:val="single" w:sz="8" w:color="auto"/>
            </w:tcBorders>
          </w:tcPr>
          <w:p>
            <w:pPr>
              <w:spacing w:after="0"/>
              <w:rPr>
                <w:sz w:val="17"/>
                <w:szCs w:val="17"/>
                <w:color w:val="auto"/>
              </w:rPr>
            </w:pPr>
          </w:p>
        </w:tc>
        <w:tc>
          <w:tcPr>
            <w:tcW w:w="6100" w:type="dxa"/>
            <w:vAlign w:val="bottom"/>
            <w:tcBorders>
              <w:bottom w:val="single" w:sz="8" w:color="0000EE"/>
            </w:tcBorders>
            <w:gridSpan w:val="19"/>
          </w:tcPr>
          <w:p>
            <w:pPr>
              <w:spacing w:after="0" w:line="196" w:lineRule="exact"/>
              <w:rPr>
                <w:rFonts w:ascii="Arial" w:cs="Arial" w:eastAsia="Arial" w:hAnsi="Arial"/>
                <w:sz w:val="18"/>
                <w:szCs w:val="18"/>
                <w:color w:val="0000EE"/>
                <w:w w:val="91"/>
              </w:rPr>
            </w:pPr>
            <w:hyperlink r:id="rId162">
              <w:r>
                <w:rPr>
                  <w:rFonts w:ascii="Arial" w:cs="Arial" w:eastAsia="Arial" w:hAnsi="Arial"/>
                  <w:sz w:val="18"/>
                  <w:szCs w:val="18"/>
                  <w:color w:val="0000EE"/>
                  <w:w w:val="91"/>
                </w:rPr>
                <w:t>Burlington Coat Factory Warehouse Corporation, Burlington Coat Factory Holdings,</w:t>
              </w:r>
            </w:hyperlink>
          </w:p>
        </w:tc>
        <w:tc>
          <w:tcPr>
            <w:tcW w:w="160" w:type="dxa"/>
            <w:vAlign w:val="bottom"/>
            <w:tcBorders>
              <w:right w:val="single" w:sz="8" w:color="auto"/>
            </w:tcBorders>
            <w:gridSpan w:val="2"/>
          </w:tcPr>
          <w:p>
            <w:pPr>
              <w:spacing w:after="0"/>
              <w:rPr>
                <w:sz w:val="17"/>
                <w:szCs w:val="17"/>
                <w:color w:val="auto"/>
              </w:rPr>
            </w:pPr>
          </w:p>
        </w:tc>
        <w:tc>
          <w:tcPr>
            <w:tcW w:w="9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Report on</w:t>
            </w:r>
          </w:p>
        </w:tc>
        <w:tc>
          <w:tcPr>
            <w:tcW w:w="78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31, 2015</w:t>
            </w:r>
          </w:p>
        </w:tc>
      </w:tr>
      <w:tr>
        <w:trPr>
          <w:trHeight w:val="196"/>
        </w:trPr>
        <w:tc>
          <w:tcPr>
            <w:tcW w:w="680" w:type="dxa"/>
            <w:vAlign w:val="bottom"/>
            <w:tcBorders>
              <w:left w:val="single" w:sz="8" w:color="auto"/>
              <w:right w:val="single" w:sz="8" w:color="auto"/>
            </w:tcBorders>
          </w:tcPr>
          <w:p>
            <w:pPr>
              <w:spacing w:after="0"/>
              <w:rPr>
                <w:sz w:val="17"/>
                <w:szCs w:val="17"/>
                <w:color w:val="auto"/>
              </w:rPr>
            </w:pPr>
          </w:p>
        </w:tc>
        <w:tc>
          <w:tcPr>
            <w:tcW w:w="6260" w:type="dxa"/>
            <w:vAlign w:val="bottom"/>
            <w:tcBorders>
              <w:right w:val="single" w:sz="8" w:color="auto"/>
            </w:tcBorders>
            <w:gridSpan w:val="21"/>
          </w:tcPr>
          <w:p>
            <w:pPr>
              <w:spacing w:after="0" w:line="196" w:lineRule="exact"/>
              <w:rPr>
                <w:rFonts w:ascii="Arial" w:cs="Arial" w:eastAsia="Arial" w:hAnsi="Arial"/>
                <w:sz w:val="18"/>
                <w:szCs w:val="18"/>
                <w:color w:val="0000EE"/>
              </w:rPr>
            </w:pPr>
            <w:hyperlink r:id="rId162">
              <w:r>
                <w:rPr>
                  <w:rFonts w:ascii="Arial" w:cs="Arial" w:eastAsia="Arial" w:hAnsi="Arial"/>
                  <w:sz w:val="18"/>
                  <w:szCs w:val="18"/>
                  <w:color w:val="0000EE"/>
                </w:rPr>
                <w:t>LLC, Burlington Stores, Inc. and Thomas Kingsbury.</w:t>
              </w:r>
            </w:hyperlink>
          </w:p>
        </w:tc>
        <w:tc>
          <w:tcPr>
            <w:tcW w:w="9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w w:val="98"/>
              </w:rPr>
              <w:t>Form 10-Q</w:t>
            </w:r>
          </w:p>
        </w:tc>
        <w:tc>
          <w:tcPr>
            <w:tcW w:w="780" w:type="dxa"/>
            <w:vAlign w:val="bottom"/>
            <w:tcBorders>
              <w:right w:val="single" w:sz="8" w:color="auto"/>
            </w:tcBorders>
          </w:tcPr>
          <w:p>
            <w:pPr>
              <w:spacing w:after="0"/>
              <w:rPr>
                <w:sz w:val="17"/>
                <w:szCs w:val="17"/>
                <w:color w:val="auto"/>
              </w:rPr>
            </w:pPr>
          </w:p>
        </w:tc>
      </w:tr>
      <w:tr>
        <w:trPr>
          <w:trHeight w:val="222"/>
        </w:trPr>
        <w:tc>
          <w:tcPr>
            <w:tcW w:w="680" w:type="dxa"/>
            <w:vAlign w:val="bottom"/>
            <w:tcBorders>
              <w:left w:val="single" w:sz="8" w:color="auto"/>
              <w:right w:val="single" w:sz="8" w:color="auto"/>
            </w:tcBorders>
          </w:tcPr>
          <w:p>
            <w:pPr>
              <w:spacing w:after="0"/>
              <w:rPr>
                <w:sz w:val="19"/>
                <w:szCs w:val="19"/>
                <w:color w:val="auto"/>
              </w:rPr>
            </w:pPr>
          </w:p>
        </w:tc>
        <w:tc>
          <w:tcPr>
            <w:tcW w:w="2460" w:type="dxa"/>
            <w:vAlign w:val="bottom"/>
            <w:tcBorders>
              <w:top w:val="single" w:sz="8" w:color="0000EE"/>
            </w:tcBorders>
          </w:tcPr>
          <w:p>
            <w:pPr>
              <w:spacing w:after="0"/>
              <w:rPr>
                <w:sz w:val="19"/>
                <w:szCs w:val="19"/>
                <w:color w:val="auto"/>
              </w:rPr>
            </w:pPr>
          </w:p>
        </w:tc>
        <w:tc>
          <w:tcPr>
            <w:tcW w:w="84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380" w:type="dxa"/>
            <w:vAlign w:val="bottom"/>
            <w:tcBorders>
              <w:top w:val="single" w:sz="8" w:color="0000EE"/>
            </w:tcBorders>
          </w:tcPr>
          <w:p>
            <w:pPr>
              <w:spacing w:after="0"/>
              <w:rPr>
                <w:sz w:val="19"/>
                <w:szCs w:val="19"/>
                <w:color w:val="auto"/>
              </w:rPr>
            </w:pPr>
          </w:p>
        </w:tc>
        <w:tc>
          <w:tcPr>
            <w:tcW w:w="1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(File No.</w:t>
            </w:r>
          </w:p>
        </w:tc>
        <w:tc>
          <w:tcPr>
            <w:tcW w:w="780" w:type="dxa"/>
            <w:vAlign w:val="bottom"/>
            <w:tcBorders>
              <w:right w:val="single" w:sz="8" w:color="auto"/>
            </w:tcBorders>
          </w:tcPr>
          <w:p>
            <w:pPr>
              <w:spacing w:after="0"/>
              <w:rPr>
                <w:sz w:val="19"/>
                <w:szCs w:val="19"/>
                <w:color w:val="auto"/>
              </w:rPr>
            </w:pPr>
          </w:p>
        </w:tc>
      </w:tr>
      <w:tr>
        <w:trPr>
          <w:trHeight w:val="230"/>
        </w:trPr>
        <w:tc>
          <w:tcPr>
            <w:tcW w:w="680" w:type="dxa"/>
            <w:vAlign w:val="bottom"/>
            <w:tcBorders>
              <w:left w:val="single" w:sz="8" w:color="auto"/>
              <w:bottom w:val="single" w:sz="8" w:color="auto"/>
              <w:right w:val="single" w:sz="8" w:color="auto"/>
            </w:tcBorders>
          </w:tcPr>
          <w:p>
            <w:pPr>
              <w:spacing w:after="0"/>
              <w:rPr>
                <w:sz w:val="20"/>
                <w:szCs w:val="20"/>
                <w:color w:val="auto"/>
              </w:rPr>
            </w:pPr>
          </w:p>
        </w:tc>
        <w:tc>
          <w:tcPr>
            <w:tcW w:w="24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w w:val="93"/>
              </w:rPr>
              <w:t>001-36107)</w:t>
            </w:r>
          </w:p>
        </w:tc>
        <w:tc>
          <w:tcPr>
            <w:tcW w:w="780" w:type="dxa"/>
            <w:vAlign w:val="bottom"/>
            <w:tcBorders>
              <w:bottom w:val="single" w:sz="8" w:color="auto"/>
              <w:right w:val="single" w:sz="8" w:color="auto"/>
            </w:tcBorders>
          </w:tcPr>
          <w:p>
            <w:pPr>
              <w:spacing w:after="0"/>
              <w:rPr>
                <w:sz w:val="20"/>
                <w:szCs w:val="20"/>
                <w:color w:val="auto"/>
              </w:rPr>
            </w:pPr>
          </w:p>
        </w:tc>
      </w:tr>
      <w:tr>
        <w:trPr>
          <w:trHeight w:val="169"/>
        </w:trPr>
        <w:tc>
          <w:tcPr>
            <w:tcW w:w="680" w:type="dxa"/>
            <w:vAlign w:val="bottom"/>
            <w:tcBorders>
              <w:left w:val="single" w:sz="8" w:color="auto"/>
              <w:right w:val="single" w:sz="8" w:color="auto"/>
            </w:tcBorders>
          </w:tcPr>
          <w:p>
            <w:pPr>
              <w:spacing w:after="0" w:line="170" w:lineRule="exact"/>
              <w:rPr>
                <w:sz w:val="20"/>
                <w:szCs w:val="20"/>
                <w:color w:val="auto"/>
              </w:rPr>
            </w:pPr>
            <w:r>
              <w:rPr>
                <w:rFonts w:ascii="Arial" w:cs="Arial" w:eastAsia="Arial" w:hAnsi="Arial"/>
                <w:sz w:val="18"/>
                <w:szCs w:val="18"/>
                <w:color w:val="auto"/>
                <w:w w:val="90"/>
              </w:rPr>
              <w:t>10.17.4+</w:t>
            </w:r>
          </w:p>
        </w:tc>
        <w:tc>
          <w:tcPr>
            <w:tcW w:w="6000" w:type="dxa"/>
            <w:vAlign w:val="bottom"/>
            <w:tcBorders>
              <w:bottom w:val="single" w:sz="8" w:color="0000EE"/>
            </w:tcBorders>
            <w:gridSpan w:val="16"/>
          </w:tcPr>
          <w:p>
            <w:pPr>
              <w:spacing w:after="0" w:line="170" w:lineRule="exact"/>
              <w:rPr>
                <w:rFonts w:ascii="Arial" w:cs="Arial" w:eastAsia="Arial" w:hAnsi="Arial"/>
                <w:sz w:val="18"/>
                <w:szCs w:val="18"/>
                <w:color w:val="0000EE"/>
                <w:w w:val="91"/>
              </w:rPr>
            </w:pPr>
            <w:hyperlink r:id="rId163">
              <w:r>
                <w:rPr>
                  <w:rFonts w:ascii="Arial" w:cs="Arial" w:eastAsia="Arial" w:hAnsi="Arial"/>
                  <w:sz w:val="18"/>
                  <w:szCs w:val="18"/>
                  <w:color w:val="0000EE"/>
                  <w:w w:val="91"/>
                </w:rPr>
                <w:t>Amendment No. 4 to Employment Agreement, dated May 29, 2015, by and among</w:t>
              </w:r>
            </w:hyperlink>
          </w:p>
        </w:tc>
        <w:tc>
          <w:tcPr>
            <w:tcW w:w="260" w:type="dxa"/>
            <w:vAlign w:val="bottom"/>
            <w:tcBorders>
              <w:right w:val="single" w:sz="8" w:color="auto"/>
            </w:tcBorders>
            <w:gridSpan w:val="5"/>
          </w:tcPr>
          <w:p>
            <w:pPr>
              <w:spacing w:after="0"/>
              <w:rPr>
                <w:sz w:val="14"/>
                <w:szCs w:val="14"/>
                <w:color w:val="auto"/>
              </w:rPr>
            </w:pPr>
          </w:p>
        </w:tc>
        <w:tc>
          <w:tcPr>
            <w:tcW w:w="900" w:type="dxa"/>
            <w:vAlign w:val="bottom"/>
            <w:tcBorders>
              <w:right w:val="single" w:sz="8" w:color="auto"/>
            </w:tcBorders>
          </w:tcPr>
          <w:p>
            <w:pPr>
              <w:spacing w:after="0" w:line="170" w:lineRule="exact"/>
              <w:rPr>
                <w:sz w:val="20"/>
                <w:szCs w:val="20"/>
                <w:color w:val="auto"/>
              </w:rPr>
            </w:pPr>
            <w:r>
              <w:rPr>
                <w:rFonts w:ascii="Arial" w:cs="Arial" w:eastAsia="Arial" w:hAnsi="Arial"/>
                <w:sz w:val="18"/>
                <w:szCs w:val="18"/>
                <w:color w:val="auto"/>
              </w:rPr>
              <w:t>Current</w:t>
            </w:r>
          </w:p>
        </w:tc>
        <w:tc>
          <w:tcPr>
            <w:tcW w:w="780" w:type="dxa"/>
            <w:vAlign w:val="bottom"/>
            <w:tcBorders>
              <w:right w:val="single" w:sz="8" w:color="auto"/>
            </w:tcBorders>
          </w:tcPr>
          <w:p>
            <w:pPr>
              <w:spacing w:after="0" w:line="170" w:lineRule="exact"/>
              <w:rPr>
                <w:sz w:val="20"/>
                <w:szCs w:val="20"/>
                <w:color w:val="auto"/>
              </w:rPr>
            </w:pPr>
            <w:r>
              <w:rPr>
                <w:rFonts w:ascii="Arial" w:cs="Arial" w:eastAsia="Arial" w:hAnsi="Arial"/>
                <w:sz w:val="18"/>
                <w:szCs w:val="18"/>
                <w:color w:val="auto"/>
              </w:rPr>
              <w:t>June 1,</w:t>
            </w:r>
          </w:p>
        </w:tc>
      </w:tr>
      <w:tr>
        <w:trPr>
          <w:trHeight w:val="196"/>
        </w:trPr>
        <w:tc>
          <w:tcPr>
            <w:tcW w:w="680" w:type="dxa"/>
            <w:vAlign w:val="bottom"/>
            <w:tcBorders>
              <w:left w:val="single" w:sz="8" w:color="auto"/>
              <w:right w:val="single" w:sz="8" w:color="auto"/>
            </w:tcBorders>
          </w:tcPr>
          <w:p>
            <w:pPr>
              <w:spacing w:after="0"/>
              <w:rPr>
                <w:sz w:val="17"/>
                <w:szCs w:val="17"/>
                <w:color w:val="auto"/>
              </w:rPr>
            </w:pPr>
          </w:p>
        </w:tc>
        <w:tc>
          <w:tcPr>
            <w:tcW w:w="6100" w:type="dxa"/>
            <w:vAlign w:val="bottom"/>
            <w:tcBorders>
              <w:bottom w:val="single" w:sz="8" w:color="0000EE"/>
            </w:tcBorders>
            <w:gridSpan w:val="19"/>
          </w:tcPr>
          <w:p>
            <w:pPr>
              <w:spacing w:after="0" w:line="196" w:lineRule="exact"/>
              <w:rPr>
                <w:rFonts w:ascii="Arial" w:cs="Arial" w:eastAsia="Arial" w:hAnsi="Arial"/>
                <w:sz w:val="18"/>
                <w:szCs w:val="18"/>
                <w:color w:val="0000EE"/>
                <w:w w:val="91"/>
              </w:rPr>
            </w:pPr>
            <w:hyperlink r:id="rId163">
              <w:r>
                <w:rPr>
                  <w:rFonts w:ascii="Arial" w:cs="Arial" w:eastAsia="Arial" w:hAnsi="Arial"/>
                  <w:sz w:val="18"/>
                  <w:szCs w:val="18"/>
                  <w:color w:val="0000EE"/>
                  <w:w w:val="91"/>
                </w:rPr>
                <w:t>Burlington Coat Factory Warehouse Corporation, Burlington Coat Factory Holdings,</w:t>
              </w:r>
            </w:hyperlink>
          </w:p>
        </w:tc>
        <w:tc>
          <w:tcPr>
            <w:tcW w:w="160" w:type="dxa"/>
            <w:vAlign w:val="bottom"/>
            <w:tcBorders>
              <w:right w:val="single" w:sz="8" w:color="auto"/>
            </w:tcBorders>
            <w:gridSpan w:val="2"/>
          </w:tcPr>
          <w:p>
            <w:pPr>
              <w:spacing w:after="0"/>
              <w:rPr>
                <w:sz w:val="17"/>
                <w:szCs w:val="17"/>
                <w:color w:val="auto"/>
              </w:rPr>
            </w:pPr>
          </w:p>
        </w:tc>
        <w:tc>
          <w:tcPr>
            <w:tcW w:w="9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Report on</w:t>
            </w:r>
          </w:p>
        </w:tc>
        <w:tc>
          <w:tcPr>
            <w:tcW w:w="78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2015</w:t>
            </w:r>
          </w:p>
        </w:tc>
      </w:tr>
      <w:tr>
        <w:trPr>
          <w:trHeight w:val="196"/>
        </w:trPr>
        <w:tc>
          <w:tcPr>
            <w:tcW w:w="680" w:type="dxa"/>
            <w:vAlign w:val="bottom"/>
            <w:tcBorders>
              <w:left w:val="single" w:sz="8" w:color="auto"/>
              <w:right w:val="single" w:sz="8" w:color="auto"/>
            </w:tcBorders>
          </w:tcPr>
          <w:p>
            <w:pPr>
              <w:spacing w:after="0"/>
              <w:rPr>
                <w:sz w:val="17"/>
                <w:szCs w:val="17"/>
                <w:color w:val="auto"/>
              </w:rPr>
            </w:pPr>
          </w:p>
        </w:tc>
        <w:tc>
          <w:tcPr>
            <w:tcW w:w="6260" w:type="dxa"/>
            <w:vAlign w:val="bottom"/>
            <w:tcBorders>
              <w:right w:val="single" w:sz="8" w:color="auto"/>
            </w:tcBorders>
            <w:gridSpan w:val="21"/>
          </w:tcPr>
          <w:p>
            <w:pPr>
              <w:spacing w:after="0" w:line="196" w:lineRule="exact"/>
              <w:rPr>
                <w:rFonts w:ascii="Arial" w:cs="Arial" w:eastAsia="Arial" w:hAnsi="Arial"/>
                <w:sz w:val="18"/>
                <w:szCs w:val="18"/>
                <w:color w:val="0000EE"/>
              </w:rPr>
            </w:pPr>
            <w:hyperlink r:id="rId163">
              <w:r>
                <w:rPr>
                  <w:rFonts w:ascii="Arial" w:cs="Arial" w:eastAsia="Arial" w:hAnsi="Arial"/>
                  <w:sz w:val="18"/>
                  <w:szCs w:val="18"/>
                  <w:color w:val="0000EE"/>
                </w:rPr>
                <w:t>LLC, Burlington Stores, Inc. and Thomas Kingsbury.</w:t>
              </w:r>
            </w:hyperlink>
          </w:p>
        </w:tc>
        <w:tc>
          <w:tcPr>
            <w:tcW w:w="9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Form 8-K</w:t>
            </w:r>
          </w:p>
        </w:tc>
        <w:tc>
          <w:tcPr>
            <w:tcW w:w="780" w:type="dxa"/>
            <w:vAlign w:val="bottom"/>
            <w:tcBorders>
              <w:right w:val="single" w:sz="8" w:color="auto"/>
            </w:tcBorders>
          </w:tcPr>
          <w:p>
            <w:pPr>
              <w:spacing w:after="0"/>
              <w:rPr>
                <w:sz w:val="17"/>
                <w:szCs w:val="17"/>
                <w:color w:val="auto"/>
              </w:rPr>
            </w:pPr>
          </w:p>
        </w:tc>
      </w:tr>
      <w:tr>
        <w:trPr>
          <w:trHeight w:val="222"/>
        </w:trPr>
        <w:tc>
          <w:tcPr>
            <w:tcW w:w="680" w:type="dxa"/>
            <w:vAlign w:val="bottom"/>
            <w:tcBorders>
              <w:left w:val="single" w:sz="8" w:color="auto"/>
              <w:right w:val="single" w:sz="8" w:color="auto"/>
            </w:tcBorders>
          </w:tcPr>
          <w:p>
            <w:pPr>
              <w:spacing w:after="0"/>
              <w:rPr>
                <w:sz w:val="19"/>
                <w:szCs w:val="19"/>
                <w:color w:val="auto"/>
              </w:rPr>
            </w:pPr>
          </w:p>
        </w:tc>
        <w:tc>
          <w:tcPr>
            <w:tcW w:w="2460" w:type="dxa"/>
            <w:vAlign w:val="bottom"/>
            <w:tcBorders>
              <w:top w:val="single" w:sz="8" w:color="0000EE"/>
            </w:tcBorders>
          </w:tcPr>
          <w:p>
            <w:pPr>
              <w:spacing w:after="0"/>
              <w:rPr>
                <w:sz w:val="19"/>
                <w:szCs w:val="19"/>
                <w:color w:val="auto"/>
              </w:rPr>
            </w:pPr>
          </w:p>
        </w:tc>
        <w:tc>
          <w:tcPr>
            <w:tcW w:w="84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380" w:type="dxa"/>
            <w:vAlign w:val="bottom"/>
            <w:tcBorders>
              <w:top w:val="single" w:sz="8" w:color="0000EE"/>
            </w:tcBorders>
          </w:tcPr>
          <w:p>
            <w:pPr>
              <w:spacing w:after="0"/>
              <w:rPr>
                <w:sz w:val="19"/>
                <w:szCs w:val="19"/>
                <w:color w:val="auto"/>
              </w:rPr>
            </w:pPr>
          </w:p>
        </w:tc>
        <w:tc>
          <w:tcPr>
            <w:tcW w:w="1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(File No.</w:t>
            </w:r>
          </w:p>
        </w:tc>
        <w:tc>
          <w:tcPr>
            <w:tcW w:w="780" w:type="dxa"/>
            <w:vAlign w:val="bottom"/>
            <w:tcBorders>
              <w:right w:val="single" w:sz="8" w:color="auto"/>
            </w:tcBorders>
          </w:tcPr>
          <w:p>
            <w:pPr>
              <w:spacing w:after="0"/>
              <w:rPr>
                <w:sz w:val="19"/>
                <w:szCs w:val="19"/>
                <w:color w:val="auto"/>
              </w:rPr>
            </w:pPr>
          </w:p>
        </w:tc>
      </w:tr>
      <w:tr>
        <w:trPr>
          <w:trHeight w:val="230"/>
        </w:trPr>
        <w:tc>
          <w:tcPr>
            <w:tcW w:w="680" w:type="dxa"/>
            <w:vAlign w:val="bottom"/>
            <w:tcBorders>
              <w:left w:val="single" w:sz="8" w:color="auto"/>
              <w:bottom w:val="single" w:sz="8" w:color="auto"/>
              <w:right w:val="single" w:sz="8" w:color="auto"/>
            </w:tcBorders>
          </w:tcPr>
          <w:p>
            <w:pPr>
              <w:spacing w:after="0"/>
              <w:rPr>
                <w:sz w:val="20"/>
                <w:szCs w:val="20"/>
                <w:color w:val="auto"/>
              </w:rPr>
            </w:pPr>
          </w:p>
        </w:tc>
        <w:tc>
          <w:tcPr>
            <w:tcW w:w="24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w w:val="93"/>
              </w:rPr>
              <w:t>001-36107)</w:t>
            </w:r>
          </w:p>
        </w:tc>
        <w:tc>
          <w:tcPr>
            <w:tcW w:w="780" w:type="dxa"/>
            <w:vAlign w:val="bottom"/>
            <w:tcBorders>
              <w:bottom w:val="single" w:sz="8" w:color="auto"/>
              <w:right w:val="single" w:sz="8" w:color="auto"/>
            </w:tcBorders>
          </w:tcPr>
          <w:p>
            <w:pPr>
              <w:spacing w:after="0"/>
              <w:rPr>
                <w:sz w:val="20"/>
                <w:szCs w:val="20"/>
                <w:color w:val="auto"/>
              </w:rPr>
            </w:pPr>
          </w:p>
        </w:tc>
      </w:tr>
      <w:tr>
        <w:trPr>
          <w:trHeight w:val="169"/>
        </w:trPr>
        <w:tc>
          <w:tcPr>
            <w:tcW w:w="680" w:type="dxa"/>
            <w:vAlign w:val="bottom"/>
            <w:tcBorders>
              <w:left w:val="single" w:sz="8" w:color="auto"/>
              <w:right w:val="single" w:sz="8" w:color="auto"/>
            </w:tcBorders>
          </w:tcPr>
          <w:p>
            <w:pPr>
              <w:spacing w:after="0" w:line="170" w:lineRule="exact"/>
              <w:rPr>
                <w:sz w:val="20"/>
                <w:szCs w:val="20"/>
                <w:color w:val="auto"/>
              </w:rPr>
            </w:pPr>
            <w:r>
              <w:rPr>
                <w:rFonts w:ascii="Arial" w:cs="Arial" w:eastAsia="Arial" w:hAnsi="Arial"/>
                <w:sz w:val="18"/>
                <w:szCs w:val="18"/>
                <w:color w:val="auto"/>
                <w:w w:val="90"/>
              </w:rPr>
              <w:t>10.17.5+</w:t>
            </w:r>
          </w:p>
        </w:tc>
        <w:tc>
          <w:tcPr>
            <w:tcW w:w="5840" w:type="dxa"/>
            <w:vAlign w:val="bottom"/>
            <w:tcBorders>
              <w:bottom w:val="single" w:sz="8" w:color="0000EE"/>
            </w:tcBorders>
            <w:gridSpan w:val="11"/>
          </w:tcPr>
          <w:p>
            <w:pPr>
              <w:spacing w:after="0" w:line="170" w:lineRule="exact"/>
              <w:rPr>
                <w:rFonts w:ascii="Arial" w:cs="Arial" w:eastAsia="Arial" w:hAnsi="Arial"/>
                <w:sz w:val="18"/>
                <w:szCs w:val="18"/>
                <w:color w:val="0000EE"/>
                <w:w w:val="90"/>
              </w:rPr>
            </w:pPr>
            <w:hyperlink r:id="rId164">
              <w:r>
                <w:rPr>
                  <w:rFonts w:ascii="Arial" w:cs="Arial" w:eastAsia="Arial" w:hAnsi="Arial"/>
                  <w:sz w:val="18"/>
                  <w:szCs w:val="18"/>
                  <w:color w:val="0000EE"/>
                  <w:w w:val="90"/>
                </w:rPr>
                <w:t>Amendment No. 5 to Employment Agreement, dated July 7, 2015, by and among</w:t>
              </w:r>
            </w:hyperlink>
          </w:p>
        </w:tc>
        <w:tc>
          <w:tcPr>
            <w:tcW w:w="420" w:type="dxa"/>
            <w:vAlign w:val="bottom"/>
            <w:tcBorders>
              <w:right w:val="single" w:sz="8" w:color="auto"/>
            </w:tcBorders>
            <w:gridSpan w:val="10"/>
          </w:tcPr>
          <w:p>
            <w:pPr>
              <w:spacing w:after="0"/>
              <w:rPr>
                <w:sz w:val="14"/>
                <w:szCs w:val="14"/>
                <w:color w:val="auto"/>
              </w:rPr>
            </w:pPr>
          </w:p>
        </w:tc>
        <w:tc>
          <w:tcPr>
            <w:tcW w:w="900" w:type="dxa"/>
            <w:vAlign w:val="bottom"/>
            <w:tcBorders>
              <w:right w:val="single" w:sz="8" w:color="auto"/>
            </w:tcBorders>
          </w:tcPr>
          <w:p>
            <w:pPr>
              <w:spacing w:after="0" w:line="170" w:lineRule="exact"/>
              <w:rPr>
                <w:sz w:val="20"/>
                <w:szCs w:val="20"/>
                <w:color w:val="auto"/>
              </w:rPr>
            </w:pPr>
            <w:r>
              <w:rPr>
                <w:rFonts w:ascii="Arial" w:cs="Arial" w:eastAsia="Arial" w:hAnsi="Arial"/>
                <w:sz w:val="18"/>
                <w:szCs w:val="18"/>
                <w:color w:val="auto"/>
              </w:rPr>
              <w:t>Current</w:t>
            </w:r>
          </w:p>
        </w:tc>
        <w:tc>
          <w:tcPr>
            <w:tcW w:w="780" w:type="dxa"/>
            <w:vAlign w:val="bottom"/>
            <w:tcBorders>
              <w:right w:val="single" w:sz="8" w:color="auto"/>
            </w:tcBorders>
          </w:tcPr>
          <w:p>
            <w:pPr>
              <w:spacing w:after="0" w:line="170" w:lineRule="exact"/>
              <w:rPr>
                <w:sz w:val="20"/>
                <w:szCs w:val="20"/>
                <w:color w:val="auto"/>
              </w:rPr>
            </w:pPr>
            <w:r>
              <w:rPr>
                <w:rFonts w:ascii="Arial" w:cs="Arial" w:eastAsia="Arial" w:hAnsi="Arial"/>
                <w:sz w:val="18"/>
                <w:szCs w:val="18"/>
                <w:color w:val="auto"/>
              </w:rPr>
              <w:t>July 7,</w:t>
            </w:r>
          </w:p>
        </w:tc>
      </w:tr>
      <w:tr>
        <w:trPr>
          <w:trHeight w:val="196"/>
        </w:trPr>
        <w:tc>
          <w:tcPr>
            <w:tcW w:w="680" w:type="dxa"/>
            <w:vAlign w:val="bottom"/>
            <w:tcBorders>
              <w:left w:val="single" w:sz="8" w:color="auto"/>
              <w:right w:val="single" w:sz="8" w:color="auto"/>
            </w:tcBorders>
          </w:tcPr>
          <w:p>
            <w:pPr>
              <w:spacing w:after="0"/>
              <w:rPr>
                <w:sz w:val="17"/>
                <w:szCs w:val="17"/>
                <w:color w:val="auto"/>
              </w:rPr>
            </w:pPr>
          </w:p>
        </w:tc>
        <w:tc>
          <w:tcPr>
            <w:tcW w:w="6100" w:type="dxa"/>
            <w:vAlign w:val="bottom"/>
            <w:tcBorders>
              <w:bottom w:val="single" w:sz="8" w:color="0000EE"/>
            </w:tcBorders>
            <w:gridSpan w:val="19"/>
          </w:tcPr>
          <w:p>
            <w:pPr>
              <w:spacing w:after="0" w:line="196" w:lineRule="exact"/>
              <w:rPr>
                <w:rFonts w:ascii="Arial" w:cs="Arial" w:eastAsia="Arial" w:hAnsi="Arial"/>
                <w:sz w:val="18"/>
                <w:szCs w:val="18"/>
                <w:color w:val="0000EE"/>
                <w:w w:val="91"/>
              </w:rPr>
            </w:pPr>
            <w:hyperlink r:id="rId164">
              <w:r>
                <w:rPr>
                  <w:rFonts w:ascii="Arial" w:cs="Arial" w:eastAsia="Arial" w:hAnsi="Arial"/>
                  <w:sz w:val="18"/>
                  <w:szCs w:val="18"/>
                  <w:color w:val="0000EE"/>
                  <w:w w:val="91"/>
                </w:rPr>
                <w:t>Burlington Coat Factory Warehouse Corporation, Burlington Coat Factory Holdings,</w:t>
              </w:r>
            </w:hyperlink>
          </w:p>
        </w:tc>
        <w:tc>
          <w:tcPr>
            <w:tcW w:w="160" w:type="dxa"/>
            <w:vAlign w:val="bottom"/>
            <w:tcBorders>
              <w:right w:val="single" w:sz="8" w:color="auto"/>
            </w:tcBorders>
            <w:gridSpan w:val="2"/>
          </w:tcPr>
          <w:p>
            <w:pPr>
              <w:spacing w:after="0"/>
              <w:rPr>
                <w:sz w:val="17"/>
                <w:szCs w:val="17"/>
                <w:color w:val="auto"/>
              </w:rPr>
            </w:pPr>
          </w:p>
        </w:tc>
        <w:tc>
          <w:tcPr>
            <w:tcW w:w="9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Report on</w:t>
            </w:r>
          </w:p>
        </w:tc>
        <w:tc>
          <w:tcPr>
            <w:tcW w:w="78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2015</w:t>
            </w:r>
          </w:p>
        </w:tc>
      </w:tr>
      <w:tr>
        <w:trPr>
          <w:trHeight w:val="196"/>
        </w:trPr>
        <w:tc>
          <w:tcPr>
            <w:tcW w:w="680" w:type="dxa"/>
            <w:vAlign w:val="bottom"/>
            <w:tcBorders>
              <w:left w:val="single" w:sz="8" w:color="auto"/>
              <w:right w:val="single" w:sz="8" w:color="auto"/>
            </w:tcBorders>
          </w:tcPr>
          <w:p>
            <w:pPr>
              <w:spacing w:after="0"/>
              <w:rPr>
                <w:sz w:val="17"/>
                <w:szCs w:val="17"/>
                <w:color w:val="auto"/>
              </w:rPr>
            </w:pPr>
          </w:p>
        </w:tc>
        <w:tc>
          <w:tcPr>
            <w:tcW w:w="6260" w:type="dxa"/>
            <w:vAlign w:val="bottom"/>
            <w:tcBorders>
              <w:right w:val="single" w:sz="8" w:color="auto"/>
            </w:tcBorders>
            <w:gridSpan w:val="21"/>
          </w:tcPr>
          <w:p>
            <w:pPr>
              <w:spacing w:after="0" w:line="196" w:lineRule="exact"/>
              <w:rPr>
                <w:rFonts w:ascii="Arial" w:cs="Arial" w:eastAsia="Arial" w:hAnsi="Arial"/>
                <w:sz w:val="18"/>
                <w:szCs w:val="18"/>
                <w:color w:val="0000EE"/>
              </w:rPr>
            </w:pPr>
            <w:hyperlink r:id="rId164">
              <w:r>
                <w:rPr>
                  <w:rFonts w:ascii="Arial" w:cs="Arial" w:eastAsia="Arial" w:hAnsi="Arial"/>
                  <w:sz w:val="18"/>
                  <w:szCs w:val="18"/>
                  <w:color w:val="0000EE"/>
                </w:rPr>
                <w:t>LLC, Burlington Stores, Inc. and Thomas Kingsbury.</w:t>
              </w:r>
            </w:hyperlink>
          </w:p>
        </w:tc>
        <w:tc>
          <w:tcPr>
            <w:tcW w:w="9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Form 8-K</w:t>
            </w:r>
          </w:p>
        </w:tc>
        <w:tc>
          <w:tcPr>
            <w:tcW w:w="780" w:type="dxa"/>
            <w:vAlign w:val="bottom"/>
            <w:tcBorders>
              <w:right w:val="single" w:sz="8" w:color="auto"/>
            </w:tcBorders>
          </w:tcPr>
          <w:p>
            <w:pPr>
              <w:spacing w:after="0"/>
              <w:rPr>
                <w:sz w:val="17"/>
                <w:szCs w:val="17"/>
                <w:color w:val="auto"/>
              </w:rPr>
            </w:pPr>
          </w:p>
        </w:tc>
      </w:tr>
      <w:tr>
        <w:trPr>
          <w:trHeight w:val="222"/>
        </w:trPr>
        <w:tc>
          <w:tcPr>
            <w:tcW w:w="680" w:type="dxa"/>
            <w:vAlign w:val="bottom"/>
            <w:tcBorders>
              <w:left w:val="single" w:sz="8" w:color="auto"/>
              <w:right w:val="single" w:sz="8" w:color="auto"/>
            </w:tcBorders>
          </w:tcPr>
          <w:p>
            <w:pPr>
              <w:spacing w:after="0"/>
              <w:rPr>
                <w:sz w:val="19"/>
                <w:szCs w:val="19"/>
                <w:color w:val="auto"/>
              </w:rPr>
            </w:pPr>
          </w:p>
        </w:tc>
        <w:tc>
          <w:tcPr>
            <w:tcW w:w="2460" w:type="dxa"/>
            <w:vAlign w:val="bottom"/>
            <w:tcBorders>
              <w:top w:val="single" w:sz="8" w:color="0000EE"/>
            </w:tcBorders>
          </w:tcPr>
          <w:p>
            <w:pPr>
              <w:spacing w:after="0"/>
              <w:rPr>
                <w:sz w:val="19"/>
                <w:szCs w:val="19"/>
                <w:color w:val="auto"/>
              </w:rPr>
            </w:pPr>
          </w:p>
        </w:tc>
        <w:tc>
          <w:tcPr>
            <w:tcW w:w="84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380" w:type="dxa"/>
            <w:vAlign w:val="bottom"/>
            <w:tcBorders>
              <w:top w:val="single" w:sz="8" w:color="0000EE"/>
            </w:tcBorders>
          </w:tcPr>
          <w:p>
            <w:pPr>
              <w:spacing w:after="0"/>
              <w:rPr>
                <w:sz w:val="19"/>
                <w:szCs w:val="19"/>
                <w:color w:val="auto"/>
              </w:rPr>
            </w:pPr>
          </w:p>
        </w:tc>
        <w:tc>
          <w:tcPr>
            <w:tcW w:w="1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(File No.</w:t>
            </w:r>
          </w:p>
        </w:tc>
        <w:tc>
          <w:tcPr>
            <w:tcW w:w="780" w:type="dxa"/>
            <w:vAlign w:val="bottom"/>
            <w:tcBorders>
              <w:right w:val="single" w:sz="8" w:color="auto"/>
            </w:tcBorders>
          </w:tcPr>
          <w:p>
            <w:pPr>
              <w:spacing w:after="0"/>
              <w:rPr>
                <w:sz w:val="19"/>
                <w:szCs w:val="19"/>
                <w:color w:val="auto"/>
              </w:rPr>
            </w:pPr>
          </w:p>
        </w:tc>
      </w:tr>
      <w:tr>
        <w:trPr>
          <w:trHeight w:val="230"/>
        </w:trPr>
        <w:tc>
          <w:tcPr>
            <w:tcW w:w="680" w:type="dxa"/>
            <w:vAlign w:val="bottom"/>
            <w:tcBorders>
              <w:left w:val="single" w:sz="8" w:color="auto"/>
              <w:bottom w:val="single" w:sz="8" w:color="auto"/>
              <w:right w:val="single" w:sz="8" w:color="auto"/>
            </w:tcBorders>
          </w:tcPr>
          <w:p>
            <w:pPr>
              <w:spacing w:after="0"/>
              <w:rPr>
                <w:sz w:val="20"/>
                <w:szCs w:val="20"/>
                <w:color w:val="auto"/>
              </w:rPr>
            </w:pPr>
          </w:p>
        </w:tc>
        <w:tc>
          <w:tcPr>
            <w:tcW w:w="24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w w:val="93"/>
              </w:rPr>
              <w:t>001-36107)</w:t>
            </w:r>
          </w:p>
        </w:tc>
        <w:tc>
          <w:tcPr>
            <w:tcW w:w="780" w:type="dxa"/>
            <w:vAlign w:val="bottom"/>
            <w:tcBorders>
              <w:bottom w:val="single" w:sz="8" w:color="auto"/>
              <w:right w:val="single" w:sz="8" w:color="auto"/>
            </w:tcBorders>
          </w:tcPr>
          <w:p>
            <w:pPr>
              <w:spacing w:after="0"/>
              <w:rPr>
                <w:sz w:val="20"/>
                <w:szCs w:val="20"/>
                <w:color w:val="auto"/>
              </w:rPr>
            </w:pPr>
          </w:p>
        </w:tc>
      </w:tr>
      <w:tr>
        <w:trPr>
          <w:trHeight w:val="169"/>
        </w:trPr>
        <w:tc>
          <w:tcPr>
            <w:tcW w:w="680" w:type="dxa"/>
            <w:vAlign w:val="bottom"/>
            <w:tcBorders>
              <w:left w:val="single" w:sz="8" w:color="auto"/>
              <w:right w:val="single" w:sz="8" w:color="auto"/>
            </w:tcBorders>
          </w:tcPr>
          <w:p>
            <w:pPr>
              <w:spacing w:after="0" w:line="170" w:lineRule="exact"/>
              <w:rPr>
                <w:sz w:val="20"/>
                <w:szCs w:val="20"/>
                <w:color w:val="auto"/>
              </w:rPr>
            </w:pPr>
            <w:r>
              <w:rPr>
                <w:rFonts w:ascii="Arial" w:cs="Arial" w:eastAsia="Arial" w:hAnsi="Arial"/>
                <w:sz w:val="18"/>
                <w:szCs w:val="18"/>
                <w:color w:val="auto"/>
                <w:w w:val="90"/>
              </w:rPr>
              <w:t>10.17.6+</w:t>
            </w:r>
          </w:p>
        </w:tc>
        <w:tc>
          <w:tcPr>
            <w:tcW w:w="6260" w:type="dxa"/>
            <w:vAlign w:val="bottom"/>
            <w:tcBorders>
              <w:right w:val="single" w:sz="8" w:color="auto"/>
            </w:tcBorders>
            <w:gridSpan w:val="21"/>
          </w:tcPr>
          <w:p>
            <w:pPr>
              <w:spacing w:after="0" w:line="170" w:lineRule="exact"/>
              <w:rPr>
                <w:rFonts w:ascii="Arial" w:cs="Arial" w:eastAsia="Arial" w:hAnsi="Arial"/>
                <w:sz w:val="18"/>
                <w:szCs w:val="18"/>
                <w:color w:val="0000EE"/>
                <w:w w:val="90"/>
              </w:rPr>
            </w:pPr>
            <w:hyperlink r:id="rId165">
              <w:r>
                <w:rPr>
                  <w:rFonts w:ascii="Arial" w:cs="Arial" w:eastAsia="Arial" w:hAnsi="Arial"/>
                  <w:sz w:val="18"/>
                  <w:szCs w:val="18"/>
                  <w:color w:val="0000EE"/>
                  <w:w w:val="90"/>
                </w:rPr>
                <w:t>Amendment No. 6 to Employment Agreement, dated January 20, 2017, by and among</w:t>
              </w:r>
            </w:hyperlink>
          </w:p>
        </w:tc>
        <w:tc>
          <w:tcPr>
            <w:tcW w:w="900" w:type="dxa"/>
            <w:vAlign w:val="bottom"/>
            <w:tcBorders>
              <w:right w:val="single" w:sz="8" w:color="auto"/>
            </w:tcBorders>
          </w:tcPr>
          <w:p>
            <w:pPr>
              <w:spacing w:after="0" w:line="170" w:lineRule="exact"/>
              <w:rPr>
                <w:sz w:val="20"/>
                <w:szCs w:val="20"/>
                <w:color w:val="auto"/>
              </w:rPr>
            </w:pPr>
            <w:r>
              <w:rPr>
                <w:rFonts w:ascii="Arial" w:cs="Arial" w:eastAsia="Arial" w:hAnsi="Arial"/>
                <w:sz w:val="18"/>
                <w:szCs w:val="18"/>
                <w:color w:val="auto"/>
              </w:rPr>
              <w:t>Current</w:t>
            </w:r>
          </w:p>
        </w:tc>
        <w:tc>
          <w:tcPr>
            <w:tcW w:w="780" w:type="dxa"/>
            <w:vAlign w:val="bottom"/>
            <w:tcBorders>
              <w:right w:val="single" w:sz="8" w:color="auto"/>
            </w:tcBorders>
          </w:tcPr>
          <w:p>
            <w:pPr>
              <w:spacing w:after="0" w:line="170" w:lineRule="exact"/>
              <w:rPr>
                <w:sz w:val="20"/>
                <w:szCs w:val="20"/>
                <w:color w:val="auto"/>
              </w:rPr>
            </w:pPr>
            <w:r>
              <w:rPr>
                <w:rFonts w:ascii="Arial" w:cs="Arial" w:eastAsia="Arial" w:hAnsi="Arial"/>
                <w:sz w:val="18"/>
                <w:szCs w:val="18"/>
                <w:color w:val="auto"/>
              </w:rPr>
              <w:t>January</w:t>
            </w:r>
          </w:p>
        </w:tc>
      </w:tr>
      <w:tr>
        <w:trPr>
          <w:trHeight w:val="196"/>
        </w:trPr>
        <w:tc>
          <w:tcPr>
            <w:tcW w:w="680" w:type="dxa"/>
            <w:vAlign w:val="bottom"/>
            <w:tcBorders>
              <w:left w:val="single" w:sz="8" w:color="auto"/>
              <w:right w:val="single" w:sz="8" w:color="auto"/>
            </w:tcBorders>
          </w:tcPr>
          <w:p>
            <w:pPr>
              <w:spacing w:after="0"/>
              <w:rPr>
                <w:sz w:val="17"/>
                <w:szCs w:val="17"/>
                <w:color w:val="auto"/>
              </w:rPr>
            </w:pPr>
          </w:p>
        </w:tc>
        <w:tc>
          <w:tcPr>
            <w:tcW w:w="6100" w:type="dxa"/>
            <w:vAlign w:val="bottom"/>
            <w:tcBorders>
              <w:top w:val="single" w:sz="8" w:color="0000EE"/>
              <w:bottom w:val="single" w:sz="8" w:color="0000EE"/>
            </w:tcBorders>
            <w:gridSpan w:val="19"/>
          </w:tcPr>
          <w:p>
            <w:pPr>
              <w:spacing w:after="0" w:line="196" w:lineRule="exact"/>
              <w:rPr>
                <w:rFonts w:ascii="Arial" w:cs="Arial" w:eastAsia="Arial" w:hAnsi="Arial"/>
                <w:sz w:val="18"/>
                <w:szCs w:val="18"/>
                <w:color w:val="0000EE"/>
                <w:w w:val="91"/>
              </w:rPr>
            </w:pPr>
            <w:hyperlink r:id="rId165">
              <w:r>
                <w:rPr>
                  <w:rFonts w:ascii="Arial" w:cs="Arial" w:eastAsia="Arial" w:hAnsi="Arial"/>
                  <w:sz w:val="18"/>
                  <w:szCs w:val="18"/>
                  <w:color w:val="0000EE"/>
                  <w:w w:val="91"/>
                </w:rPr>
                <w:t>Burlington Coat Factory Warehouse Corporation, Burlington Coat Factory Holdings,</w:t>
              </w:r>
            </w:hyperlink>
          </w:p>
        </w:tc>
        <w:tc>
          <w:tcPr>
            <w:tcW w:w="80" w:type="dxa"/>
            <w:vAlign w:val="bottom"/>
            <w:tcBorders>
              <w:top w:val="single" w:sz="8" w:color="0000EE"/>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Report on</w:t>
            </w:r>
          </w:p>
        </w:tc>
        <w:tc>
          <w:tcPr>
            <w:tcW w:w="78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20, 2017</w:t>
            </w:r>
          </w:p>
        </w:tc>
      </w:tr>
      <w:tr>
        <w:trPr>
          <w:trHeight w:val="196"/>
        </w:trPr>
        <w:tc>
          <w:tcPr>
            <w:tcW w:w="680" w:type="dxa"/>
            <w:vAlign w:val="bottom"/>
            <w:tcBorders>
              <w:left w:val="single" w:sz="8" w:color="auto"/>
              <w:right w:val="single" w:sz="8" w:color="auto"/>
            </w:tcBorders>
          </w:tcPr>
          <w:p>
            <w:pPr>
              <w:spacing w:after="0"/>
              <w:rPr>
                <w:sz w:val="17"/>
                <w:szCs w:val="17"/>
                <w:color w:val="auto"/>
              </w:rPr>
            </w:pPr>
          </w:p>
        </w:tc>
        <w:tc>
          <w:tcPr>
            <w:tcW w:w="6260" w:type="dxa"/>
            <w:vAlign w:val="bottom"/>
            <w:tcBorders>
              <w:right w:val="single" w:sz="8" w:color="auto"/>
            </w:tcBorders>
            <w:gridSpan w:val="21"/>
          </w:tcPr>
          <w:p>
            <w:pPr>
              <w:spacing w:after="0" w:line="196" w:lineRule="exact"/>
              <w:rPr>
                <w:rFonts w:ascii="Arial" w:cs="Arial" w:eastAsia="Arial" w:hAnsi="Arial"/>
                <w:sz w:val="18"/>
                <w:szCs w:val="18"/>
                <w:color w:val="0000EE"/>
              </w:rPr>
            </w:pPr>
            <w:hyperlink r:id="rId165">
              <w:r>
                <w:rPr>
                  <w:rFonts w:ascii="Arial" w:cs="Arial" w:eastAsia="Arial" w:hAnsi="Arial"/>
                  <w:sz w:val="18"/>
                  <w:szCs w:val="18"/>
                  <w:color w:val="0000EE"/>
                </w:rPr>
                <w:t>LLC, Burlington Stores, Inc. and Thomas Kingsbury.</w:t>
              </w:r>
            </w:hyperlink>
          </w:p>
        </w:tc>
        <w:tc>
          <w:tcPr>
            <w:tcW w:w="9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Form 8-K</w:t>
            </w:r>
          </w:p>
        </w:tc>
        <w:tc>
          <w:tcPr>
            <w:tcW w:w="780" w:type="dxa"/>
            <w:vAlign w:val="bottom"/>
            <w:tcBorders>
              <w:right w:val="single" w:sz="8" w:color="auto"/>
            </w:tcBorders>
          </w:tcPr>
          <w:p>
            <w:pPr>
              <w:spacing w:after="0"/>
              <w:rPr>
                <w:sz w:val="17"/>
                <w:szCs w:val="17"/>
                <w:color w:val="auto"/>
              </w:rPr>
            </w:pPr>
          </w:p>
        </w:tc>
      </w:tr>
      <w:tr>
        <w:trPr>
          <w:trHeight w:val="222"/>
        </w:trPr>
        <w:tc>
          <w:tcPr>
            <w:tcW w:w="680" w:type="dxa"/>
            <w:vAlign w:val="bottom"/>
            <w:tcBorders>
              <w:left w:val="single" w:sz="8" w:color="auto"/>
              <w:right w:val="single" w:sz="8" w:color="auto"/>
            </w:tcBorders>
          </w:tcPr>
          <w:p>
            <w:pPr>
              <w:spacing w:after="0"/>
              <w:rPr>
                <w:sz w:val="19"/>
                <w:szCs w:val="19"/>
                <w:color w:val="auto"/>
              </w:rPr>
            </w:pPr>
          </w:p>
        </w:tc>
        <w:tc>
          <w:tcPr>
            <w:tcW w:w="2460" w:type="dxa"/>
            <w:vAlign w:val="bottom"/>
            <w:tcBorders>
              <w:top w:val="single" w:sz="8" w:color="0000EE"/>
            </w:tcBorders>
          </w:tcPr>
          <w:p>
            <w:pPr>
              <w:spacing w:after="0"/>
              <w:rPr>
                <w:sz w:val="19"/>
                <w:szCs w:val="19"/>
                <w:color w:val="auto"/>
              </w:rPr>
            </w:pPr>
          </w:p>
        </w:tc>
        <w:tc>
          <w:tcPr>
            <w:tcW w:w="84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380" w:type="dxa"/>
            <w:vAlign w:val="bottom"/>
            <w:tcBorders>
              <w:top w:val="single" w:sz="8" w:color="0000EE"/>
            </w:tcBorders>
          </w:tcPr>
          <w:p>
            <w:pPr>
              <w:spacing w:after="0"/>
              <w:rPr>
                <w:sz w:val="19"/>
                <w:szCs w:val="19"/>
                <w:color w:val="auto"/>
              </w:rPr>
            </w:pPr>
          </w:p>
        </w:tc>
        <w:tc>
          <w:tcPr>
            <w:tcW w:w="1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(File No.</w:t>
            </w:r>
          </w:p>
        </w:tc>
        <w:tc>
          <w:tcPr>
            <w:tcW w:w="780" w:type="dxa"/>
            <w:vAlign w:val="bottom"/>
            <w:tcBorders>
              <w:right w:val="single" w:sz="8" w:color="auto"/>
            </w:tcBorders>
          </w:tcPr>
          <w:p>
            <w:pPr>
              <w:spacing w:after="0"/>
              <w:rPr>
                <w:sz w:val="19"/>
                <w:szCs w:val="19"/>
                <w:color w:val="auto"/>
              </w:rPr>
            </w:pPr>
          </w:p>
        </w:tc>
      </w:tr>
      <w:tr>
        <w:trPr>
          <w:trHeight w:val="230"/>
        </w:trPr>
        <w:tc>
          <w:tcPr>
            <w:tcW w:w="680" w:type="dxa"/>
            <w:vAlign w:val="bottom"/>
            <w:tcBorders>
              <w:left w:val="single" w:sz="8" w:color="auto"/>
              <w:bottom w:val="single" w:sz="8" w:color="auto"/>
              <w:right w:val="single" w:sz="8" w:color="auto"/>
            </w:tcBorders>
          </w:tcPr>
          <w:p>
            <w:pPr>
              <w:spacing w:after="0"/>
              <w:rPr>
                <w:sz w:val="20"/>
                <w:szCs w:val="20"/>
                <w:color w:val="auto"/>
              </w:rPr>
            </w:pPr>
          </w:p>
        </w:tc>
        <w:tc>
          <w:tcPr>
            <w:tcW w:w="24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w w:val="93"/>
              </w:rPr>
              <w:t>001-36107)</w:t>
            </w:r>
          </w:p>
        </w:tc>
        <w:tc>
          <w:tcPr>
            <w:tcW w:w="780" w:type="dxa"/>
            <w:vAlign w:val="bottom"/>
            <w:tcBorders>
              <w:bottom w:val="single" w:sz="8" w:color="auto"/>
              <w:right w:val="single" w:sz="8" w:color="auto"/>
            </w:tcBorders>
          </w:tcPr>
          <w:p>
            <w:pPr>
              <w:spacing w:after="0"/>
              <w:rPr>
                <w:sz w:val="20"/>
                <w:szCs w:val="20"/>
                <w:color w:val="auto"/>
              </w:rPr>
            </w:pPr>
          </w:p>
        </w:tc>
      </w:tr>
      <w:tr>
        <w:trPr>
          <w:trHeight w:val="169"/>
        </w:trPr>
        <w:tc>
          <w:tcPr>
            <w:tcW w:w="680" w:type="dxa"/>
            <w:vAlign w:val="bottom"/>
            <w:tcBorders>
              <w:left w:val="single" w:sz="8" w:color="auto"/>
              <w:right w:val="single" w:sz="8" w:color="auto"/>
            </w:tcBorders>
          </w:tcPr>
          <w:p>
            <w:pPr>
              <w:spacing w:after="0" w:line="170" w:lineRule="exact"/>
              <w:rPr>
                <w:sz w:val="20"/>
                <w:szCs w:val="20"/>
                <w:color w:val="auto"/>
              </w:rPr>
            </w:pPr>
            <w:r>
              <w:rPr>
                <w:rFonts w:ascii="Arial" w:cs="Arial" w:eastAsia="Arial" w:hAnsi="Arial"/>
                <w:sz w:val="18"/>
                <w:szCs w:val="18"/>
                <w:color w:val="auto"/>
              </w:rPr>
              <w:t>10.18+</w:t>
            </w:r>
          </w:p>
        </w:tc>
        <w:tc>
          <w:tcPr>
            <w:tcW w:w="6260" w:type="dxa"/>
            <w:vAlign w:val="bottom"/>
            <w:tcBorders>
              <w:right w:val="single" w:sz="8" w:color="auto"/>
            </w:tcBorders>
            <w:gridSpan w:val="21"/>
          </w:tcPr>
          <w:p>
            <w:pPr>
              <w:spacing w:after="0" w:line="170" w:lineRule="exact"/>
              <w:rPr>
                <w:rFonts w:ascii="Arial" w:cs="Arial" w:eastAsia="Arial" w:hAnsi="Arial"/>
                <w:sz w:val="18"/>
                <w:szCs w:val="18"/>
                <w:color w:val="0000EE"/>
                <w:w w:val="94"/>
              </w:rPr>
            </w:pPr>
            <w:hyperlink r:id="rId166">
              <w:r>
                <w:rPr>
                  <w:rFonts w:ascii="Arial" w:cs="Arial" w:eastAsia="Arial" w:hAnsi="Arial"/>
                  <w:sz w:val="18"/>
                  <w:szCs w:val="18"/>
                  <w:color w:val="0000EE"/>
                  <w:w w:val="94"/>
                </w:rPr>
                <w:t>Employment Agreement, dated January 28, 2008, by and between Burlington Coat</w:t>
              </w:r>
            </w:hyperlink>
          </w:p>
        </w:tc>
        <w:tc>
          <w:tcPr>
            <w:tcW w:w="900" w:type="dxa"/>
            <w:vAlign w:val="bottom"/>
            <w:tcBorders>
              <w:right w:val="single" w:sz="8" w:color="auto"/>
            </w:tcBorders>
          </w:tcPr>
          <w:p>
            <w:pPr>
              <w:spacing w:after="0" w:line="170" w:lineRule="exact"/>
              <w:rPr>
                <w:sz w:val="20"/>
                <w:szCs w:val="20"/>
                <w:color w:val="auto"/>
              </w:rPr>
            </w:pPr>
            <w:r>
              <w:rPr>
                <w:rFonts w:ascii="Arial" w:cs="Arial" w:eastAsia="Arial" w:hAnsi="Arial"/>
                <w:sz w:val="18"/>
                <w:szCs w:val="18"/>
                <w:color w:val="auto"/>
              </w:rPr>
              <w:t>Quarterly</w:t>
            </w:r>
          </w:p>
        </w:tc>
        <w:tc>
          <w:tcPr>
            <w:tcW w:w="780" w:type="dxa"/>
            <w:vAlign w:val="bottom"/>
            <w:tcBorders>
              <w:right w:val="single" w:sz="8" w:color="auto"/>
            </w:tcBorders>
          </w:tcPr>
          <w:p>
            <w:pPr>
              <w:spacing w:after="0" w:line="170" w:lineRule="exact"/>
              <w:rPr>
                <w:sz w:val="20"/>
                <w:szCs w:val="20"/>
                <w:color w:val="auto"/>
              </w:rPr>
            </w:pPr>
            <w:r>
              <w:rPr>
                <w:rFonts w:ascii="Arial" w:cs="Arial" w:eastAsia="Arial" w:hAnsi="Arial"/>
                <w:sz w:val="18"/>
                <w:szCs w:val="18"/>
                <w:color w:val="auto"/>
              </w:rPr>
              <w:t>April 15,</w:t>
            </w:r>
          </w:p>
        </w:tc>
      </w:tr>
      <w:tr>
        <w:trPr>
          <w:trHeight w:val="196"/>
        </w:trPr>
        <w:tc>
          <w:tcPr>
            <w:tcW w:w="680" w:type="dxa"/>
            <w:vAlign w:val="bottom"/>
            <w:tcBorders>
              <w:left w:val="single" w:sz="8" w:color="auto"/>
              <w:right w:val="single" w:sz="8" w:color="auto"/>
            </w:tcBorders>
          </w:tcPr>
          <w:p>
            <w:pPr>
              <w:spacing w:after="0"/>
              <w:rPr>
                <w:sz w:val="17"/>
                <w:szCs w:val="17"/>
                <w:color w:val="auto"/>
              </w:rPr>
            </w:pPr>
          </w:p>
        </w:tc>
        <w:tc>
          <w:tcPr>
            <w:tcW w:w="594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r:id="rId166">
              <w:r>
                <w:rPr>
                  <w:rFonts w:ascii="Arial" w:cs="Arial" w:eastAsia="Arial" w:hAnsi="Arial"/>
                  <w:sz w:val="18"/>
                  <w:szCs w:val="18"/>
                  <w:color w:val="0000EE"/>
                </w:rPr>
                <w:t>Factory Warehouse Corporation and Fred Hand.</w:t>
              </w:r>
            </w:hyperlink>
          </w:p>
        </w:tc>
        <w:tc>
          <w:tcPr>
            <w:tcW w:w="320" w:type="dxa"/>
            <w:vAlign w:val="bottom"/>
            <w:tcBorders>
              <w:right w:val="single" w:sz="8" w:color="auto"/>
            </w:tcBorders>
            <w:gridSpan w:val="8"/>
          </w:tcPr>
          <w:p>
            <w:pPr>
              <w:spacing w:after="0"/>
              <w:rPr>
                <w:sz w:val="17"/>
                <w:szCs w:val="17"/>
                <w:color w:val="auto"/>
              </w:rPr>
            </w:pPr>
          </w:p>
        </w:tc>
        <w:tc>
          <w:tcPr>
            <w:tcW w:w="9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Report on</w:t>
            </w:r>
          </w:p>
        </w:tc>
        <w:tc>
          <w:tcPr>
            <w:tcW w:w="78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2008</w:t>
            </w:r>
          </w:p>
        </w:tc>
      </w:tr>
      <w:tr>
        <w:trPr>
          <w:trHeight w:val="222"/>
        </w:trPr>
        <w:tc>
          <w:tcPr>
            <w:tcW w:w="680" w:type="dxa"/>
            <w:vAlign w:val="bottom"/>
            <w:tcBorders>
              <w:left w:val="single" w:sz="8" w:color="auto"/>
              <w:right w:val="single" w:sz="8" w:color="auto"/>
            </w:tcBorders>
          </w:tcPr>
          <w:p>
            <w:pPr>
              <w:spacing w:after="0"/>
              <w:rPr>
                <w:sz w:val="19"/>
                <w:szCs w:val="19"/>
                <w:color w:val="auto"/>
              </w:rPr>
            </w:pPr>
          </w:p>
        </w:tc>
        <w:tc>
          <w:tcPr>
            <w:tcW w:w="2460" w:type="dxa"/>
            <w:vAlign w:val="bottom"/>
            <w:tcBorders>
              <w:top w:val="single" w:sz="8" w:color="0000EE"/>
            </w:tcBorders>
          </w:tcPr>
          <w:p>
            <w:pPr>
              <w:spacing w:after="0"/>
              <w:rPr>
                <w:sz w:val="19"/>
                <w:szCs w:val="19"/>
                <w:color w:val="auto"/>
              </w:rPr>
            </w:pPr>
          </w:p>
        </w:tc>
        <w:tc>
          <w:tcPr>
            <w:tcW w:w="84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3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8"/>
              </w:rPr>
              <w:t>Form 10-Q</w:t>
            </w:r>
          </w:p>
        </w:tc>
        <w:tc>
          <w:tcPr>
            <w:tcW w:w="780" w:type="dxa"/>
            <w:vAlign w:val="bottom"/>
            <w:tcBorders>
              <w:right w:val="single" w:sz="8" w:color="auto"/>
            </w:tcBorders>
          </w:tcPr>
          <w:p>
            <w:pPr>
              <w:spacing w:after="0"/>
              <w:rPr>
                <w:sz w:val="19"/>
                <w:szCs w:val="19"/>
                <w:color w:val="auto"/>
              </w:rPr>
            </w:pPr>
          </w:p>
        </w:tc>
      </w:tr>
      <w:tr>
        <w:trPr>
          <w:trHeight w:val="216"/>
        </w:trPr>
        <w:tc>
          <w:tcPr>
            <w:tcW w:w="680" w:type="dxa"/>
            <w:vAlign w:val="bottom"/>
            <w:tcBorders>
              <w:left w:val="single" w:sz="8" w:color="auto"/>
              <w:right w:val="single" w:sz="8" w:color="auto"/>
            </w:tcBorders>
          </w:tcPr>
          <w:p>
            <w:pPr>
              <w:spacing w:after="0"/>
              <w:rPr>
                <w:sz w:val="18"/>
                <w:szCs w:val="18"/>
                <w:color w:val="auto"/>
              </w:rPr>
            </w:pPr>
          </w:p>
        </w:tc>
        <w:tc>
          <w:tcPr>
            <w:tcW w:w="2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(File No.</w:t>
            </w:r>
          </w:p>
        </w:tc>
        <w:tc>
          <w:tcPr>
            <w:tcW w:w="780" w:type="dxa"/>
            <w:vAlign w:val="bottom"/>
            <w:tcBorders>
              <w:right w:val="single" w:sz="8" w:color="auto"/>
            </w:tcBorders>
          </w:tcPr>
          <w:p>
            <w:pPr>
              <w:spacing w:after="0"/>
              <w:rPr>
                <w:sz w:val="18"/>
                <w:szCs w:val="18"/>
                <w:color w:val="auto"/>
              </w:rPr>
            </w:pPr>
          </w:p>
        </w:tc>
      </w:tr>
      <w:tr>
        <w:trPr>
          <w:trHeight w:val="216"/>
        </w:trPr>
        <w:tc>
          <w:tcPr>
            <w:tcW w:w="680" w:type="dxa"/>
            <w:vAlign w:val="bottom"/>
            <w:tcBorders>
              <w:left w:val="single" w:sz="8" w:color="auto"/>
              <w:right w:val="single" w:sz="8" w:color="auto"/>
            </w:tcBorders>
          </w:tcPr>
          <w:p>
            <w:pPr>
              <w:spacing w:after="0"/>
              <w:rPr>
                <w:sz w:val="18"/>
                <w:szCs w:val="18"/>
                <w:color w:val="auto"/>
              </w:rPr>
            </w:pPr>
          </w:p>
        </w:tc>
        <w:tc>
          <w:tcPr>
            <w:tcW w:w="2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333-</w:t>
            </w:r>
          </w:p>
        </w:tc>
        <w:tc>
          <w:tcPr>
            <w:tcW w:w="780" w:type="dxa"/>
            <w:vAlign w:val="bottom"/>
            <w:tcBorders>
              <w:right w:val="single" w:sz="8" w:color="auto"/>
            </w:tcBorders>
          </w:tcPr>
          <w:p>
            <w:pPr>
              <w:spacing w:after="0"/>
              <w:rPr>
                <w:sz w:val="18"/>
                <w:szCs w:val="18"/>
                <w:color w:val="auto"/>
              </w:rPr>
            </w:pPr>
          </w:p>
        </w:tc>
      </w:tr>
      <w:tr>
        <w:trPr>
          <w:trHeight w:val="216"/>
        </w:trPr>
        <w:tc>
          <w:tcPr>
            <w:tcW w:w="680" w:type="dxa"/>
            <w:vAlign w:val="bottom"/>
            <w:tcBorders>
              <w:left w:val="single" w:sz="8" w:color="auto"/>
              <w:right w:val="single" w:sz="8" w:color="auto"/>
            </w:tcBorders>
          </w:tcPr>
          <w:p>
            <w:pPr>
              <w:spacing w:after="0"/>
              <w:rPr>
                <w:sz w:val="18"/>
                <w:szCs w:val="18"/>
                <w:color w:val="auto"/>
              </w:rPr>
            </w:pPr>
          </w:p>
        </w:tc>
        <w:tc>
          <w:tcPr>
            <w:tcW w:w="2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137916-</w:t>
            </w:r>
          </w:p>
        </w:tc>
        <w:tc>
          <w:tcPr>
            <w:tcW w:w="780" w:type="dxa"/>
            <w:vAlign w:val="bottom"/>
            <w:tcBorders>
              <w:right w:val="single" w:sz="8" w:color="auto"/>
            </w:tcBorders>
          </w:tcPr>
          <w:p>
            <w:pPr>
              <w:spacing w:after="0"/>
              <w:rPr>
                <w:sz w:val="18"/>
                <w:szCs w:val="18"/>
                <w:color w:val="auto"/>
              </w:rPr>
            </w:pPr>
          </w:p>
        </w:tc>
      </w:tr>
      <w:tr>
        <w:trPr>
          <w:trHeight w:val="230"/>
        </w:trPr>
        <w:tc>
          <w:tcPr>
            <w:tcW w:w="680" w:type="dxa"/>
            <w:vAlign w:val="bottom"/>
            <w:tcBorders>
              <w:left w:val="single" w:sz="8" w:color="auto"/>
              <w:bottom w:val="single" w:sz="8" w:color="auto"/>
              <w:right w:val="single" w:sz="8" w:color="auto"/>
            </w:tcBorders>
          </w:tcPr>
          <w:p>
            <w:pPr>
              <w:spacing w:after="0"/>
              <w:rPr>
                <w:sz w:val="20"/>
                <w:szCs w:val="20"/>
                <w:color w:val="auto"/>
              </w:rPr>
            </w:pPr>
          </w:p>
        </w:tc>
        <w:tc>
          <w:tcPr>
            <w:tcW w:w="24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110)</w:t>
            </w:r>
          </w:p>
        </w:tc>
        <w:tc>
          <w:tcPr>
            <w:tcW w:w="780" w:type="dxa"/>
            <w:vAlign w:val="bottom"/>
            <w:tcBorders>
              <w:bottom w:val="single" w:sz="8" w:color="auto"/>
              <w:right w:val="single" w:sz="8" w:color="auto"/>
            </w:tcBorders>
          </w:tcPr>
          <w:p>
            <w:pPr>
              <w:spacing w:after="0"/>
              <w:rPr>
                <w:sz w:val="20"/>
                <w:szCs w:val="20"/>
                <w:color w:val="auto"/>
              </w:rPr>
            </w:pPr>
          </w:p>
        </w:tc>
      </w:tr>
      <w:tr>
        <w:trPr>
          <w:trHeight w:val="169"/>
        </w:trPr>
        <w:tc>
          <w:tcPr>
            <w:tcW w:w="680" w:type="dxa"/>
            <w:vAlign w:val="bottom"/>
            <w:tcBorders>
              <w:left w:val="single" w:sz="8" w:color="auto"/>
              <w:right w:val="single" w:sz="8" w:color="auto"/>
            </w:tcBorders>
          </w:tcPr>
          <w:p>
            <w:pPr>
              <w:spacing w:after="0" w:line="170" w:lineRule="exact"/>
              <w:rPr>
                <w:sz w:val="20"/>
                <w:szCs w:val="20"/>
                <w:color w:val="auto"/>
              </w:rPr>
            </w:pPr>
            <w:r>
              <w:rPr>
                <w:rFonts w:ascii="Arial" w:cs="Arial" w:eastAsia="Arial" w:hAnsi="Arial"/>
                <w:sz w:val="18"/>
                <w:szCs w:val="18"/>
                <w:color w:val="auto"/>
                <w:w w:val="90"/>
              </w:rPr>
              <w:t>10.18.1+</w:t>
            </w:r>
          </w:p>
        </w:tc>
        <w:tc>
          <w:tcPr>
            <w:tcW w:w="5680" w:type="dxa"/>
            <w:vAlign w:val="bottom"/>
            <w:tcBorders>
              <w:bottom w:val="single" w:sz="8" w:color="0000EE"/>
            </w:tcBorders>
            <w:gridSpan w:val="9"/>
          </w:tcPr>
          <w:p>
            <w:pPr>
              <w:spacing w:after="0" w:line="170" w:lineRule="exact"/>
              <w:rPr>
                <w:rFonts w:ascii="Arial" w:cs="Arial" w:eastAsia="Arial" w:hAnsi="Arial"/>
                <w:sz w:val="18"/>
                <w:szCs w:val="18"/>
                <w:color w:val="0000EE"/>
                <w:w w:val="90"/>
              </w:rPr>
            </w:pPr>
            <w:hyperlink r:id="rId167">
              <w:r>
                <w:rPr>
                  <w:rFonts w:ascii="Arial" w:cs="Arial" w:eastAsia="Arial" w:hAnsi="Arial"/>
                  <w:sz w:val="18"/>
                  <w:szCs w:val="18"/>
                  <w:color w:val="0000EE"/>
                  <w:w w:val="90"/>
                </w:rPr>
                <w:t>Amendment No. 1 to Employment Agreement, dated October 31, 2012, by and</w:t>
              </w:r>
            </w:hyperlink>
          </w:p>
        </w:tc>
        <w:tc>
          <w:tcPr>
            <w:tcW w:w="580" w:type="dxa"/>
            <w:vAlign w:val="bottom"/>
            <w:tcBorders>
              <w:right w:val="single" w:sz="8" w:color="auto"/>
            </w:tcBorders>
            <w:gridSpan w:val="12"/>
          </w:tcPr>
          <w:p>
            <w:pPr>
              <w:spacing w:after="0"/>
              <w:rPr>
                <w:sz w:val="14"/>
                <w:szCs w:val="14"/>
                <w:color w:val="auto"/>
              </w:rPr>
            </w:pPr>
          </w:p>
        </w:tc>
        <w:tc>
          <w:tcPr>
            <w:tcW w:w="900" w:type="dxa"/>
            <w:vAlign w:val="bottom"/>
            <w:tcBorders>
              <w:right w:val="single" w:sz="8" w:color="auto"/>
            </w:tcBorders>
          </w:tcPr>
          <w:p>
            <w:pPr>
              <w:spacing w:after="0" w:line="170" w:lineRule="exact"/>
              <w:rPr>
                <w:sz w:val="20"/>
                <w:szCs w:val="20"/>
                <w:color w:val="auto"/>
              </w:rPr>
            </w:pPr>
            <w:r>
              <w:rPr>
                <w:rFonts w:ascii="Arial" w:cs="Arial" w:eastAsia="Arial" w:hAnsi="Arial"/>
                <w:sz w:val="18"/>
                <w:szCs w:val="18"/>
                <w:color w:val="auto"/>
                <w:w w:val="89"/>
              </w:rPr>
              <w:t>Registration</w:t>
            </w:r>
          </w:p>
        </w:tc>
        <w:tc>
          <w:tcPr>
            <w:tcW w:w="780" w:type="dxa"/>
            <w:vAlign w:val="bottom"/>
            <w:tcBorders>
              <w:right w:val="single" w:sz="8" w:color="auto"/>
            </w:tcBorders>
          </w:tcPr>
          <w:p>
            <w:pPr>
              <w:spacing w:after="0" w:line="170" w:lineRule="exact"/>
              <w:rPr>
                <w:sz w:val="20"/>
                <w:szCs w:val="20"/>
                <w:color w:val="auto"/>
              </w:rPr>
            </w:pPr>
            <w:r>
              <w:rPr>
                <w:rFonts w:ascii="Arial" w:cs="Arial" w:eastAsia="Arial" w:hAnsi="Arial"/>
                <w:sz w:val="18"/>
                <w:szCs w:val="18"/>
                <w:color w:val="auto"/>
                <w:w w:val="83"/>
              </w:rPr>
              <w:t>September</w:t>
            </w:r>
          </w:p>
        </w:tc>
      </w:tr>
      <w:tr>
        <w:trPr>
          <w:trHeight w:val="196"/>
        </w:trPr>
        <w:tc>
          <w:tcPr>
            <w:tcW w:w="680" w:type="dxa"/>
            <w:vAlign w:val="bottom"/>
            <w:tcBorders>
              <w:left w:val="single" w:sz="8" w:color="auto"/>
              <w:right w:val="single" w:sz="8" w:color="auto"/>
            </w:tcBorders>
          </w:tcPr>
          <w:p>
            <w:pPr>
              <w:spacing w:after="0"/>
              <w:rPr>
                <w:sz w:val="17"/>
                <w:szCs w:val="17"/>
                <w:color w:val="auto"/>
              </w:rPr>
            </w:pPr>
          </w:p>
        </w:tc>
        <w:tc>
          <w:tcPr>
            <w:tcW w:w="6260" w:type="dxa"/>
            <w:vAlign w:val="bottom"/>
            <w:tcBorders>
              <w:right w:val="single" w:sz="8" w:color="auto"/>
            </w:tcBorders>
            <w:gridSpan w:val="21"/>
          </w:tcPr>
          <w:p>
            <w:pPr>
              <w:spacing w:after="0" w:line="196" w:lineRule="exact"/>
              <w:rPr>
                <w:rFonts w:ascii="Arial" w:cs="Arial" w:eastAsia="Arial" w:hAnsi="Arial"/>
                <w:sz w:val="18"/>
                <w:szCs w:val="18"/>
                <w:color w:val="0000EE"/>
              </w:rPr>
            </w:pPr>
            <w:hyperlink r:id="rId167">
              <w:r>
                <w:rPr>
                  <w:rFonts w:ascii="Arial" w:cs="Arial" w:eastAsia="Arial" w:hAnsi="Arial"/>
                  <w:sz w:val="18"/>
                  <w:szCs w:val="18"/>
                  <w:color w:val="0000EE"/>
                </w:rPr>
                <w:t>between Burlington Coat Factory Warehouse Corporation and Fred Hand.</w:t>
              </w:r>
            </w:hyperlink>
          </w:p>
        </w:tc>
        <w:tc>
          <w:tcPr>
            <w:tcW w:w="9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Statement</w:t>
            </w:r>
          </w:p>
        </w:tc>
        <w:tc>
          <w:tcPr>
            <w:tcW w:w="78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6, 2013</w:t>
            </w:r>
          </w:p>
        </w:tc>
      </w:tr>
      <w:tr>
        <w:trPr>
          <w:trHeight w:val="222"/>
        </w:trPr>
        <w:tc>
          <w:tcPr>
            <w:tcW w:w="680" w:type="dxa"/>
            <w:vAlign w:val="bottom"/>
            <w:tcBorders>
              <w:left w:val="single" w:sz="8" w:color="auto"/>
              <w:right w:val="single" w:sz="8" w:color="auto"/>
            </w:tcBorders>
          </w:tcPr>
          <w:p>
            <w:pPr>
              <w:spacing w:after="0"/>
              <w:rPr>
                <w:sz w:val="19"/>
                <w:szCs w:val="19"/>
                <w:color w:val="auto"/>
              </w:rPr>
            </w:pPr>
          </w:p>
        </w:tc>
        <w:tc>
          <w:tcPr>
            <w:tcW w:w="2460" w:type="dxa"/>
            <w:vAlign w:val="bottom"/>
            <w:tcBorders>
              <w:top w:val="single" w:sz="8" w:color="0000EE"/>
            </w:tcBorders>
          </w:tcPr>
          <w:p>
            <w:pPr>
              <w:spacing w:after="0"/>
              <w:rPr>
                <w:sz w:val="19"/>
                <w:szCs w:val="19"/>
                <w:color w:val="auto"/>
              </w:rPr>
            </w:pPr>
          </w:p>
        </w:tc>
        <w:tc>
          <w:tcPr>
            <w:tcW w:w="84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380" w:type="dxa"/>
            <w:vAlign w:val="bottom"/>
            <w:tcBorders>
              <w:top w:val="single" w:sz="8" w:color="0000EE"/>
            </w:tcBorders>
          </w:tcPr>
          <w:p>
            <w:pPr>
              <w:spacing w:after="0"/>
              <w:rPr>
                <w:sz w:val="19"/>
                <w:szCs w:val="19"/>
                <w:color w:val="auto"/>
              </w:rPr>
            </w:pPr>
          </w:p>
        </w:tc>
        <w:tc>
          <w:tcPr>
            <w:tcW w:w="1480" w:type="dxa"/>
            <w:vAlign w:val="bottom"/>
            <w:tcBorders>
              <w:top w:val="single" w:sz="8" w:color="0000EE"/>
            </w:tcBorders>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5"/>
              </w:rPr>
              <w:t>on Form S-</w:t>
            </w:r>
          </w:p>
        </w:tc>
        <w:tc>
          <w:tcPr>
            <w:tcW w:w="780" w:type="dxa"/>
            <w:vAlign w:val="bottom"/>
            <w:tcBorders>
              <w:right w:val="single" w:sz="8" w:color="auto"/>
            </w:tcBorders>
          </w:tcPr>
          <w:p>
            <w:pPr>
              <w:spacing w:after="0"/>
              <w:rPr>
                <w:sz w:val="19"/>
                <w:szCs w:val="19"/>
                <w:color w:val="auto"/>
              </w:rPr>
            </w:pPr>
          </w:p>
        </w:tc>
      </w:tr>
      <w:tr>
        <w:trPr>
          <w:trHeight w:val="216"/>
        </w:trPr>
        <w:tc>
          <w:tcPr>
            <w:tcW w:w="680" w:type="dxa"/>
            <w:vAlign w:val="bottom"/>
            <w:tcBorders>
              <w:left w:val="single" w:sz="8" w:color="auto"/>
              <w:right w:val="single" w:sz="8" w:color="auto"/>
            </w:tcBorders>
          </w:tcPr>
          <w:p>
            <w:pPr>
              <w:spacing w:after="0"/>
              <w:rPr>
                <w:sz w:val="18"/>
                <w:szCs w:val="18"/>
                <w:color w:val="auto"/>
              </w:rPr>
            </w:pPr>
          </w:p>
        </w:tc>
        <w:tc>
          <w:tcPr>
            <w:tcW w:w="2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1/A</w:t>
            </w:r>
          </w:p>
        </w:tc>
        <w:tc>
          <w:tcPr>
            <w:tcW w:w="780" w:type="dxa"/>
            <w:vAlign w:val="bottom"/>
            <w:tcBorders>
              <w:right w:val="single" w:sz="8" w:color="auto"/>
            </w:tcBorders>
          </w:tcPr>
          <w:p>
            <w:pPr>
              <w:spacing w:after="0"/>
              <w:rPr>
                <w:sz w:val="18"/>
                <w:szCs w:val="18"/>
                <w:color w:val="auto"/>
              </w:rPr>
            </w:pPr>
          </w:p>
        </w:tc>
      </w:tr>
      <w:tr>
        <w:trPr>
          <w:trHeight w:val="216"/>
        </w:trPr>
        <w:tc>
          <w:tcPr>
            <w:tcW w:w="680" w:type="dxa"/>
            <w:vAlign w:val="bottom"/>
            <w:tcBorders>
              <w:left w:val="single" w:sz="8" w:color="auto"/>
              <w:right w:val="single" w:sz="8" w:color="auto"/>
            </w:tcBorders>
          </w:tcPr>
          <w:p>
            <w:pPr>
              <w:spacing w:after="0"/>
              <w:rPr>
                <w:sz w:val="18"/>
                <w:szCs w:val="18"/>
                <w:color w:val="auto"/>
              </w:rPr>
            </w:pPr>
          </w:p>
        </w:tc>
        <w:tc>
          <w:tcPr>
            <w:tcW w:w="2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(File No.</w:t>
            </w:r>
          </w:p>
        </w:tc>
        <w:tc>
          <w:tcPr>
            <w:tcW w:w="780" w:type="dxa"/>
            <w:vAlign w:val="bottom"/>
            <w:tcBorders>
              <w:right w:val="single" w:sz="8" w:color="auto"/>
            </w:tcBorders>
          </w:tcPr>
          <w:p>
            <w:pPr>
              <w:spacing w:after="0"/>
              <w:rPr>
                <w:sz w:val="18"/>
                <w:szCs w:val="18"/>
                <w:color w:val="auto"/>
              </w:rPr>
            </w:pPr>
          </w:p>
        </w:tc>
      </w:tr>
      <w:tr>
        <w:trPr>
          <w:trHeight w:val="216"/>
        </w:trPr>
        <w:tc>
          <w:tcPr>
            <w:tcW w:w="680" w:type="dxa"/>
            <w:vAlign w:val="bottom"/>
            <w:tcBorders>
              <w:left w:val="single" w:sz="8" w:color="auto"/>
              <w:right w:val="single" w:sz="8" w:color="auto"/>
            </w:tcBorders>
          </w:tcPr>
          <w:p>
            <w:pPr>
              <w:spacing w:after="0"/>
              <w:rPr>
                <w:sz w:val="18"/>
                <w:szCs w:val="18"/>
                <w:color w:val="auto"/>
              </w:rPr>
            </w:pPr>
          </w:p>
        </w:tc>
        <w:tc>
          <w:tcPr>
            <w:tcW w:w="2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333-</w:t>
            </w:r>
          </w:p>
        </w:tc>
        <w:tc>
          <w:tcPr>
            <w:tcW w:w="780" w:type="dxa"/>
            <w:vAlign w:val="bottom"/>
            <w:tcBorders>
              <w:right w:val="single" w:sz="8" w:color="auto"/>
            </w:tcBorders>
          </w:tcPr>
          <w:p>
            <w:pPr>
              <w:spacing w:after="0"/>
              <w:rPr>
                <w:sz w:val="18"/>
                <w:szCs w:val="18"/>
                <w:color w:val="auto"/>
              </w:rPr>
            </w:pPr>
          </w:p>
        </w:tc>
      </w:tr>
      <w:tr>
        <w:trPr>
          <w:trHeight w:val="230"/>
        </w:trPr>
        <w:tc>
          <w:tcPr>
            <w:tcW w:w="680" w:type="dxa"/>
            <w:vAlign w:val="bottom"/>
            <w:tcBorders>
              <w:left w:val="single" w:sz="8" w:color="auto"/>
              <w:bottom w:val="single" w:sz="8" w:color="auto"/>
              <w:right w:val="single" w:sz="8" w:color="auto"/>
            </w:tcBorders>
          </w:tcPr>
          <w:p>
            <w:pPr>
              <w:spacing w:after="0"/>
              <w:rPr>
                <w:sz w:val="20"/>
                <w:szCs w:val="20"/>
                <w:color w:val="auto"/>
              </w:rPr>
            </w:pPr>
          </w:p>
        </w:tc>
        <w:tc>
          <w:tcPr>
            <w:tcW w:w="24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189632)</w:t>
            </w:r>
          </w:p>
        </w:tc>
        <w:tc>
          <w:tcPr>
            <w:tcW w:w="780" w:type="dxa"/>
            <w:vAlign w:val="bottom"/>
            <w:tcBorders>
              <w:bottom w:val="single" w:sz="8" w:color="auto"/>
              <w:right w:val="single" w:sz="8" w:color="auto"/>
            </w:tcBorders>
          </w:tcPr>
          <w:p>
            <w:pPr>
              <w:spacing w:after="0"/>
              <w:rPr>
                <w:sz w:val="20"/>
                <w:szCs w:val="20"/>
                <w:color w:val="auto"/>
              </w:rPr>
            </w:pPr>
          </w:p>
        </w:tc>
      </w:tr>
      <w:tr>
        <w:trPr>
          <w:trHeight w:val="169"/>
        </w:trPr>
        <w:tc>
          <w:tcPr>
            <w:tcW w:w="680" w:type="dxa"/>
            <w:vAlign w:val="bottom"/>
            <w:tcBorders>
              <w:left w:val="single" w:sz="8" w:color="auto"/>
              <w:right w:val="single" w:sz="8" w:color="auto"/>
            </w:tcBorders>
          </w:tcPr>
          <w:p>
            <w:pPr>
              <w:spacing w:after="0" w:line="170" w:lineRule="exact"/>
              <w:rPr>
                <w:sz w:val="20"/>
                <w:szCs w:val="20"/>
                <w:color w:val="auto"/>
              </w:rPr>
            </w:pPr>
            <w:r>
              <w:rPr>
                <w:rFonts w:ascii="Arial" w:cs="Arial" w:eastAsia="Arial" w:hAnsi="Arial"/>
                <w:sz w:val="18"/>
                <w:szCs w:val="18"/>
                <w:color w:val="auto"/>
              </w:rPr>
              <w:t>10.19+</w:t>
            </w:r>
          </w:p>
        </w:tc>
        <w:tc>
          <w:tcPr>
            <w:tcW w:w="5720" w:type="dxa"/>
            <w:vAlign w:val="bottom"/>
            <w:tcBorders>
              <w:bottom w:val="single" w:sz="8" w:color="0000EE"/>
            </w:tcBorders>
            <w:gridSpan w:val="10"/>
          </w:tcPr>
          <w:p>
            <w:pPr>
              <w:spacing w:after="0" w:line="170" w:lineRule="exact"/>
              <w:rPr>
                <w:rFonts w:ascii="Arial" w:cs="Arial" w:eastAsia="Arial" w:hAnsi="Arial"/>
                <w:sz w:val="18"/>
                <w:szCs w:val="18"/>
                <w:color w:val="0000EE"/>
                <w:w w:val="89"/>
              </w:rPr>
            </w:pPr>
            <w:hyperlink r:id="rId168">
              <w:r>
                <w:rPr>
                  <w:rFonts w:ascii="Arial" w:cs="Arial" w:eastAsia="Arial" w:hAnsi="Arial"/>
                  <w:sz w:val="18"/>
                  <w:szCs w:val="18"/>
                  <w:color w:val="0000EE"/>
                  <w:w w:val="89"/>
                </w:rPr>
                <w:t>Employment Agreement, dated June 26, 2008, by and between Burlington Coat</w:t>
              </w:r>
            </w:hyperlink>
          </w:p>
        </w:tc>
        <w:tc>
          <w:tcPr>
            <w:tcW w:w="540" w:type="dxa"/>
            <w:vAlign w:val="bottom"/>
            <w:tcBorders>
              <w:right w:val="single" w:sz="8" w:color="auto"/>
            </w:tcBorders>
            <w:gridSpan w:val="11"/>
          </w:tcPr>
          <w:p>
            <w:pPr>
              <w:spacing w:after="0"/>
              <w:rPr>
                <w:sz w:val="14"/>
                <w:szCs w:val="14"/>
                <w:color w:val="auto"/>
              </w:rPr>
            </w:pPr>
          </w:p>
        </w:tc>
        <w:tc>
          <w:tcPr>
            <w:tcW w:w="900" w:type="dxa"/>
            <w:vAlign w:val="bottom"/>
            <w:tcBorders>
              <w:right w:val="single" w:sz="8" w:color="auto"/>
            </w:tcBorders>
          </w:tcPr>
          <w:p>
            <w:pPr>
              <w:spacing w:after="0" w:line="170" w:lineRule="exact"/>
              <w:rPr>
                <w:sz w:val="20"/>
                <w:szCs w:val="20"/>
                <w:color w:val="auto"/>
              </w:rPr>
            </w:pPr>
            <w:r>
              <w:rPr>
                <w:rFonts w:ascii="Arial" w:cs="Arial" w:eastAsia="Arial" w:hAnsi="Arial"/>
                <w:sz w:val="18"/>
                <w:szCs w:val="18"/>
                <w:color w:val="auto"/>
              </w:rPr>
              <w:t>Current</w:t>
            </w:r>
          </w:p>
        </w:tc>
        <w:tc>
          <w:tcPr>
            <w:tcW w:w="780" w:type="dxa"/>
            <w:vAlign w:val="bottom"/>
            <w:tcBorders>
              <w:right w:val="single" w:sz="8" w:color="auto"/>
            </w:tcBorders>
          </w:tcPr>
          <w:p>
            <w:pPr>
              <w:spacing w:after="0" w:line="170" w:lineRule="exact"/>
              <w:rPr>
                <w:sz w:val="20"/>
                <w:szCs w:val="20"/>
                <w:color w:val="auto"/>
              </w:rPr>
            </w:pPr>
            <w:r>
              <w:rPr>
                <w:rFonts w:ascii="Arial" w:cs="Arial" w:eastAsia="Arial" w:hAnsi="Arial"/>
                <w:sz w:val="18"/>
                <w:szCs w:val="18"/>
                <w:color w:val="auto"/>
              </w:rPr>
              <w:t>June 27,</w:t>
            </w:r>
          </w:p>
        </w:tc>
      </w:tr>
      <w:tr>
        <w:trPr>
          <w:trHeight w:val="196"/>
        </w:trPr>
        <w:tc>
          <w:tcPr>
            <w:tcW w:w="680" w:type="dxa"/>
            <w:vAlign w:val="bottom"/>
            <w:tcBorders>
              <w:left w:val="single" w:sz="8" w:color="auto"/>
              <w:right w:val="single" w:sz="8" w:color="auto"/>
            </w:tcBorders>
          </w:tcPr>
          <w:p>
            <w:pPr>
              <w:spacing w:after="0"/>
              <w:rPr>
                <w:sz w:val="17"/>
                <w:szCs w:val="17"/>
                <w:color w:val="auto"/>
              </w:rPr>
            </w:pPr>
          </w:p>
        </w:tc>
        <w:tc>
          <w:tcPr>
            <w:tcW w:w="6260" w:type="dxa"/>
            <w:vAlign w:val="bottom"/>
            <w:tcBorders>
              <w:right w:val="single" w:sz="8" w:color="auto"/>
            </w:tcBorders>
            <w:gridSpan w:val="21"/>
          </w:tcPr>
          <w:p>
            <w:pPr>
              <w:spacing w:after="0" w:line="196" w:lineRule="exact"/>
              <w:rPr>
                <w:rFonts w:ascii="Arial" w:cs="Arial" w:eastAsia="Arial" w:hAnsi="Arial"/>
                <w:sz w:val="18"/>
                <w:szCs w:val="18"/>
                <w:color w:val="0000EE"/>
              </w:rPr>
            </w:pPr>
            <w:hyperlink r:id="rId168">
              <w:r>
                <w:rPr>
                  <w:rFonts w:ascii="Arial" w:cs="Arial" w:eastAsia="Arial" w:hAnsi="Arial"/>
                  <w:sz w:val="18"/>
                  <w:szCs w:val="18"/>
                  <w:color w:val="0000EE"/>
                </w:rPr>
                <w:t>Factory Warehouse Corporation and Marc Katz.</w:t>
              </w:r>
            </w:hyperlink>
          </w:p>
        </w:tc>
        <w:tc>
          <w:tcPr>
            <w:tcW w:w="9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Report on</w:t>
            </w:r>
          </w:p>
        </w:tc>
        <w:tc>
          <w:tcPr>
            <w:tcW w:w="78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2008</w:t>
            </w:r>
          </w:p>
        </w:tc>
      </w:tr>
      <w:tr>
        <w:trPr>
          <w:trHeight w:val="222"/>
        </w:trPr>
        <w:tc>
          <w:tcPr>
            <w:tcW w:w="680" w:type="dxa"/>
            <w:vAlign w:val="bottom"/>
            <w:tcBorders>
              <w:left w:val="single" w:sz="8" w:color="auto"/>
              <w:right w:val="single" w:sz="8" w:color="auto"/>
            </w:tcBorders>
          </w:tcPr>
          <w:p>
            <w:pPr>
              <w:spacing w:after="0"/>
              <w:rPr>
                <w:sz w:val="19"/>
                <w:szCs w:val="19"/>
                <w:color w:val="auto"/>
              </w:rPr>
            </w:pPr>
          </w:p>
        </w:tc>
        <w:tc>
          <w:tcPr>
            <w:tcW w:w="2460" w:type="dxa"/>
            <w:vAlign w:val="bottom"/>
            <w:tcBorders>
              <w:top w:val="single" w:sz="8" w:color="0000EE"/>
            </w:tcBorders>
          </w:tcPr>
          <w:p>
            <w:pPr>
              <w:spacing w:after="0"/>
              <w:rPr>
                <w:sz w:val="19"/>
                <w:szCs w:val="19"/>
                <w:color w:val="auto"/>
              </w:rPr>
            </w:pPr>
          </w:p>
        </w:tc>
        <w:tc>
          <w:tcPr>
            <w:tcW w:w="84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3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Form 8-K</w:t>
            </w:r>
          </w:p>
        </w:tc>
        <w:tc>
          <w:tcPr>
            <w:tcW w:w="780" w:type="dxa"/>
            <w:vAlign w:val="bottom"/>
            <w:tcBorders>
              <w:right w:val="single" w:sz="8" w:color="auto"/>
            </w:tcBorders>
          </w:tcPr>
          <w:p>
            <w:pPr>
              <w:spacing w:after="0"/>
              <w:rPr>
                <w:sz w:val="19"/>
                <w:szCs w:val="19"/>
                <w:color w:val="auto"/>
              </w:rPr>
            </w:pPr>
          </w:p>
        </w:tc>
      </w:tr>
      <w:tr>
        <w:trPr>
          <w:trHeight w:val="216"/>
        </w:trPr>
        <w:tc>
          <w:tcPr>
            <w:tcW w:w="680" w:type="dxa"/>
            <w:vAlign w:val="bottom"/>
            <w:tcBorders>
              <w:left w:val="single" w:sz="8" w:color="auto"/>
              <w:right w:val="single" w:sz="8" w:color="auto"/>
            </w:tcBorders>
          </w:tcPr>
          <w:p>
            <w:pPr>
              <w:spacing w:after="0"/>
              <w:rPr>
                <w:sz w:val="18"/>
                <w:szCs w:val="18"/>
                <w:color w:val="auto"/>
              </w:rPr>
            </w:pPr>
          </w:p>
        </w:tc>
        <w:tc>
          <w:tcPr>
            <w:tcW w:w="2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(File No.</w:t>
            </w:r>
          </w:p>
        </w:tc>
        <w:tc>
          <w:tcPr>
            <w:tcW w:w="780" w:type="dxa"/>
            <w:vAlign w:val="bottom"/>
            <w:tcBorders>
              <w:right w:val="single" w:sz="8" w:color="auto"/>
            </w:tcBorders>
          </w:tcPr>
          <w:p>
            <w:pPr>
              <w:spacing w:after="0"/>
              <w:rPr>
                <w:sz w:val="18"/>
                <w:szCs w:val="18"/>
                <w:color w:val="auto"/>
              </w:rPr>
            </w:pPr>
          </w:p>
        </w:tc>
      </w:tr>
      <w:tr>
        <w:trPr>
          <w:trHeight w:val="216"/>
        </w:trPr>
        <w:tc>
          <w:tcPr>
            <w:tcW w:w="680" w:type="dxa"/>
            <w:vAlign w:val="bottom"/>
            <w:tcBorders>
              <w:left w:val="single" w:sz="8" w:color="auto"/>
              <w:right w:val="single" w:sz="8" w:color="auto"/>
            </w:tcBorders>
          </w:tcPr>
          <w:p>
            <w:pPr>
              <w:spacing w:after="0"/>
              <w:rPr>
                <w:sz w:val="18"/>
                <w:szCs w:val="18"/>
                <w:color w:val="auto"/>
              </w:rPr>
            </w:pPr>
          </w:p>
        </w:tc>
        <w:tc>
          <w:tcPr>
            <w:tcW w:w="2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333-</w:t>
            </w:r>
          </w:p>
        </w:tc>
        <w:tc>
          <w:tcPr>
            <w:tcW w:w="780" w:type="dxa"/>
            <w:vAlign w:val="bottom"/>
            <w:tcBorders>
              <w:right w:val="single" w:sz="8" w:color="auto"/>
            </w:tcBorders>
          </w:tcPr>
          <w:p>
            <w:pPr>
              <w:spacing w:after="0"/>
              <w:rPr>
                <w:sz w:val="18"/>
                <w:szCs w:val="18"/>
                <w:color w:val="auto"/>
              </w:rPr>
            </w:pPr>
          </w:p>
        </w:tc>
      </w:tr>
      <w:tr>
        <w:trPr>
          <w:trHeight w:val="216"/>
        </w:trPr>
        <w:tc>
          <w:tcPr>
            <w:tcW w:w="680" w:type="dxa"/>
            <w:vAlign w:val="bottom"/>
            <w:tcBorders>
              <w:left w:val="single" w:sz="8" w:color="auto"/>
              <w:right w:val="single" w:sz="8" w:color="auto"/>
            </w:tcBorders>
          </w:tcPr>
          <w:p>
            <w:pPr>
              <w:spacing w:after="0"/>
              <w:rPr>
                <w:sz w:val="18"/>
                <w:szCs w:val="18"/>
                <w:color w:val="auto"/>
              </w:rPr>
            </w:pPr>
          </w:p>
        </w:tc>
        <w:tc>
          <w:tcPr>
            <w:tcW w:w="2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137916-</w:t>
            </w:r>
          </w:p>
        </w:tc>
        <w:tc>
          <w:tcPr>
            <w:tcW w:w="780" w:type="dxa"/>
            <w:vAlign w:val="bottom"/>
            <w:tcBorders>
              <w:right w:val="single" w:sz="8" w:color="auto"/>
            </w:tcBorders>
          </w:tcPr>
          <w:p>
            <w:pPr>
              <w:spacing w:after="0"/>
              <w:rPr>
                <w:sz w:val="18"/>
                <w:szCs w:val="18"/>
                <w:color w:val="auto"/>
              </w:rPr>
            </w:pPr>
          </w:p>
        </w:tc>
      </w:tr>
      <w:tr>
        <w:trPr>
          <w:trHeight w:val="230"/>
        </w:trPr>
        <w:tc>
          <w:tcPr>
            <w:tcW w:w="680" w:type="dxa"/>
            <w:vAlign w:val="bottom"/>
            <w:tcBorders>
              <w:left w:val="single" w:sz="8" w:color="auto"/>
              <w:bottom w:val="single" w:sz="8" w:color="auto"/>
              <w:right w:val="single" w:sz="8" w:color="auto"/>
            </w:tcBorders>
          </w:tcPr>
          <w:p>
            <w:pPr>
              <w:spacing w:after="0"/>
              <w:rPr>
                <w:sz w:val="20"/>
                <w:szCs w:val="20"/>
                <w:color w:val="auto"/>
              </w:rPr>
            </w:pPr>
          </w:p>
        </w:tc>
        <w:tc>
          <w:tcPr>
            <w:tcW w:w="24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110)</w:t>
            </w:r>
          </w:p>
        </w:tc>
        <w:tc>
          <w:tcPr>
            <w:tcW w:w="780" w:type="dxa"/>
            <w:vAlign w:val="bottom"/>
            <w:tcBorders>
              <w:bottom w:val="single" w:sz="8" w:color="auto"/>
              <w:right w:val="single" w:sz="8" w:color="auto"/>
            </w:tcBorders>
          </w:tcPr>
          <w:p>
            <w:pPr>
              <w:spacing w:after="0"/>
              <w:rPr>
                <w:sz w:val="20"/>
                <w:szCs w:val="20"/>
                <w:color w:val="auto"/>
              </w:rPr>
            </w:pPr>
          </w:p>
        </w:tc>
      </w:tr>
      <w:tr>
        <w:trPr>
          <w:trHeight w:val="169"/>
        </w:trPr>
        <w:tc>
          <w:tcPr>
            <w:tcW w:w="680" w:type="dxa"/>
            <w:vAlign w:val="bottom"/>
            <w:tcBorders>
              <w:left w:val="single" w:sz="8" w:color="auto"/>
              <w:right w:val="single" w:sz="8" w:color="auto"/>
            </w:tcBorders>
          </w:tcPr>
          <w:p>
            <w:pPr>
              <w:spacing w:after="0" w:line="170" w:lineRule="exact"/>
              <w:rPr>
                <w:sz w:val="20"/>
                <w:szCs w:val="20"/>
                <w:color w:val="auto"/>
              </w:rPr>
            </w:pPr>
            <w:r>
              <w:rPr>
                <w:rFonts w:ascii="Arial" w:cs="Arial" w:eastAsia="Arial" w:hAnsi="Arial"/>
                <w:sz w:val="18"/>
                <w:szCs w:val="18"/>
                <w:color w:val="auto"/>
                <w:w w:val="90"/>
              </w:rPr>
              <w:t>10.19.1+</w:t>
            </w:r>
          </w:p>
        </w:tc>
        <w:tc>
          <w:tcPr>
            <w:tcW w:w="5680" w:type="dxa"/>
            <w:vAlign w:val="bottom"/>
            <w:tcBorders>
              <w:bottom w:val="single" w:sz="8" w:color="0000EE"/>
            </w:tcBorders>
            <w:gridSpan w:val="9"/>
          </w:tcPr>
          <w:p>
            <w:pPr>
              <w:spacing w:after="0" w:line="170" w:lineRule="exact"/>
              <w:rPr>
                <w:rFonts w:ascii="Arial" w:cs="Arial" w:eastAsia="Arial" w:hAnsi="Arial"/>
                <w:sz w:val="18"/>
                <w:szCs w:val="18"/>
                <w:color w:val="0000EE"/>
                <w:w w:val="90"/>
              </w:rPr>
            </w:pPr>
            <w:hyperlink r:id="rId169">
              <w:r>
                <w:rPr>
                  <w:rFonts w:ascii="Arial" w:cs="Arial" w:eastAsia="Arial" w:hAnsi="Arial"/>
                  <w:sz w:val="18"/>
                  <w:szCs w:val="18"/>
                  <w:color w:val="0000EE"/>
                  <w:w w:val="90"/>
                </w:rPr>
                <w:t>Amendment No. 1 to Employment Agreement, dated October 16, 2012, by and</w:t>
              </w:r>
            </w:hyperlink>
          </w:p>
        </w:tc>
        <w:tc>
          <w:tcPr>
            <w:tcW w:w="580" w:type="dxa"/>
            <w:vAlign w:val="bottom"/>
            <w:tcBorders>
              <w:right w:val="single" w:sz="8" w:color="auto"/>
            </w:tcBorders>
            <w:gridSpan w:val="12"/>
          </w:tcPr>
          <w:p>
            <w:pPr>
              <w:spacing w:after="0"/>
              <w:rPr>
                <w:sz w:val="14"/>
                <w:szCs w:val="14"/>
                <w:color w:val="auto"/>
              </w:rPr>
            </w:pPr>
          </w:p>
        </w:tc>
        <w:tc>
          <w:tcPr>
            <w:tcW w:w="900" w:type="dxa"/>
            <w:vAlign w:val="bottom"/>
            <w:tcBorders>
              <w:right w:val="single" w:sz="8" w:color="auto"/>
            </w:tcBorders>
          </w:tcPr>
          <w:p>
            <w:pPr>
              <w:spacing w:after="0" w:line="170" w:lineRule="exact"/>
              <w:rPr>
                <w:sz w:val="20"/>
                <w:szCs w:val="20"/>
                <w:color w:val="auto"/>
              </w:rPr>
            </w:pPr>
            <w:r>
              <w:rPr>
                <w:rFonts w:ascii="Arial" w:cs="Arial" w:eastAsia="Arial" w:hAnsi="Arial"/>
                <w:sz w:val="18"/>
                <w:szCs w:val="18"/>
                <w:color w:val="auto"/>
                <w:w w:val="89"/>
              </w:rPr>
              <w:t>Registration</w:t>
            </w:r>
          </w:p>
        </w:tc>
        <w:tc>
          <w:tcPr>
            <w:tcW w:w="780" w:type="dxa"/>
            <w:vAlign w:val="bottom"/>
            <w:tcBorders>
              <w:right w:val="single" w:sz="8" w:color="auto"/>
            </w:tcBorders>
          </w:tcPr>
          <w:p>
            <w:pPr>
              <w:spacing w:after="0" w:line="170" w:lineRule="exact"/>
              <w:rPr>
                <w:sz w:val="20"/>
                <w:szCs w:val="20"/>
                <w:color w:val="auto"/>
              </w:rPr>
            </w:pPr>
            <w:r>
              <w:rPr>
                <w:rFonts w:ascii="Arial" w:cs="Arial" w:eastAsia="Arial" w:hAnsi="Arial"/>
                <w:sz w:val="18"/>
                <w:szCs w:val="18"/>
                <w:color w:val="auto"/>
                <w:w w:val="83"/>
              </w:rPr>
              <w:t>September</w:t>
            </w:r>
          </w:p>
        </w:tc>
      </w:tr>
      <w:tr>
        <w:trPr>
          <w:trHeight w:val="196"/>
        </w:trPr>
        <w:tc>
          <w:tcPr>
            <w:tcW w:w="680" w:type="dxa"/>
            <w:vAlign w:val="bottom"/>
            <w:tcBorders>
              <w:left w:val="single" w:sz="8" w:color="auto"/>
              <w:right w:val="single" w:sz="8" w:color="auto"/>
            </w:tcBorders>
          </w:tcPr>
          <w:p>
            <w:pPr>
              <w:spacing w:after="0"/>
              <w:rPr>
                <w:sz w:val="17"/>
                <w:szCs w:val="17"/>
                <w:color w:val="auto"/>
              </w:rPr>
            </w:pPr>
          </w:p>
        </w:tc>
        <w:tc>
          <w:tcPr>
            <w:tcW w:w="6260" w:type="dxa"/>
            <w:vAlign w:val="bottom"/>
            <w:tcBorders>
              <w:right w:val="single" w:sz="8" w:color="auto"/>
            </w:tcBorders>
            <w:gridSpan w:val="21"/>
          </w:tcPr>
          <w:p>
            <w:pPr>
              <w:spacing w:after="0" w:line="196" w:lineRule="exact"/>
              <w:rPr>
                <w:rFonts w:ascii="Arial" w:cs="Arial" w:eastAsia="Arial" w:hAnsi="Arial"/>
                <w:sz w:val="18"/>
                <w:szCs w:val="18"/>
                <w:color w:val="0000EE"/>
              </w:rPr>
            </w:pPr>
            <w:hyperlink r:id="rId169">
              <w:r>
                <w:rPr>
                  <w:rFonts w:ascii="Arial" w:cs="Arial" w:eastAsia="Arial" w:hAnsi="Arial"/>
                  <w:sz w:val="18"/>
                  <w:szCs w:val="18"/>
                  <w:color w:val="0000EE"/>
                </w:rPr>
                <w:t>between Burlington Coat Factory Warehouse Corporation and Marc Katz.</w:t>
              </w:r>
            </w:hyperlink>
          </w:p>
        </w:tc>
        <w:tc>
          <w:tcPr>
            <w:tcW w:w="9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Statement</w:t>
            </w:r>
          </w:p>
        </w:tc>
        <w:tc>
          <w:tcPr>
            <w:tcW w:w="78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6, 2013</w:t>
            </w:r>
          </w:p>
        </w:tc>
      </w:tr>
      <w:tr>
        <w:trPr>
          <w:trHeight w:val="222"/>
        </w:trPr>
        <w:tc>
          <w:tcPr>
            <w:tcW w:w="680" w:type="dxa"/>
            <w:vAlign w:val="bottom"/>
            <w:tcBorders>
              <w:left w:val="single" w:sz="8" w:color="auto"/>
              <w:right w:val="single" w:sz="8" w:color="auto"/>
            </w:tcBorders>
          </w:tcPr>
          <w:p>
            <w:pPr>
              <w:spacing w:after="0"/>
              <w:rPr>
                <w:sz w:val="19"/>
                <w:szCs w:val="19"/>
                <w:color w:val="auto"/>
              </w:rPr>
            </w:pPr>
          </w:p>
        </w:tc>
        <w:tc>
          <w:tcPr>
            <w:tcW w:w="2460" w:type="dxa"/>
            <w:vAlign w:val="bottom"/>
            <w:tcBorders>
              <w:top w:val="single" w:sz="8" w:color="0000EE"/>
            </w:tcBorders>
          </w:tcPr>
          <w:p>
            <w:pPr>
              <w:spacing w:after="0"/>
              <w:rPr>
                <w:sz w:val="19"/>
                <w:szCs w:val="19"/>
                <w:color w:val="auto"/>
              </w:rPr>
            </w:pPr>
          </w:p>
        </w:tc>
        <w:tc>
          <w:tcPr>
            <w:tcW w:w="84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380" w:type="dxa"/>
            <w:vAlign w:val="bottom"/>
            <w:tcBorders>
              <w:top w:val="single" w:sz="8" w:color="0000EE"/>
            </w:tcBorders>
          </w:tcPr>
          <w:p>
            <w:pPr>
              <w:spacing w:after="0"/>
              <w:rPr>
                <w:sz w:val="19"/>
                <w:szCs w:val="19"/>
                <w:color w:val="auto"/>
              </w:rPr>
            </w:pPr>
          </w:p>
        </w:tc>
        <w:tc>
          <w:tcPr>
            <w:tcW w:w="1480" w:type="dxa"/>
            <w:vAlign w:val="bottom"/>
            <w:tcBorders>
              <w:top w:val="single" w:sz="8" w:color="0000EE"/>
            </w:tcBorders>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5"/>
              </w:rPr>
              <w:t>on Form S-</w:t>
            </w:r>
          </w:p>
        </w:tc>
        <w:tc>
          <w:tcPr>
            <w:tcW w:w="780" w:type="dxa"/>
            <w:vAlign w:val="bottom"/>
            <w:tcBorders>
              <w:right w:val="single" w:sz="8" w:color="auto"/>
            </w:tcBorders>
          </w:tcPr>
          <w:p>
            <w:pPr>
              <w:spacing w:after="0"/>
              <w:rPr>
                <w:sz w:val="19"/>
                <w:szCs w:val="19"/>
                <w:color w:val="auto"/>
              </w:rPr>
            </w:pPr>
          </w:p>
        </w:tc>
      </w:tr>
      <w:tr>
        <w:trPr>
          <w:trHeight w:val="216"/>
        </w:trPr>
        <w:tc>
          <w:tcPr>
            <w:tcW w:w="680" w:type="dxa"/>
            <w:vAlign w:val="bottom"/>
            <w:tcBorders>
              <w:left w:val="single" w:sz="8" w:color="auto"/>
              <w:right w:val="single" w:sz="8" w:color="auto"/>
            </w:tcBorders>
          </w:tcPr>
          <w:p>
            <w:pPr>
              <w:spacing w:after="0"/>
              <w:rPr>
                <w:sz w:val="18"/>
                <w:szCs w:val="18"/>
                <w:color w:val="auto"/>
              </w:rPr>
            </w:pPr>
          </w:p>
        </w:tc>
        <w:tc>
          <w:tcPr>
            <w:tcW w:w="2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1/A</w:t>
            </w:r>
          </w:p>
        </w:tc>
        <w:tc>
          <w:tcPr>
            <w:tcW w:w="780" w:type="dxa"/>
            <w:vAlign w:val="bottom"/>
            <w:tcBorders>
              <w:right w:val="single" w:sz="8" w:color="auto"/>
            </w:tcBorders>
          </w:tcPr>
          <w:p>
            <w:pPr>
              <w:spacing w:after="0"/>
              <w:rPr>
                <w:sz w:val="18"/>
                <w:szCs w:val="18"/>
                <w:color w:val="auto"/>
              </w:rPr>
            </w:pPr>
          </w:p>
        </w:tc>
      </w:tr>
      <w:tr>
        <w:trPr>
          <w:trHeight w:val="216"/>
        </w:trPr>
        <w:tc>
          <w:tcPr>
            <w:tcW w:w="680" w:type="dxa"/>
            <w:vAlign w:val="bottom"/>
            <w:tcBorders>
              <w:left w:val="single" w:sz="8" w:color="auto"/>
              <w:right w:val="single" w:sz="8" w:color="auto"/>
            </w:tcBorders>
          </w:tcPr>
          <w:p>
            <w:pPr>
              <w:spacing w:after="0"/>
              <w:rPr>
                <w:sz w:val="18"/>
                <w:szCs w:val="18"/>
                <w:color w:val="auto"/>
              </w:rPr>
            </w:pPr>
          </w:p>
        </w:tc>
        <w:tc>
          <w:tcPr>
            <w:tcW w:w="2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(File No.</w:t>
            </w:r>
          </w:p>
        </w:tc>
        <w:tc>
          <w:tcPr>
            <w:tcW w:w="780" w:type="dxa"/>
            <w:vAlign w:val="bottom"/>
            <w:tcBorders>
              <w:right w:val="single" w:sz="8" w:color="auto"/>
            </w:tcBorders>
          </w:tcPr>
          <w:p>
            <w:pPr>
              <w:spacing w:after="0"/>
              <w:rPr>
                <w:sz w:val="18"/>
                <w:szCs w:val="18"/>
                <w:color w:val="auto"/>
              </w:rPr>
            </w:pPr>
          </w:p>
        </w:tc>
      </w:tr>
      <w:tr>
        <w:trPr>
          <w:trHeight w:val="216"/>
        </w:trPr>
        <w:tc>
          <w:tcPr>
            <w:tcW w:w="680" w:type="dxa"/>
            <w:vAlign w:val="bottom"/>
            <w:tcBorders>
              <w:left w:val="single" w:sz="8" w:color="auto"/>
              <w:right w:val="single" w:sz="8" w:color="auto"/>
            </w:tcBorders>
          </w:tcPr>
          <w:p>
            <w:pPr>
              <w:spacing w:after="0"/>
              <w:rPr>
                <w:sz w:val="18"/>
                <w:szCs w:val="18"/>
                <w:color w:val="auto"/>
              </w:rPr>
            </w:pPr>
          </w:p>
        </w:tc>
        <w:tc>
          <w:tcPr>
            <w:tcW w:w="2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333-</w:t>
            </w:r>
          </w:p>
        </w:tc>
        <w:tc>
          <w:tcPr>
            <w:tcW w:w="780" w:type="dxa"/>
            <w:vAlign w:val="bottom"/>
            <w:tcBorders>
              <w:right w:val="single" w:sz="8" w:color="auto"/>
            </w:tcBorders>
          </w:tcPr>
          <w:p>
            <w:pPr>
              <w:spacing w:after="0"/>
              <w:rPr>
                <w:sz w:val="18"/>
                <w:szCs w:val="18"/>
                <w:color w:val="auto"/>
              </w:rPr>
            </w:pPr>
          </w:p>
        </w:tc>
      </w:tr>
      <w:tr>
        <w:trPr>
          <w:trHeight w:val="230"/>
        </w:trPr>
        <w:tc>
          <w:tcPr>
            <w:tcW w:w="680" w:type="dxa"/>
            <w:vAlign w:val="bottom"/>
            <w:tcBorders>
              <w:left w:val="single" w:sz="8" w:color="auto"/>
              <w:bottom w:val="single" w:sz="8" w:color="auto"/>
              <w:right w:val="single" w:sz="8" w:color="auto"/>
            </w:tcBorders>
          </w:tcPr>
          <w:p>
            <w:pPr>
              <w:spacing w:after="0"/>
              <w:rPr>
                <w:sz w:val="20"/>
                <w:szCs w:val="20"/>
                <w:color w:val="auto"/>
              </w:rPr>
            </w:pPr>
          </w:p>
        </w:tc>
        <w:tc>
          <w:tcPr>
            <w:tcW w:w="24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189632)</w:t>
            </w:r>
          </w:p>
        </w:tc>
        <w:tc>
          <w:tcPr>
            <w:tcW w:w="780" w:type="dxa"/>
            <w:vAlign w:val="bottom"/>
            <w:tcBorders>
              <w:bottom w:val="single" w:sz="8" w:color="auto"/>
              <w:right w:val="single" w:sz="8" w:color="auto"/>
            </w:tcBorders>
          </w:tcPr>
          <w:p>
            <w:pPr>
              <w:spacing w:after="0"/>
              <w:rPr>
                <w:sz w:val="20"/>
                <w:szCs w:val="20"/>
                <w:color w:val="auto"/>
              </w:rPr>
            </w:pPr>
          </w:p>
        </w:tc>
      </w:tr>
      <w:tr>
        <w:trPr>
          <w:trHeight w:val="169"/>
        </w:trPr>
        <w:tc>
          <w:tcPr>
            <w:tcW w:w="680" w:type="dxa"/>
            <w:vAlign w:val="bottom"/>
            <w:tcBorders>
              <w:left w:val="single" w:sz="8" w:color="auto"/>
              <w:right w:val="single" w:sz="8" w:color="auto"/>
            </w:tcBorders>
          </w:tcPr>
          <w:p>
            <w:pPr>
              <w:spacing w:after="0" w:line="170" w:lineRule="exact"/>
              <w:rPr>
                <w:sz w:val="20"/>
                <w:szCs w:val="20"/>
                <w:color w:val="auto"/>
              </w:rPr>
            </w:pPr>
            <w:r>
              <w:rPr>
                <w:rFonts w:ascii="Arial" w:cs="Arial" w:eastAsia="Arial" w:hAnsi="Arial"/>
                <w:sz w:val="18"/>
                <w:szCs w:val="18"/>
                <w:color w:val="auto"/>
              </w:rPr>
              <w:t>10.20+</w:t>
            </w:r>
          </w:p>
        </w:tc>
        <w:tc>
          <w:tcPr>
            <w:tcW w:w="5980" w:type="dxa"/>
            <w:vAlign w:val="bottom"/>
            <w:tcBorders>
              <w:bottom w:val="single" w:sz="8" w:color="0000EE"/>
            </w:tcBorders>
            <w:gridSpan w:val="15"/>
          </w:tcPr>
          <w:p>
            <w:pPr>
              <w:spacing w:after="0" w:line="170" w:lineRule="exact"/>
              <w:rPr>
                <w:rFonts w:ascii="Arial" w:cs="Arial" w:eastAsia="Arial" w:hAnsi="Arial"/>
                <w:sz w:val="18"/>
                <w:szCs w:val="18"/>
                <w:color w:val="0000EE"/>
                <w:w w:val="92"/>
              </w:rPr>
            </w:pPr>
            <w:hyperlink r:id="rId170">
              <w:r>
                <w:rPr>
                  <w:rFonts w:ascii="Arial" w:cs="Arial" w:eastAsia="Arial" w:hAnsi="Arial"/>
                  <w:sz w:val="18"/>
                  <w:szCs w:val="18"/>
                  <w:color w:val="0000EE"/>
                  <w:w w:val="92"/>
                </w:rPr>
                <w:t>Form of Non-Qualified Stock Option Agreement between Burlington Coat Factory</w:t>
              </w:r>
            </w:hyperlink>
          </w:p>
        </w:tc>
        <w:tc>
          <w:tcPr>
            <w:tcW w:w="280" w:type="dxa"/>
            <w:vAlign w:val="bottom"/>
            <w:tcBorders>
              <w:right w:val="single" w:sz="8" w:color="auto"/>
            </w:tcBorders>
            <w:gridSpan w:val="6"/>
          </w:tcPr>
          <w:p>
            <w:pPr>
              <w:spacing w:after="0"/>
              <w:rPr>
                <w:sz w:val="14"/>
                <w:szCs w:val="14"/>
                <w:color w:val="auto"/>
              </w:rPr>
            </w:pPr>
          </w:p>
        </w:tc>
        <w:tc>
          <w:tcPr>
            <w:tcW w:w="900" w:type="dxa"/>
            <w:vAlign w:val="bottom"/>
            <w:tcBorders>
              <w:right w:val="single" w:sz="8" w:color="auto"/>
            </w:tcBorders>
          </w:tcPr>
          <w:p>
            <w:pPr>
              <w:spacing w:after="0" w:line="170" w:lineRule="exact"/>
              <w:rPr>
                <w:sz w:val="20"/>
                <w:szCs w:val="20"/>
                <w:color w:val="auto"/>
              </w:rPr>
            </w:pPr>
            <w:r>
              <w:rPr>
                <w:rFonts w:ascii="Arial" w:cs="Arial" w:eastAsia="Arial" w:hAnsi="Arial"/>
                <w:sz w:val="18"/>
                <w:szCs w:val="18"/>
                <w:color w:val="auto"/>
              </w:rPr>
              <w:t>Current</w:t>
            </w:r>
          </w:p>
        </w:tc>
        <w:tc>
          <w:tcPr>
            <w:tcW w:w="780" w:type="dxa"/>
            <w:vAlign w:val="bottom"/>
            <w:tcBorders>
              <w:right w:val="single" w:sz="8" w:color="auto"/>
            </w:tcBorders>
          </w:tcPr>
          <w:p>
            <w:pPr>
              <w:spacing w:after="0" w:line="170" w:lineRule="exact"/>
              <w:rPr>
                <w:sz w:val="20"/>
                <w:szCs w:val="20"/>
                <w:color w:val="auto"/>
              </w:rPr>
            </w:pPr>
            <w:r>
              <w:rPr>
                <w:rFonts w:ascii="Arial" w:cs="Arial" w:eastAsia="Arial" w:hAnsi="Arial"/>
                <w:sz w:val="18"/>
                <w:szCs w:val="18"/>
                <w:color w:val="auto"/>
              </w:rPr>
              <w:t>April 30,</w:t>
            </w:r>
          </w:p>
        </w:tc>
      </w:tr>
      <w:tr>
        <w:trPr>
          <w:trHeight w:val="196"/>
        </w:trPr>
        <w:tc>
          <w:tcPr>
            <w:tcW w:w="680" w:type="dxa"/>
            <w:vAlign w:val="bottom"/>
            <w:tcBorders>
              <w:left w:val="single" w:sz="8" w:color="auto"/>
              <w:right w:val="single" w:sz="8" w:color="auto"/>
            </w:tcBorders>
          </w:tcPr>
          <w:p>
            <w:pPr>
              <w:spacing w:after="0"/>
              <w:rPr>
                <w:sz w:val="17"/>
                <w:szCs w:val="17"/>
                <w:color w:val="auto"/>
              </w:rPr>
            </w:pPr>
          </w:p>
        </w:tc>
        <w:tc>
          <w:tcPr>
            <w:tcW w:w="602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r:id="rId170">
              <w:r>
                <w:rPr>
                  <w:rFonts w:ascii="Arial" w:cs="Arial" w:eastAsia="Arial" w:hAnsi="Arial"/>
                  <w:sz w:val="18"/>
                  <w:szCs w:val="18"/>
                  <w:color w:val="0000EE"/>
                  <w:w w:val="90"/>
                </w:rPr>
                <w:t>Holdings, Inc. and Employees with Employment Agreements (for grants made after</w:t>
              </w:r>
            </w:hyperlink>
          </w:p>
        </w:tc>
        <w:tc>
          <w:tcPr>
            <w:tcW w:w="240" w:type="dxa"/>
            <w:vAlign w:val="bottom"/>
            <w:tcBorders>
              <w:right w:val="single" w:sz="8" w:color="auto"/>
            </w:tcBorders>
            <w:gridSpan w:val="4"/>
          </w:tcPr>
          <w:p>
            <w:pPr>
              <w:spacing w:after="0"/>
              <w:rPr>
                <w:sz w:val="17"/>
                <w:szCs w:val="17"/>
                <w:color w:val="auto"/>
              </w:rPr>
            </w:pPr>
          </w:p>
        </w:tc>
        <w:tc>
          <w:tcPr>
            <w:tcW w:w="9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Report on</w:t>
            </w:r>
          </w:p>
        </w:tc>
        <w:tc>
          <w:tcPr>
            <w:tcW w:w="78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2009</w:t>
            </w:r>
          </w:p>
        </w:tc>
      </w:tr>
      <w:tr>
        <w:trPr>
          <w:trHeight w:val="196"/>
        </w:trPr>
        <w:tc>
          <w:tcPr>
            <w:tcW w:w="680" w:type="dxa"/>
            <w:vAlign w:val="bottom"/>
            <w:tcBorders>
              <w:left w:val="single" w:sz="8" w:color="auto"/>
              <w:right w:val="single" w:sz="8" w:color="auto"/>
            </w:tcBorders>
          </w:tcPr>
          <w:p>
            <w:pPr>
              <w:spacing w:after="0"/>
              <w:rPr>
                <w:sz w:val="17"/>
                <w:szCs w:val="17"/>
                <w:color w:val="auto"/>
              </w:rPr>
            </w:pPr>
          </w:p>
        </w:tc>
        <w:tc>
          <w:tcPr>
            <w:tcW w:w="6260" w:type="dxa"/>
            <w:vAlign w:val="bottom"/>
            <w:tcBorders>
              <w:right w:val="single" w:sz="8" w:color="auto"/>
            </w:tcBorders>
            <w:gridSpan w:val="21"/>
          </w:tcPr>
          <w:p>
            <w:pPr>
              <w:spacing w:after="0" w:line="196" w:lineRule="exact"/>
              <w:rPr>
                <w:rFonts w:ascii="Arial" w:cs="Arial" w:eastAsia="Arial" w:hAnsi="Arial"/>
                <w:sz w:val="18"/>
                <w:szCs w:val="18"/>
                <w:color w:val="0000EE"/>
                <w:w w:val="92"/>
              </w:rPr>
            </w:pPr>
            <w:hyperlink r:id="rId170">
              <w:r>
                <w:rPr>
                  <w:rFonts w:ascii="Arial" w:cs="Arial" w:eastAsia="Arial" w:hAnsi="Arial"/>
                  <w:sz w:val="18"/>
                  <w:szCs w:val="18"/>
                  <w:color w:val="0000EE"/>
                  <w:w w:val="92"/>
                </w:rPr>
                <w:t>March 2009 and prior to 2014 (other than 2013 special one-time grants)) pursuant to</w:t>
              </w:r>
            </w:hyperlink>
          </w:p>
        </w:tc>
        <w:tc>
          <w:tcPr>
            <w:tcW w:w="9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Form 8-K</w:t>
            </w:r>
          </w:p>
        </w:tc>
        <w:tc>
          <w:tcPr>
            <w:tcW w:w="780" w:type="dxa"/>
            <w:vAlign w:val="bottom"/>
            <w:tcBorders>
              <w:right w:val="single" w:sz="8" w:color="auto"/>
            </w:tcBorders>
          </w:tcPr>
          <w:p>
            <w:pPr>
              <w:spacing w:after="0"/>
              <w:rPr>
                <w:sz w:val="17"/>
                <w:szCs w:val="17"/>
                <w:color w:val="auto"/>
              </w:rPr>
            </w:pPr>
          </w:p>
        </w:tc>
      </w:tr>
      <w:tr>
        <w:trPr>
          <w:trHeight w:val="196"/>
        </w:trPr>
        <w:tc>
          <w:tcPr>
            <w:tcW w:w="680" w:type="dxa"/>
            <w:vAlign w:val="bottom"/>
            <w:tcBorders>
              <w:left w:val="single" w:sz="8" w:color="auto"/>
              <w:right w:val="single" w:sz="8" w:color="auto"/>
            </w:tcBorders>
          </w:tcPr>
          <w:p>
            <w:pPr>
              <w:spacing w:after="0"/>
              <w:rPr>
                <w:sz w:val="17"/>
                <w:szCs w:val="17"/>
                <w:color w:val="auto"/>
              </w:rPr>
            </w:pPr>
          </w:p>
        </w:tc>
        <w:tc>
          <w:tcPr>
            <w:tcW w:w="606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r:id="rId170">
              <w:r>
                <w:rPr>
                  <w:rFonts w:ascii="Arial" w:cs="Arial" w:eastAsia="Arial" w:hAnsi="Arial"/>
                  <w:sz w:val="18"/>
                  <w:szCs w:val="18"/>
                  <w:color w:val="0000EE"/>
                </w:rPr>
                <w:t>2006 Management Incentive Plan.</w:t>
              </w:r>
            </w:hyperlink>
          </w:p>
        </w:tc>
        <w:tc>
          <w:tcPr>
            <w:tcW w:w="200" w:type="dxa"/>
            <w:vAlign w:val="bottom"/>
            <w:tcBorders>
              <w:right w:val="single" w:sz="8" w:color="auto"/>
            </w:tcBorders>
            <w:gridSpan w:val="3"/>
          </w:tcPr>
          <w:p>
            <w:pPr>
              <w:spacing w:after="0"/>
              <w:rPr>
                <w:sz w:val="17"/>
                <w:szCs w:val="17"/>
                <w:color w:val="auto"/>
              </w:rPr>
            </w:pPr>
          </w:p>
        </w:tc>
        <w:tc>
          <w:tcPr>
            <w:tcW w:w="9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(File No.</w:t>
            </w:r>
          </w:p>
        </w:tc>
        <w:tc>
          <w:tcPr>
            <w:tcW w:w="780" w:type="dxa"/>
            <w:vAlign w:val="bottom"/>
            <w:tcBorders>
              <w:right w:val="single" w:sz="8" w:color="auto"/>
            </w:tcBorders>
          </w:tcPr>
          <w:p>
            <w:pPr>
              <w:spacing w:after="0"/>
              <w:rPr>
                <w:sz w:val="17"/>
                <w:szCs w:val="17"/>
                <w:color w:val="auto"/>
              </w:rPr>
            </w:pPr>
          </w:p>
        </w:tc>
      </w:tr>
      <w:tr>
        <w:trPr>
          <w:trHeight w:val="222"/>
        </w:trPr>
        <w:tc>
          <w:tcPr>
            <w:tcW w:w="680" w:type="dxa"/>
            <w:vAlign w:val="bottom"/>
            <w:tcBorders>
              <w:left w:val="single" w:sz="8" w:color="auto"/>
              <w:right w:val="single" w:sz="8" w:color="auto"/>
            </w:tcBorders>
          </w:tcPr>
          <w:p>
            <w:pPr>
              <w:spacing w:after="0"/>
              <w:rPr>
                <w:sz w:val="19"/>
                <w:szCs w:val="19"/>
                <w:color w:val="auto"/>
              </w:rPr>
            </w:pPr>
          </w:p>
        </w:tc>
        <w:tc>
          <w:tcPr>
            <w:tcW w:w="2460" w:type="dxa"/>
            <w:vAlign w:val="bottom"/>
            <w:tcBorders>
              <w:top w:val="single" w:sz="8" w:color="0000EE"/>
            </w:tcBorders>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333-</w:t>
            </w:r>
          </w:p>
        </w:tc>
        <w:tc>
          <w:tcPr>
            <w:tcW w:w="780" w:type="dxa"/>
            <w:vAlign w:val="bottom"/>
            <w:tcBorders>
              <w:right w:val="single" w:sz="8" w:color="auto"/>
            </w:tcBorders>
          </w:tcPr>
          <w:p>
            <w:pPr>
              <w:spacing w:after="0"/>
              <w:rPr>
                <w:sz w:val="19"/>
                <w:szCs w:val="19"/>
                <w:color w:val="auto"/>
              </w:rPr>
            </w:pPr>
          </w:p>
        </w:tc>
      </w:tr>
      <w:tr>
        <w:trPr>
          <w:trHeight w:val="216"/>
        </w:trPr>
        <w:tc>
          <w:tcPr>
            <w:tcW w:w="680" w:type="dxa"/>
            <w:vAlign w:val="bottom"/>
            <w:tcBorders>
              <w:left w:val="single" w:sz="8" w:color="auto"/>
              <w:right w:val="single" w:sz="8" w:color="auto"/>
            </w:tcBorders>
          </w:tcPr>
          <w:p>
            <w:pPr>
              <w:spacing w:after="0"/>
              <w:rPr>
                <w:sz w:val="18"/>
                <w:szCs w:val="18"/>
                <w:color w:val="auto"/>
              </w:rPr>
            </w:pPr>
          </w:p>
        </w:tc>
        <w:tc>
          <w:tcPr>
            <w:tcW w:w="2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137916-</w:t>
            </w:r>
          </w:p>
        </w:tc>
        <w:tc>
          <w:tcPr>
            <w:tcW w:w="780" w:type="dxa"/>
            <w:vAlign w:val="bottom"/>
            <w:tcBorders>
              <w:right w:val="single" w:sz="8" w:color="auto"/>
            </w:tcBorders>
          </w:tcPr>
          <w:p>
            <w:pPr>
              <w:spacing w:after="0"/>
              <w:rPr>
                <w:sz w:val="18"/>
                <w:szCs w:val="18"/>
                <w:color w:val="auto"/>
              </w:rPr>
            </w:pPr>
          </w:p>
        </w:tc>
      </w:tr>
      <w:tr>
        <w:trPr>
          <w:trHeight w:val="230"/>
        </w:trPr>
        <w:tc>
          <w:tcPr>
            <w:tcW w:w="680" w:type="dxa"/>
            <w:vAlign w:val="bottom"/>
            <w:tcBorders>
              <w:left w:val="single" w:sz="8" w:color="auto"/>
              <w:bottom w:val="single" w:sz="8" w:color="auto"/>
              <w:right w:val="single" w:sz="8" w:color="auto"/>
            </w:tcBorders>
          </w:tcPr>
          <w:p>
            <w:pPr>
              <w:spacing w:after="0"/>
              <w:rPr>
                <w:sz w:val="20"/>
                <w:szCs w:val="20"/>
                <w:color w:val="auto"/>
              </w:rPr>
            </w:pPr>
          </w:p>
        </w:tc>
        <w:tc>
          <w:tcPr>
            <w:tcW w:w="24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110)</w:t>
            </w:r>
          </w:p>
        </w:tc>
        <w:tc>
          <w:tcPr>
            <w:tcW w:w="780" w:type="dxa"/>
            <w:vAlign w:val="bottom"/>
            <w:tcBorders>
              <w:bottom w:val="single" w:sz="8" w:color="auto"/>
              <w:right w:val="single" w:sz="8" w:color="auto"/>
            </w:tcBorders>
          </w:tcPr>
          <w:p>
            <w:pPr>
              <w:spacing w:after="0"/>
              <w:rPr>
                <w:sz w:val="20"/>
                <w:szCs w:val="20"/>
                <w:color w:val="auto"/>
              </w:rPr>
            </w:pPr>
          </w:p>
        </w:tc>
      </w:tr>
      <w:tr>
        <w:trPr>
          <w:trHeight w:val="169"/>
        </w:trPr>
        <w:tc>
          <w:tcPr>
            <w:tcW w:w="680" w:type="dxa"/>
            <w:vAlign w:val="bottom"/>
            <w:tcBorders>
              <w:left w:val="single" w:sz="8" w:color="auto"/>
              <w:right w:val="single" w:sz="8" w:color="auto"/>
            </w:tcBorders>
          </w:tcPr>
          <w:p>
            <w:pPr>
              <w:spacing w:after="0" w:line="170" w:lineRule="exact"/>
              <w:rPr>
                <w:sz w:val="20"/>
                <w:szCs w:val="20"/>
                <w:color w:val="auto"/>
              </w:rPr>
            </w:pPr>
            <w:r>
              <w:rPr>
                <w:rFonts w:ascii="Arial" w:cs="Arial" w:eastAsia="Arial" w:hAnsi="Arial"/>
                <w:sz w:val="18"/>
                <w:szCs w:val="18"/>
                <w:color w:val="auto"/>
              </w:rPr>
              <w:t>10.21+</w:t>
            </w:r>
          </w:p>
        </w:tc>
        <w:tc>
          <w:tcPr>
            <w:tcW w:w="5960" w:type="dxa"/>
            <w:vAlign w:val="bottom"/>
            <w:tcBorders>
              <w:bottom w:val="single" w:sz="8" w:color="0000EE"/>
            </w:tcBorders>
            <w:gridSpan w:val="14"/>
          </w:tcPr>
          <w:p>
            <w:pPr>
              <w:spacing w:after="0" w:line="170" w:lineRule="exact"/>
              <w:rPr>
                <w:rFonts w:ascii="Arial" w:cs="Arial" w:eastAsia="Arial" w:hAnsi="Arial"/>
                <w:sz w:val="18"/>
                <w:szCs w:val="18"/>
                <w:color w:val="0000EE"/>
                <w:w w:val="92"/>
              </w:rPr>
            </w:pPr>
            <w:hyperlink r:id="rId171">
              <w:r>
                <w:rPr>
                  <w:rFonts w:ascii="Arial" w:cs="Arial" w:eastAsia="Arial" w:hAnsi="Arial"/>
                  <w:sz w:val="18"/>
                  <w:szCs w:val="18"/>
                  <w:color w:val="0000EE"/>
                  <w:w w:val="92"/>
                </w:rPr>
                <w:t>Form of Non-Qualified Stock Option Agreement between Burlington Coat Factory</w:t>
              </w:r>
            </w:hyperlink>
          </w:p>
        </w:tc>
        <w:tc>
          <w:tcPr>
            <w:tcW w:w="300" w:type="dxa"/>
            <w:vAlign w:val="bottom"/>
            <w:tcBorders>
              <w:right w:val="single" w:sz="8" w:color="auto"/>
            </w:tcBorders>
            <w:gridSpan w:val="7"/>
          </w:tcPr>
          <w:p>
            <w:pPr>
              <w:spacing w:after="0"/>
              <w:rPr>
                <w:sz w:val="14"/>
                <w:szCs w:val="14"/>
                <w:color w:val="auto"/>
              </w:rPr>
            </w:pPr>
          </w:p>
        </w:tc>
        <w:tc>
          <w:tcPr>
            <w:tcW w:w="900" w:type="dxa"/>
            <w:vAlign w:val="bottom"/>
            <w:tcBorders>
              <w:right w:val="single" w:sz="8" w:color="auto"/>
            </w:tcBorders>
          </w:tcPr>
          <w:p>
            <w:pPr>
              <w:spacing w:after="0" w:line="170" w:lineRule="exact"/>
              <w:rPr>
                <w:sz w:val="20"/>
                <w:szCs w:val="20"/>
                <w:color w:val="auto"/>
              </w:rPr>
            </w:pPr>
            <w:r>
              <w:rPr>
                <w:rFonts w:ascii="Arial" w:cs="Arial" w:eastAsia="Arial" w:hAnsi="Arial"/>
                <w:sz w:val="18"/>
                <w:szCs w:val="18"/>
                <w:color w:val="auto"/>
              </w:rPr>
              <w:t>Current</w:t>
            </w:r>
          </w:p>
        </w:tc>
        <w:tc>
          <w:tcPr>
            <w:tcW w:w="780" w:type="dxa"/>
            <w:vAlign w:val="bottom"/>
            <w:tcBorders>
              <w:right w:val="single" w:sz="8" w:color="auto"/>
            </w:tcBorders>
          </w:tcPr>
          <w:p>
            <w:pPr>
              <w:spacing w:after="0" w:line="170" w:lineRule="exact"/>
              <w:rPr>
                <w:sz w:val="20"/>
                <w:szCs w:val="20"/>
                <w:color w:val="auto"/>
              </w:rPr>
            </w:pPr>
            <w:r>
              <w:rPr>
                <w:rFonts w:ascii="Arial" w:cs="Arial" w:eastAsia="Arial" w:hAnsi="Arial"/>
                <w:sz w:val="18"/>
                <w:szCs w:val="18"/>
                <w:color w:val="auto"/>
              </w:rPr>
              <w:t>April 30,</w:t>
            </w:r>
          </w:p>
        </w:tc>
      </w:tr>
      <w:tr>
        <w:trPr>
          <w:trHeight w:val="196"/>
        </w:trPr>
        <w:tc>
          <w:tcPr>
            <w:tcW w:w="680" w:type="dxa"/>
            <w:vAlign w:val="bottom"/>
            <w:tcBorders>
              <w:left w:val="single" w:sz="8" w:color="auto"/>
              <w:right w:val="single" w:sz="8" w:color="auto"/>
            </w:tcBorders>
          </w:tcPr>
          <w:p>
            <w:pPr>
              <w:spacing w:after="0"/>
              <w:rPr>
                <w:sz w:val="17"/>
                <w:szCs w:val="17"/>
                <w:color w:val="auto"/>
              </w:rPr>
            </w:pPr>
          </w:p>
        </w:tc>
        <w:tc>
          <w:tcPr>
            <w:tcW w:w="588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r:id="rId171">
              <w:r>
                <w:rPr>
                  <w:rFonts w:ascii="Arial" w:cs="Arial" w:eastAsia="Arial" w:hAnsi="Arial"/>
                  <w:sz w:val="18"/>
                  <w:szCs w:val="18"/>
                  <w:color w:val="0000EE"/>
                  <w:w w:val="90"/>
                </w:rPr>
                <w:t>Holdings, Inc. and Employees without Employment Agreements (for grants made</w:t>
              </w:r>
            </w:hyperlink>
          </w:p>
        </w:tc>
        <w:tc>
          <w:tcPr>
            <w:tcW w:w="380" w:type="dxa"/>
            <w:vAlign w:val="bottom"/>
            <w:tcBorders>
              <w:right w:val="single" w:sz="8" w:color="auto"/>
            </w:tcBorders>
            <w:gridSpan w:val="9"/>
          </w:tcPr>
          <w:p>
            <w:pPr>
              <w:spacing w:after="0"/>
              <w:rPr>
                <w:sz w:val="17"/>
                <w:szCs w:val="17"/>
                <w:color w:val="auto"/>
              </w:rPr>
            </w:pPr>
          </w:p>
        </w:tc>
        <w:tc>
          <w:tcPr>
            <w:tcW w:w="9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Report on</w:t>
            </w:r>
          </w:p>
        </w:tc>
        <w:tc>
          <w:tcPr>
            <w:tcW w:w="78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2009</w:t>
            </w:r>
          </w:p>
        </w:tc>
      </w:tr>
      <w:tr>
        <w:trPr>
          <w:trHeight w:val="196"/>
        </w:trPr>
        <w:tc>
          <w:tcPr>
            <w:tcW w:w="680" w:type="dxa"/>
            <w:vAlign w:val="bottom"/>
            <w:tcBorders>
              <w:left w:val="single" w:sz="8" w:color="auto"/>
              <w:right w:val="single" w:sz="8" w:color="auto"/>
            </w:tcBorders>
          </w:tcPr>
          <w:p>
            <w:pPr>
              <w:spacing w:after="0"/>
              <w:rPr>
                <w:sz w:val="17"/>
                <w:szCs w:val="17"/>
                <w:color w:val="auto"/>
              </w:rPr>
            </w:pPr>
          </w:p>
        </w:tc>
        <w:tc>
          <w:tcPr>
            <w:tcW w:w="6260" w:type="dxa"/>
            <w:vAlign w:val="bottom"/>
            <w:tcBorders>
              <w:right w:val="single" w:sz="8" w:color="auto"/>
            </w:tcBorders>
            <w:gridSpan w:val="21"/>
          </w:tcPr>
          <w:p>
            <w:pPr>
              <w:spacing w:after="0" w:line="196" w:lineRule="exact"/>
              <w:rPr>
                <w:rFonts w:ascii="Arial" w:cs="Arial" w:eastAsia="Arial" w:hAnsi="Arial"/>
                <w:sz w:val="18"/>
                <w:szCs w:val="18"/>
                <w:color w:val="0000EE"/>
              </w:rPr>
            </w:pPr>
            <w:hyperlink r:id="rId171">
              <w:r>
                <w:rPr>
                  <w:rFonts w:ascii="Arial" w:cs="Arial" w:eastAsia="Arial" w:hAnsi="Arial"/>
                  <w:sz w:val="18"/>
                  <w:szCs w:val="18"/>
                  <w:color w:val="0000EE"/>
                </w:rPr>
                <w:t>after March 2009 and prior to 2014 (other than 2013 special one-time grants))</w:t>
              </w:r>
            </w:hyperlink>
          </w:p>
        </w:tc>
        <w:tc>
          <w:tcPr>
            <w:tcW w:w="9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Form 8-K</w:t>
            </w:r>
          </w:p>
        </w:tc>
        <w:tc>
          <w:tcPr>
            <w:tcW w:w="780" w:type="dxa"/>
            <w:vAlign w:val="bottom"/>
            <w:tcBorders>
              <w:right w:val="single" w:sz="8" w:color="auto"/>
            </w:tcBorders>
          </w:tcPr>
          <w:p>
            <w:pPr>
              <w:spacing w:after="0"/>
              <w:rPr>
                <w:sz w:val="17"/>
                <w:szCs w:val="17"/>
                <w:color w:val="auto"/>
              </w:rPr>
            </w:pPr>
          </w:p>
        </w:tc>
      </w:tr>
      <w:tr>
        <w:trPr>
          <w:trHeight w:val="196"/>
        </w:trPr>
        <w:tc>
          <w:tcPr>
            <w:tcW w:w="680" w:type="dxa"/>
            <w:vAlign w:val="bottom"/>
            <w:tcBorders>
              <w:left w:val="single" w:sz="8" w:color="auto"/>
              <w:right w:val="single" w:sz="8" w:color="auto"/>
            </w:tcBorders>
          </w:tcPr>
          <w:p>
            <w:pPr>
              <w:spacing w:after="0"/>
              <w:rPr>
                <w:sz w:val="17"/>
                <w:szCs w:val="17"/>
                <w:color w:val="auto"/>
              </w:rPr>
            </w:pPr>
          </w:p>
        </w:tc>
        <w:tc>
          <w:tcPr>
            <w:tcW w:w="558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r:id="rId171">
              <w:r>
                <w:rPr>
                  <w:rFonts w:ascii="Arial" w:cs="Arial" w:eastAsia="Arial" w:hAnsi="Arial"/>
                  <w:sz w:val="18"/>
                  <w:szCs w:val="18"/>
                  <w:color w:val="0000EE"/>
                </w:rPr>
                <w:t>pursuant to 2006 Management Incentive Plan.</w:t>
              </w:r>
            </w:hyperlink>
          </w:p>
        </w:tc>
        <w:tc>
          <w:tcPr>
            <w:tcW w:w="680" w:type="dxa"/>
            <w:vAlign w:val="bottom"/>
            <w:tcBorders>
              <w:right w:val="single" w:sz="8" w:color="auto"/>
            </w:tcBorders>
            <w:gridSpan w:val="13"/>
          </w:tcPr>
          <w:p>
            <w:pPr>
              <w:spacing w:after="0"/>
              <w:rPr>
                <w:sz w:val="17"/>
                <w:szCs w:val="17"/>
                <w:color w:val="auto"/>
              </w:rPr>
            </w:pPr>
          </w:p>
        </w:tc>
        <w:tc>
          <w:tcPr>
            <w:tcW w:w="9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(File No.</w:t>
            </w:r>
          </w:p>
        </w:tc>
        <w:tc>
          <w:tcPr>
            <w:tcW w:w="780" w:type="dxa"/>
            <w:vAlign w:val="bottom"/>
            <w:tcBorders>
              <w:right w:val="single" w:sz="8" w:color="auto"/>
            </w:tcBorders>
          </w:tcPr>
          <w:p>
            <w:pPr>
              <w:spacing w:after="0"/>
              <w:rPr>
                <w:sz w:val="17"/>
                <w:szCs w:val="17"/>
                <w:color w:val="auto"/>
              </w:rPr>
            </w:pPr>
          </w:p>
        </w:tc>
      </w:tr>
      <w:tr>
        <w:trPr>
          <w:trHeight w:val="222"/>
        </w:trPr>
        <w:tc>
          <w:tcPr>
            <w:tcW w:w="680" w:type="dxa"/>
            <w:vAlign w:val="bottom"/>
            <w:tcBorders>
              <w:left w:val="single" w:sz="8" w:color="auto"/>
              <w:right w:val="single" w:sz="8" w:color="auto"/>
            </w:tcBorders>
          </w:tcPr>
          <w:p>
            <w:pPr>
              <w:spacing w:after="0"/>
              <w:rPr>
                <w:sz w:val="19"/>
                <w:szCs w:val="19"/>
                <w:color w:val="auto"/>
              </w:rPr>
            </w:pPr>
          </w:p>
        </w:tc>
        <w:tc>
          <w:tcPr>
            <w:tcW w:w="2460" w:type="dxa"/>
            <w:vAlign w:val="bottom"/>
            <w:tcBorders>
              <w:top w:val="single" w:sz="8" w:color="0000EE"/>
            </w:tcBorders>
          </w:tcPr>
          <w:p>
            <w:pPr>
              <w:spacing w:after="0"/>
              <w:rPr>
                <w:sz w:val="19"/>
                <w:szCs w:val="19"/>
                <w:color w:val="auto"/>
              </w:rPr>
            </w:pPr>
          </w:p>
        </w:tc>
        <w:tc>
          <w:tcPr>
            <w:tcW w:w="840" w:type="dxa"/>
            <w:vAlign w:val="bottom"/>
            <w:tcBorders>
              <w:top w:val="single" w:sz="8" w:color="0000EE"/>
            </w:tcBorders>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333-</w:t>
            </w:r>
          </w:p>
        </w:tc>
        <w:tc>
          <w:tcPr>
            <w:tcW w:w="780" w:type="dxa"/>
            <w:vAlign w:val="bottom"/>
            <w:tcBorders>
              <w:right w:val="single" w:sz="8" w:color="auto"/>
            </w:tcBorders>
          </w:tcPr>
          <w:p>
            <w:pPr>
              <w:spacing w:after="0"/>
              <w:rPr>
                <w:sz w:val="19"/>
                <w:szCs w:val="19"/>
                <w:color w:val="auto"/>
              </w:rPr>
            </w:pPr>
          </w:p>
        </w:tc>
      </w:tr>
      <w:tr>
        <w:trPr>
          <w:trHeight w:val="216"/>
        </w:trPr>
        <w:tc>
          <w:tcPr>
            <w:tcW w:w="680" w:type="dxa"/>
            <w:vAlign w:val="bottom"/>
            <w:tcBorders>
              <w:left w:val="single" w:sz="8" w:color="auto"/>
              <w:right w:val="single" w:sz="8" w:color="auto"/>
            </w:tcBorders>
          </w:tcPr>
          <w:p>
            <w:pPr>
              <w:spacing w:after="0"/>
              <w:rPr>
                <w:sz w:val="18"/>
                <w:szCs w:val="18"/>
                <w:color w:val="auto"/>
              </w:rPr>
            </w:pPr>
          </w:p>
        </w:tc>
        <w:tc>
          <w:tcPr>
            <w:tcW w:w="2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137916-</w:t>
            </w:r>
          </w:p>
        </w:tc>
        <w:tc>
          <w:tcPr>
            <w:tcW w:w="780" w:type="dxa"/>
            <w:vAlign w:val="bottom"/>
            <w:tcBorders>
              <w:right w:val="single" w:sz="8" w:color="auto"/>
            </w:tcBorders>
          </w:tcPr>
          <w:p>
            <w:pPr>
              <w:spacing w:after="0"/>
              <w:rPr>
                <w:sz w:val="18"/>
                <w:szCs w:val="18"/>
                <w:color w:val="auto"/>
              </w:rPr>
            </w:pPr>
          </w:p>
        </w:tc>
      </w:tr>
      <w:tr>
        <w:trPr>
          <w:trHeight w:val="230"/>
        </w:trPr>
        <w:tc>
          <w:tcPr>
            <w:tcW w:w="680" w:type="dxa"/>
            <w:vAlign w:val="bottom"/>
            <w:tcBorders>
              <w:left w:val="single" w:sz="8" w:color="auto"/>
              <w:bottom w:val="single" w:sz="8" w:color="auto"/>
              <w:right w:val="single" w:sz="8" w:color="auto"/>
            </w:tcBorders>
          </w:tcPr>
          <w:p>
            <w:pPr>
              <w:spacing w:after="0"/>
              <w:rPr>
                <w:sz w:val="20"/>
                <w:szCs w:val="20"/>
                <w:color w:val="auto"/>
              </w:rPr>
            </w:pPr>
          </w:p>
        </w:tc>
        <w:tc>
          <w:tcPr>
            <w:tcW w:w="24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110)</w:t>
            </w:r>
          </w:p>
        </w:tc>
        <w:tc>
          <w:tcPr>
            <w:tcW w:w="780" w:type="dxa"/>
            <w:vAlign w:val="bottom"/>
            <w:tcBorders>
              <w:bottom w:val="single" w:sz="8" w:color="auto"/>
              <w:right w:val="single" w:sz="8" w:color="auto"/>
            </w:tcBorders>
          </w:tcPr>
          <w:p>
            <w:pPr>
              <w:spacing w:after="0"/>
              <w:rPr>
                <w:sz w:val="20"/>
                <w:szCs w:val="20"/>
                <w:color w:val="auto"/>
              </w:rPr>
            </w:pPr>
          </w:p>
        </w:tc>
      </w:tr>
      <w:tr>
        <w:trPr>
          <w:trHeight w:val="169"/>
        </w:trPr>
        <w:tc>
          <w:tcPr>
            <w:tcW w:w="680" w:type="dxa"/>
            <w:vAlign w:val="bottom"/>
            <w:tcBorders>
              <w:left w:val="single" w:sz="8" w:color="auto"/>
              <w:right w:val="single" w:sz="8" w:color="auto"/>
            </w:tcBorders>
          </w:tcPr>
          <w:p>
            <w:pPr>
              <w:spacing w:after="0" w:line="170" w:lineRule="exact"/>
              <w:rPr>
                <w:sz w:val="20"/>
                <w:szCs w:val="20"/>
                <w:color w:val="auto"/>
              </w:rPr>
            </w:pPr>
            <w:r>
              <w:rPr>
                <w:rFonts w:ascii="Arial" w:cs="Arial" w:eastAsia="Arial" w:hAnsi="Arial"/>
                <w:sz w:val="18"/>
                <w:szCs w:val="18"/>
                <w:color w:val="auto"/>
              </w:rPr>
              <w:t>10.22+</w:t>
            </w:r>
          </w:p>
        </w:tc>
        <w:tc>
          <w:tcPr>
            <w:tcW w:w="6260" w:type="dxa"/>
            <w:vAlign w:val="bottom"/>
            <w:tcBorders>
              <w:right w:val="single" w:sz="8" w:color="auto"/>
            </w:tcBorders>
            <w:gridSpan w:val="21"/>
          </w:tcPr>
          <w:p>
            <w:pPr>
              <w:spacing w:after="0" w:line="170" w:lineRule="exact"/>
              <w:rPr>
                <w:rFonts w:ascii="Arial" w:cs="Arial" w:eastAsia="Arial" w:hAnsi="Arial"/>
                <w:sz w:val="18"/>
                <w:szCs w:val="18"/>
                <w:color w:val="0000EE"/>
              </w:rPr>
            </w:pPr>
            <w:hyperlink r:id="rId172">
              <w:r>
                <w:rPr>
                  <w:rFonts w:ascii="Arial" w:cs="Arial" w:eastAsia="Arial" w:hAnsi="Arial"/>
                  <w:sz w:val="18"/>
                  <w:szCs w:val="18"/>
                  <w:color w:val="0000EE"/>
                </w:rPr>
                <w:t>Form of Restricted Stock Grant Agreement between Burlington Coat Factory</w:t>
              </w:r>
            </w:hyperlink>
          </w:p>
        </w:tc>
        <w:tc>
          <w:tcPr>
            <w:tcW w:w="900" w:type="dxa"/>
            <w:vAlign w:val="bottom"/>
            <w:tcBorders>
              <w:right w:val="single" w:sz="8" w:color="auto"/>
            </w:tcBorders>
          </w:tcPr>
          <w:p>
            <w:pPr>
              <w:spacing w:after="0" w:line="170" w:lineRule="exact"/>
              <w:rPr>
                <w:sz w:val="20"/>
                <w:szCs w:val="20"/>
                <w:color w:val="auto"/>
              </w:rPr>
            </w:pPr>
            <w:r>
              <w:rPr>
                <w:rFonts w:ascii="Arial" w:cs="Arial" w:eastAsia="Arial" w:hAnsi="Arial"/>
                <w:sz w:val="18"/>
                <w:szCs w:val="18"/>
                <w:color w:val="auto"/>
              </w:rPr>
              <w:t>Current</w:t>
            </w:r>
          </w:p>
        </w:tc>
        <w:tc>
          <w:tcPr>
            <w:tcW w:w="780" w:type="dxa"/>
            <w:vAlign w:val="bottom"/>
            <w:tcBorders>
              <w:right w:val="single" w:sz="8" w:color="auto"/>
            </w:tcBorders>
          </w:tcPr>
          <w:p>
            <w:pPr>
              <w:spacing w:after="0" w:line="170" w:lineRule="exact"/>
              <w:rPr>
                <w:sz w:val="20"/>
                <w:szCs w:val="20"/>
                <w:color w:val="auto"/>
              </w:rPr>
            </w:pPr>
            <w:r>
              <w:rPr>
                <w:rFonts w:ascii="Arial" w:cs="Arial" w:eastAsia="Arial" w:hAnsi="Arial"/>
                <w:sz w:val="18"/>
                <w:szCs w:val="18"/>
                <w:color w:val="auto"/>
              </w:rPr>
              <w:t>April 30,</w:t>
            </w:r>
          </w:p>
        </w:tc>
      </w:tr>
      <w:tr>
        <w:trPr>
          <w:trHeight w:val="20"/>
        </w:trPr>
        <w:tc>
          <w:tcPr>
            <w:tcW w:w="680" w:type="dxa"/>
            <w:vAlign w:val="bottom"/>
            <w:tcBorders>
              <w:left w:val="single" w:sz="8" w:color="auto"/>
              <w:right w:val="single" w:sz="8" w:color="auto"/>
            </w:tcBorders>
          </w:tcPr>
          <w:p>
            <w:pPr>
              <w:spacing w:after="0" w:line="20" w:lineRule="exact"/>
              <w:rPr>
                <w:sz w:val="1"/>
                <w:szCs w:val="1"/>
                <w:color w:val="auto"/>
              </w:rPr>
            </w:pPr>
          </w:p>
        </w:tc>
        <w:tc>
          <w:tcPr>
            <w:tcW w:w="5540" w:type="dxa"/>
            <w:vAlign w:val="bottom"/>
            <w:gridSpan w:val="6"/>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right w:val="single" w:sz="8" w:color="auto"/>
            </w:tcBorders>
            <w:gridSpan w:val="14"/>
          </w:tcPr>
          <w:p>
            <w:pPr>
              <w:spacing w:after="0" w:line="20" w:lineRule="exact"/>
              <w:rPr>
                <w:sz w:val="1"/>
                <w:szCs w:val="1"/>
                <w:color w:val="auto"/>
              </w:rPr>
            </w:pPr>
          </w:p>
        </w:tc>
        <w:tc>
          <w:tcPr>
            <w:tcW w:w="900" w:type="dxa"/>
            <w:vAlign w:val="bottom"/>
            <w:tcBorders>
              <w:right w:val="single" w:sz="8" w:color="auto"/>
            </w:tcBorders>
          </w:tcPr>
          <w:p>
            <w:pPr>
              <w:spacing w:after="0" w:line="20" w:lineRule="exact"/>
              <w:rPr>
                <w:sz w:val="1"/>
                <w:szCs w:val="1"/>
                <w:color w:val="auto"/>
              </w:rPr>
            </w:pPr>
          </w:p>
        </w:tc>
        <w:tc>
          <w:tcPr>
            <w:tcW w:w="780" w:type="dxa"/>
            <w:vAlign w:val="bottom"/>
            <w:tcBorders>
              <w:right w:val="single" w:sz="8" w:color="auto"/>
            </w:tcBorders>
          </w:tcPr>
          <w:p>
            <w:pPr>
              <w:spacing w:after="0" w:line="20" w:lineRule="exact"/>
              <w:rPr>
                <w:sz w:val="1"/>
                <w:szCs w:val="1"/>
                <w:color w:val="auto"/>
              </w:rPr>
            </w:pPr>
          </w:p>
        </w:tc>
      </w:tr>
      <w:tr>
        <w:trPr>
          <w:trHeight w:val="196"/>
        </w:trPr>
        <w:tc>
          <w:tcPr>
            <w:tcW w:w="680" w:type="dxa"/>
            <w:vAlign w:val="bottom"/>
            <w:tcBorders>
              <w:left w:val="single" w:sz="8" w:color="auto"/>
              <w:right w:val="single" w:sz="8" w:color="auto"/>
            </w:tcBorders>
          </w:tcPr>
          <w:p>
            <w:pPr>
              <w:spacing w:after="0"/>
              <w:rPr>
                <w:sz w:val="17"/>
                <w:szCs w:val="17"/>
                <w:color w:val="auto"/>
              </w:rPr>
            </w:pPr>
          </w:p>
        </w:tc>
        <w:tc>
          <w:tcPr>
            <w:tcW w:w="602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r:id="rId172">
              <w:r>
                <w:rPr>
                  <w:rFonts w:ascii="Arial" w:cs="Arial" w:eastAsia="Arial" w:hAnsi="Arial"/>
                  <w:sz w:val="18"/>
                  <w:szCs w:val="18"/>
                  <w:color w:val="0000EE"/>
                  <w:w w:val="90"/>
                </w:rPr>
                <w:t>Holdings, Inc. and Employees with Employment Agreements (for grants made after</w:t>
              </w:r>
            </w:hyperlink>
          </w:p>
        </w:tc>
        <w:tc>
          <w:tcPr>
            <w:tcW w:w="240" w:type="dxa"/>
            <w:vAlign w:val="bottom"/>
            <w:tcBorders>
              <w:right w:val="single" w:sz="8" w:color="auto"/>
            </w:tcBorders>
            <w:gridSpan w:val="4"/>
          </w:tcPr>
          <w:p>
            <w:pPr>
              <w:spacing w:after="0"/>
              <w:rPr>
                <w:sz w:val="17"/>
                <w:szCs w:val="17"/>
                <w:color w:val="auto"/>
              </w:rPr>
            </w:pPr>
          </w:p>
        </w:tc>
        <w:tc>
          <w:tcPr>
            <w:tcW w:w="9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Report on</w:t>
            </w:r>
          </w:p>
        </w:tc>
        <w:tc>
          <w:tcPr>
            <w:tcW w:w="78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2009</w:t>
            </w:r>
          </w:p>
        </w:tc>
      </w:tr>
      <w:tr>
        <w:trPr>
          <w:trHeight w:val="196"/>
        </w:trPr>
        <w:tc>
          <w:tcPr>
            <w:tcW w:w="680" w:type="dxa"/>
            <w:vAlign w:val="bottom"/>
            <w:tcBorders>
              <w:left w:val="single" w:sz="8" w:color="auto"/>
              <w:right w:val="single" w:sz="8" w:color="auto"/>
            </w:tcBorders>
          </w:tcPr>
          <w:p>
            <w:pPr>
              <w:spacing w:after="0"/>
              <w:rPr>
                <w:sz w:val="17"/>
                <w:szCs w:val="17"/>
                <w:color w:val="auto"/>
              </w:rPr>
            </w:pPr>
          </w:p>
        </w:tc>
        <w:tc>
          <w:tcPr>
            <w:tcW w:w="6260" w:type="dxa"/>
            <w:vAlign w:val="bottom"/>
            <w:tcBorders>
              <w:right w:val="single" w:sz="8" w:color="auto"/>
            </w:tcBorders>
            <w:gridSpan w:val="21"/>
          </w:tcPr>
          <w:p>
            <w:pPr>
              <w:spacing w:after="0" w:line="196" w:lineRule="exact"/>
              <w:rPr>
                <w:rFonts w:ascii="Arial" w:cs="Arial" w:eastAsia="Arial" w:hAnsi="Arial"/>
                <w:sz w:val="18"/>
                <w:szCs w:val="18"/>
                <w:color w:val="0000EE"/>
              </w:rPr>
            </w:pPr>
            <w:hyperlink r:id="rId172">
              <w:r>
                <w:rPr>
                  <w:rFonts w:ascii="Arial" w:cs="Arial" w:eastAsia="Arial" w:hAnsi="Arial"/>
                  <w:sz w:val="18"/>
                  <w:szCs w:val="18"/>
                  <w:color w:val="0000EE"/>
                </w:rPr>
                <w:t>March 2009 and prior to 2014) pursuant to 2006 Management Incentive Plan.</w:t>
              </w:r>
            </w:hyperlink>
          </w:p>
        </w:tc>
        <w:tc>
          <w:tcPr>
            <w:tcW w:w="9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Form 8-K</w:t>
            </w:r>
          </w:p>
        </w:tc>
        <w:tc>
          <w:tcPr>
            <w:tcW w:w="780" w:type="dxa"/>
            <w:vAlign w:val="bottom"/>
            <w:tcBorders>
              <w:right w:val="single" w:sz="8" w:color="auto"/>
            </w:tcBorders>
          </w:tcPr>
          <w:p>
            <w:pPr>
              <w:spacing w:after="0"/>
              <w:rPr>
                <w:sz w:val="17"/>
                <w:szCs w:val="17"/>
                <w:color w:val="auto"/>
              </w:rPr>
            </w:pPr>
          </w:p>
        </w:tc>
      </w:tr>
      <w:tr>
        <w:trPr>
          <w:trHeight w:val="222"/>
        </w:trPr>
        <w:tc>
          <w:tcPr>
            <w:tcW w:w="680" w:type="dxa"/>
            <w:vAlign w:val="bottom"/>
            <w:tcBorders>
              <w:left w:val="single" w:sz="8" w:color="auto"/>
              <w:right w:val="single" w:sz="8" w:color="auto"/>
            </w:tcBorders>
          </w:tcPr>
          <w:p>
            <w:pPr>
              <w:spacing w:after="0"/>
              <w:rPr>
                <w:sz w:val="19"/>
                <w:szCs w:val="19"/>
                <w:color w:val="auto"/>
              </w:rPr>
            </w:pPr>
          </w:p>
        </w:tc>
        <w:tc>
          <w:tcPr>
            <w:tcW w:w="2460" w:type="dxa"/>
            <w:vAlign w:val="bottom"/>
            <w:tcBorders>
              <w:top w:val="single" w:sz="8" w:color="0000EE"/>
            </w:tcBorders>
          </w:tcPr>
          <w:p>
            <w:pPr>
              <w:spacing w:after="0"/>
              <w:rPr>
                <w:sz w:val="19"/>
                <w:szCs w:val="19"/>
                <w:color w:val="auto"/>
              </w:rPr>
            </w:pPr>
          </w:p>
        </w:tc>
        <w:tc>
          <w:tcPr>
            <w:tcW w:w="84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380" w:type="dxa"/>
            <w:vAlign w:val="bottom"/>
            <w:tcBorders>
              <w:top w:val="single" w:sz="8" w:color="0000EE"/>
            </w:tcBorders>
          </w:tcPr>
          <w:p>
            <w:pPr>
              <w:spacing w:after="0"/>
              <w:rPr>
                <w:sz w:val="19"/>
                <w:szCs w:val="19"/>
                <w:color w:val="auto"/>
              </w:rPr>
            </w:pPr>
          </w:p>
        </w:tc>
        <w:tc>
          <w:tcPr>
            <w:tcW w:w="148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(File No.</w:t>
            </w:r>
          </w:p>
        </w:tc>
        <w:tc>
          <w:tcPr>
            <w:tcW w:w="780" w:type="dxa"/>
            <w:vAlign w:val="bottom"/>
            <w:tcBorders>
              <w:right w:val="single" w:sz="8" w:color="auto"/>
            </w:tcBorders>
          </w:tcPr>
          <w:p>
            <w:pPr>
              <w:spacing w:after="0"/>
              <w:rPr>
                <w:sz w:val="19"/>
                <w:szCs w:val="19"/>
                <w:color w:val="auto"/>
              </w:rPr>
            </w:pPr>
          </w:p>
        </w:tc>
      </w:tr>
      <w:tr>
        <w:trPr>
          <w:trHeight w:val="216"/>
        </w:trPr>
        <w:tc>
          <w:tcPr>
            <w:tcW w:w="680" w:type="dxa"/>
            <w:vAlign w:val="bottom"/>
            <w:tcBorders>
              <w:left w:val="single" w:sz="8" w:color="auto"/>
              <w:right w:val="single" w:sz="8" w:color="auto"/>
            </w:tcBorders>
          </w:tcPr>
          <w:p>
            <w:pPr>
              <w:spacing w:after="0"/>
              <w:rPr>
                <w:sz w:val="18"/>
                <w:szCs w:val="18"/>
                <w:color w:val="auto"/>
              </w:rPr>
            </w:pPr>
          </w:p>
        </w:tc>
        <w:tc>
          <w:tcPr>
            <w:tcW w:w="2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333-</w:t>
            </w:r>
          </w:p>
        </w:tc>
        <w:tc>
          <w:tcPr>
            <w:tcW w:w="780" w:type="dxa"/>
            <w:vAlign w:val="bottom"/>
            <w:tcBorders>
              <w:right w:val="single" w:sz="8" w:color="auto"/>
            </w:tcBorders>
          </w:tcPr>
          <w:p>
            <w:pPr>
              <w:spacing w:after="0"/>
              <w:rPr>
                <w:sz w:val="18"/>
                <w:szCs w:val="18"/>
                <w:color w:val="auto"/>
              </w:rPr>
            </w:pPr>
          </w:p>
        </w:tc>
      </w:tr>
      <w:tr>
        <w:trPr>
          <w:trHeight w:val="216"/>
        </w:trPr>
        <w:tc>
          <w:tcPr>
            <w:tcW w:w="680" w:type="dxa"/>
            <w:vAlign w:val="bottom"/>
            <w:tcBorders>
              <w:left w:val="single" w:sz="8" w:color="auto"/>
              <w:right w:val="single" w:sz="8" w:color="auto"/>
            </w:tcBorders>
          </w:tcPr>
          <w:p>
            <w:pPr>
              <w:spacing w:after="0"/>
              <w:rPr>
                <w:sz w:val="18"/>
                <w:szCs w:val="18"/>
                <w:color w:val="auto"/>
              </w:rPr>
            </w:pPr>
          </w:p>
        </w:tc>
        <w:tc>
          <w:tcPr>
            <w:tcW w:w="2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137916-</w:t>
            </w:r>
          </w:p>
        </w:tc>
        <w:tc>
          <w:tcPr>
            <w:tcW w:w="780" w:type="dxa"/>
            <w:vAlign w:val="bottom"/>
            <w:tcBorders>
              <w:right w:val="single" w:sz="8" w:color="auto"/>
            </w:tcBorders>
          </w:tcPr>
          <w:p>
            <w:pPr>
              <w:spacing w:after="0"/>
              <w:rPr>
                <w:sz w:val="18"/>
                <w:szCs w:val="18"/>
                <w:color w:val="auto"/>
              </w:rPr>
            </w:pPr>
          </w:p>
        </w:tc>
      </w:tr>
      <w:tr>
        <w:trPr>
          <w:trHeight w:val="230"/>
        </w:trPr>
        <w:tc>
          <w:tcPr>
            <w:tcW w:w="680" w:type="dxa"/>
            <w:vAlign w:val="bottom"/>
            <w:tcBorders>
              <w:left w:val="single" w:sz="8" w:color="auto"/>
              <w:bottom w:val="single" w:sz="8" w:color="auto"/>
              <w:right w:val="single" w:sz="8" w:color="auto"/>
            </w:tcBorders>
          </w:tcPr>
          <w:p>
            <w:pPr>
              <w:spacing w:after="0"/>
              <w:rPr>
                <w:sz w:val="20"/>
                <w:szCs w:val="20"/>
                <w:color w:val="auto"/>
              </w:rPr>
            </w:pPr>
          </w:p>
        </w:tc>
        <w:tc>
          <w:tcPr>
            <w:tcW w:w="24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110)</w:t>
            </w:r>
          </w:p>
        </w:tc>
        <w:tc>
          <w:tcPr>
            <w:tcW w:w="780" w:type="dxa"/>
            <w:vAlign w:val="bottom"/>
            <w:tcBorders>
              <w:bottom w:val="single" w:sz="8" w:color="auto"/>
              <w:right w:val="single" w:sz="8" w:color="auto"/>
            </w:tcBorders>
          </w:tcPr>
          <w:p>
            <w:pPr>
              <w:spacing w:after="0"/>
              <w:rPr>
                <w:sz w:val="20"/>
                <w:szCs w:val="20"/>
                <w:color w:val="auto"/>
              </w:rPr>
            </w:pPr>
          </w:p>
        </w:tc>
      </w:tr>
      <w:tr>
        <w:trPr>
          <w:trHeight w:val="158"/>
        </w:trPr>
        <w:tc>
          <w:tcPr>
            <w:tcW w:w="680" w:type="dxa"/>
            <w:vAlign w:val="bottom"/>
            <w:tcBorders>
              <w:left w:val="single" w:sz="8" w:color="auto"/>
              <w:right w:val="single" w:sz="8" w:color="auto"/>
            </w:tcBorders>
          </w:tcPr>
          <w:p>
            <w:pPr>
              <w:spacing w:after="0"/>
              <w:rPr>
                <w:sz w:val="13"/>
                <w:szCs w:val="13"/>
                <w:color w:val="auto"/>
              </w:rPr>
            </w:pPr>
          </w:p>
        </w:tc>
        <w:tc>
          <w:tcPr>
            <w:tcW w:w="24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r>
    </w:tbl>
    <w:p>
      <w:pPr>
        <w:sectPr>
          <w:pgSz w:w="11900" w:h="16900" w:orient="portrait"/>
          <w:cols w:equalWidth="0" w:num="1">
            <w:col w:w="9019"/>
          </w:cols>
          <w:pgMar w:left="1440" w:top="336" w:right="1440" w:bottom="0" w:gutter="0" w:footer="0" w:header="0"/>
        </w:sectPr>
      </w:pPr>
    </w:p>
    <w:bookmarkStart w:id="95" w:name="page96"/>
    <w:bookmarkEnd w:id="9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color w:val="auto"/>
                <w:w w:val="82"/>
              </w:rPr>
              <w:t>10.23+</w:t>
            </w:r>
          </w:p>
        </w:tc>
        <w:tc>
          <w:tcPr>
            <w:tcW w:w="6260" w:type="dxa"/>
            <w:vAlign w:val="bottom"/>
            <w:tcBorders>
              <w:right w:val="single" w:sz="8" w:color="auto"/>
            </w:tcBorders>
            <w:gridSpan w:val="4"/>
          </w:tcPr>
          <w:p>
            <w:pPr>
              <w:spacing w:after="0"/>
              <w:rPr>
                <w:rFonts w:ascii="Arial" w:cs="Arial" w:eastAsia="Arial" w:hAnsi="Arial"/>
                <w:sz w:val="18"/>
                <w:szCs w:val="18"/>
                <w:color w:val="0000EE"/>
              </w:rPr>
            </w:pPr>
            <w:hyperlink r:id="rId173">
              <w:r>
                <w:rPr>
                  <w:rFonts w:ascii="Arial" w:cs="Arial" w:eastAsia="Arial" w:hAnsi="Arial"/>
                  <w:sz w:val="18"/>
                  <w:szCs w:val="18"/>
                  <w:color w:val="0000EE"/>
                </w:rPr>
                <w:t>Form of Restricted Stock Grant Agreement between Burlington Coat Factory</w:t>
              </w:r>
            </w:hyperlink>
          </w:p>
        </w:tc>
        <w:tc>
          <w:tcPr>
            <w:tcW w:w="9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Current</w:t>
            </w:r>
          </w:p>
        </w:tc>
        <w:tc>
          <w:tcPr>
            <w:tcW w:w="7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April 30,</w:t>
            </w:r>
          </w:p>
        </w:tc>
        <w:tc>
          <w:tcPr>
            <w:tcW w:w="1400" w:type="dxa"/>
            <w:vAlign w:val="bottom"/>
          </w:tcPr>
          <w:p>
            <w:pPr>
              <w:spacing w:after="0"/>
              <w:rPr>
                <w:sz w:val="17"/>
                <w:szCs w:val="17"/>
                <w:color w:val="auto"/>
              </w:rPr>
            </w:pPr>
          </w:p>
        </w:tc>
      </w:tr>
      <w:tr>
        <w:trPr>
          <w:trHeight w:val="20"/>
        </w:trPr>
        <w:tc>
          <w:tcPr>
            <w:tcW w:w="1440" w:type="dxa"/>
            <w:vAlign w:val="bottom"/>
            <w:tcBorders>
              <w:right w:val="single" w:sz="8" w:color="auto"/>
            </w:tcBorders>
          </w:tcPr>
          <w:p>
            <w:pPr>
              <w:spacing w:after="0" w:line="20" w:lineRule="exact"/>
              <w:rPr>
                <w:sz w:val="1"/>
                <w:szCs w:val="1"/>
                <w:color w:val="auto"/>
              </w:rPr>
            </w:pPr>
          </w:p>
        </w:tc>
        <w:tc>
          <w:tcPr>
            <w:tcW w:w="660" w:type="dxa"/>
            <w:vAlign w:val="bottom"/>
            <w:tcBorders>
              <w:right w:val="single" w:sz="8" w:color="auto"/>
            </w:tcBorders>
          </w:tcPr>
          <w:p>
            <w:pPr>
              <w:spacing w:after="0" w:line="20" w:lineRule="exact"/>
              <w:rPr>
                <w:sz w:val="1"/>
                <w:szCs w:val="1"/>
                <w:color w:val="auto"/>
              </w:rPr>
            </w:pPr>
          </w:p>
        </w:tc>
        <w:tc>
          <w:tcPr>
            <w:tcW w:w="554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900" w:type="dxa"/>
            <w:vAlign w:val="bottom"/>
            <w:tcBorders>
              <w:right w:val="single" w:sz="8" w:color="auto"/>
            </w:tcBorders>
          </w:tcPr>
          <w:p>
            <w:pPr>
              <w:spacing w:after="0" w:line="20" w:lineRule="exact"/>
              <w:rPr>
                <w:sz w:val="1"/>
                <w:szCs w:val="1"/>
                <w:color w:val="auto"/>
              </w:rPr>
            </w:pPr>
          </w:p>
        </w:tc>
        <w:tc>
          <w:tcPr>
            <w:tcW w:w="780" w:type="dxa"/>
            <w:vAlign w:val="bottom"/>
            <w:tcBorders>
              <w:right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96"/>
        </w:trPr>
        <w:tc>
          <w:tcPr>
            <w:tcW w:w="14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588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r:id="rId173">
              <w:r>
                <w:rPr>
                  <w:rFonts w:ascii="Arial" w:cs="Arial" w:eastAsia="Arial" w:hAnsi="Arial"/>
                  <w:sz w:val="18"/>
                  <w:szCs w:val="18"/>
                  <w:color w:val="0000EE"/>
                  <w:w w:val="90"/>
                </w:rPr>
                <w:t>Holdings, Inc. and Employees without Employment Agreements (for grants made</w:t>
              </w:r>
            </w:hyperlink>
          </w:p>
        </w:tc>
        <w:tc>
          <w:tcPr>
            <w:tcW w:w="380" w:type="dxa"/>
            <w:vAlign w:val="bottom"/>
            <w:tcBorders>
              <w:right w:val="single" w:sz="8" w:color="auto"/>
            </w:tcBorders>
            <w:gridSpan w:val="2"/>
          </w:tcPr>
          <w:p>
            <w:pPr>
              <w:spacing w:after="0"/>
              <w:rPr>
                <w:sz w:val="17"/>
                <w:szCs w:val="17"/>
                <w:color w:val="auto"/>
              </w:rPr>
            </w:pPr>
          </w:p>
        </w:tc>
        <w:tc>
          <w:tcPr>
            <w:tcW w:w="9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Report on</w:t>
            </w:r>
          </w:p>
        </w:tc>
        <w:tc>
          <w:tcPr>
            <w:tcW w:w="78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2009</w:t>
            </w:r>
          </w:p>
        </w:tc>
        <w:tc>
          <w:tcPr>
            <w:tcW w:w="1400" w:type="dxa"/>
            <w:vAlign w:val="bottom"/>
          </w:tcPr>
          <w:p>
            <w:pPr>
              <w:spacing w:after="0"/>
              <w:rPr>
                <w:sz w:val="17"/>
                <w:szCs w:val="17"/>
                <w:color w:val="auto"/>
              </w:rPr>
            </w:pPr>
          </w:p>
        </w:tc>
      </w:tr>
      <w:tr>
        <w:trPr>
          <w:trHeight w:val="196"/>
        </w:trPr>
        <w:tc>
          <w:tcPr>
            <w:tcW w:w="14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260" w:type="dxa"/>
            <w:vAlign w:val="bottom"/>
            <w:tcBorders>
              <w:right w:val="single" w:sz="8" w:color="auto"/>
            </w:tcBorders>
            <w:gridSpan w:val="4"/>
          </w:tcPr>
          <w:p>
            <w:pPr>
              <w:spacing w:after="0" w:line="196" w:lineRule="exact"/>
              <w:rPr>
                <w:rFonts w:ascii="Arial" w:cs="Arial" w:eastAsia="Arial" w:hAnsi="Arial"/>
                <w:sz w:val="18"/>
                <w:szCs w:val="18"/>
                <w:color w:val="0000EE"/>
                <w:w w:val="94"/>
              </w:rPr>
            </w:pPr>
            <w:hyperlink r:id="rId173">
              <w:r>
                <w:rPr>
                  <w:rFonts w:ascii="Arial" w:cs="Arial" w:eastAsia="Arial" w:hAnsi="Arial"/>
                  <w:sz w:val="18"/>
                  <w:szCs w:val="18"/>
                  <w:color w:val="0000EE"/>
                  <w:w w:val="94"/>
                </w:rPr>
                <w:t>after March 2009 and prior to 2014) pursuant to 2006 Management Incentive Plan.</w:t>
              </w:r>
            </w:hyperlink>
          </w:p>
        </w:tc>
        <w:tc>
          <w:tcPr>
            <w:tcW w:w="9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Form 8-K</w:t>
            </w:r>
          </w:p>
        </w:tc>
        <w:tc>
          <w:tcPr>
            <w:tcW w:w="780" w:type="dxa"/>
            <w:vAlign w:val="bottom"/>
            <w:tcBorders>
              <w:right w:val="single" w:sz="8" w:color="auto"/>
            </w:tcBorders>
          </w:tcPr>
          <w:p>
            <w:pPr>
              <w:spacing w:after="0"/>
              <w:rPr>
                <w:sz w:val="17"/>
                <w:szCs w:val="17"/>
                <w:color w:val="auto"/>
              </w:rPr>
            </w:pPr>
          </w:p>
        </w:tc>
        <w:tc>
          <w:tcPr>
            <w:tcW w:w="1400" w:type="dxa"/>
            <w:vAlign w:val="bottom"/>
          </w:tcPr>
          <w:p>
            <w:pPr>
              <w:spacing w:after="0"/>
              <w:rPr>
                <w:sz w:val="17"/>
                <w:szCs w:val="17"/>
                <w:color w:val="auto"/>
              </w:rPr>
            </w:pPr>
          </w:p>
        </w:tc>
      </w:tr>
      <w:tr>
        <w:trPr>
          <w:trHeight w:val="222"/>
        </w:trPr>
        <w:tc>
          <w:tcPr>
            <w:tcW w:w="1440" w:type="dxa"/>
            <w:vAlign w:val="bottom"/>
            <w:tcBorders>
              <w:right w:val="single" w:sz="8" w:color="auto"/>
            </w:tcBorders>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5540" w:type="dxa"/>
            <w:vAlign w:val="bottom"/>
            <w:tcBorders>
              <w:top w:val="single" w:sz="8" w:color="0000EE"/>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32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(File No.</w:t>
            </w:r>
          </w:p>
        </w:tc>
        <w:tc>
          <w:tcPr>
            <w:tcW w:w="780" w:type="dxa"/>
            <w:vAlign w:val="bottom"/>
            <w:tcBorders>
              <w:right w:val="single" w:sz="8" w:color="auto"/>
            </w:tcBorders>
          </w:tcPr>
          <w:p>
            <w:pPr>
              <w:spacing w:after="0"/>
              <w:rPr>
                <w:sz w:val="19"/>
                <w:szCs w:val="19"/>
                <w:color w:val="auto"/>
              </w:rPr>
            </w:pPr>
          </w:p>
        </w:tc>
        <w:tc>
          <w:tcPr>
            <w:tcW w:w="1400" w:type="dxa"/>
            <w:vAlign w:val="bottom"/>
          </w:tcPr>
          <w:p>
            <w:pPr>
              <w:spacing w:after="0"/>
              <w:rPr>
                <w:sz w:val="19"/>
                <w:szCs w:val="19"/>
                <w:color w:val="auto"/>
              </w:rPr>
            </w:pPr>
          </w:p>
        </w:tc>
      </w:tr>
      <w:tr>
        <w:trPr>
          <w:trHeight w:val="216"/>
        </w:trPr>
        <w:tc>
          <w:tcPr>
            <w:tcW w:w="144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5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333-</w:t>
            </w:r>
          </w:p>
        </w:tc>
        <w:tc>
          <w:tcPr>
            <w:tcW w:w="780" w:type="dxa"/>
            <w:vAlign w:val="bottom"/>
            <w:tcBorders>
              <w:right w:val="single" w:sz="8" w:color="auto"/>
            </w:tcBorders>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144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5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137916-</w:t>
            </w:r>
          </w:p>
        </w:tc>
        <w:tc>
          <w:tcPr>
            <w:tcW w:w="780" w:type="dxa"/>
            <w:vAlign w:val="bottom"/>
            <w:tcBorders>
              <w:right w:val="single" w:sz="8" w:color="auto"/>
            </w:tcBorders>
          </w:tcPr>
          <w:p>
            <w:pPr>
              <w:spacing w:after="0"/>
              <w:rPr>
                <w:sz w:val="18"/>
                <w:szCs w:val="18"/>
                <w:color w:val="auto"/>
              </w:rPr>
            </w:pPr>
          </w:p>
        </w:tc>
        <w:tc>
          <w:tcPr>
            <w:tcW w:w="1400" w:type="dxa"/>
            <w:vAlign w:val="bottom"/>
          </w:tcPr>
          <w:p>
            <w:pPr>
              <w:spacing w:after="0"/>
              <w:rPr>
                <w:sz w:val="18"/>
                <w:szCs w:val="18"/>
                <w:color w:val="auto"/>
              </w:rPr>
            </w:pPr>
          </w:p>
        </w:tc>
      </w:tr>
      <w:tr>
        <w:trPr>
          <w:trHeight w:val="230"/>
        </w:trPr>
        <w:tc>
          <w:tcPr>
            <w:tcW w:w="1440" w:type="dxa"/>
            <w:vAlign w:val="bottom"/>
            <w:tcBorders>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55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2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110)</w:t>
            </w:r>
          </w:p>
        </w:tc>
        <w:tc>
          <w:tcPr>
            <w:tcW w:w="780" w:type="dxa"/>
            <w:vAlign w:val="bottom"/>
            <w:tcBorders>
              <w:bottom w:val="single" w:sz="8" w:color="auto"/>
              <w:right w:val="single" w:sz="8" w:color="auto"/>
            </w:tcBorders>
          </w:tcPr>
          <w:p>
            <w:pPr>
              <w:spacing w:after="0"/>
              <w:rPr>
                <w:sz w:val="20"/>
                <w:szCs w:val="20"/>
                <w:color w:val="auto"/>
              </w:rPr>
            </w:pPr>
          </w:p>
        </w:tc>
        <w:tc>
          <w:tcPr>
            <w:tcW w:w="1400" w:type="dxa"/>
            <w:vAlign w:val="bottom"/>
          </w:tcPr>
          <w:p>
            <w:pPr>
              <w:spacing w:after="0"/>
              <w:rPr>
                <w:sz w:val="20"/>
                <w:szCs w:val="20"/>
                <w:color w:val="auto"/>
              </w:rPr>
            </w:pPr>
          </w:p>
        </w:tc>
      </w:tr>
      <w:tr>
        <w:trPr>
          <w:trHeight w:val="426"/>
        </w:trPr>
        <w:tc>
          <w:tcPr>
            <w:tcW w:w="1440" w:type="dxa"/>
            <w:vAlign w:val="bottom"/>
          </w:tcPr>
          <w:p>
            <w:pPr>
              <w:spacing w:after="0"/>
              <w:rPr>
                <w:sz w:val="24"/>
                <w:szCs w:val="24"/>
                <w:color w:val="auto"/>
              </w:rPr>
            </w:pPr>
          </w:p>
        </w:tc>
        <w:tc>
          <w:tcPr>
            <w:tcW w:w="6200" w:type="dxa"/>
            <w:vAlign w:val="bottom"/>
            <w:gridSpan w:val="2"/>
          </w:tcPr>
          <w:p>
            <w:pPr>
              <w:jc w:val="right"/>
              <w:ind w:right="1750"/>
              <w:spacing w:after="0"/>
              <w:rPr>
                <w:sz w:val="20"/>
                <w:szCs w:val="20"/>
                <w:color w:val="auto"/>
              </w:rPr>
            </w:pPr>
            <w:r>
              <w:rPr>
                <w:rFonts w:ascii="Arial" w:cs="Arial" w:eastAsia="Arial" w:hAnsi="Arial"/>
                <w:sz w:val="18"/>
                <w:szCs w:val="18"/>
                <w:color w:val="auto"/>
              </w:rPr>
              <w:t>91</w:t>
            </w: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15"/>
        </w:trPr>
        <w:tc>
          <w:tcPr>
            <w:tcW w:w="14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55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08" w:right="219" w:bottom="1440" w:gutter="0" w:footer="0" w:header="0"/>
        </w:sectPr>
      </w:pPr>
    </w:p>
    <w:bookmarkStart w:id="96" w:name="page97"/>
    <w:bookmarkEnd w:id="96"/>
    <w:p>
      <w:pPr>
        <w:spacing w:after="0" w:line="62" w:lineRule="exact"/>
        <w:rPr>
          <w:sz w:val="20"/>
          <w:szCs w:val="20"/>
          <w:color w:val="auto"/>
        </w:rPr>
      </w:pPr>
    </w:p>
    <w:tbl>
      <w:tblPr>
        <w:tblLayout w:type="fixed"/>
        <w:tblInd w:w="230" w:type="dxa"/>
        <w:tblCellMar>
          <w:top w:w="0" w:type="dxa"/>
          <w:left w:w="0" w:type="dxa"/>
          <w:bottom w:w="0" w:type="dxa"/>
          <w:right w:w="0" w:type="dxa"/>
        </w:tblCellMar>
      </w:tblPr>
      <w:tr>
        <w:trPr>
          <w:trHeight w:val="211"/>
        </w:trPr>
        <w:tc>
          <w:tcPr>
            <w:tcW w:w="680" w:type="dxa"/>
            <w:vAlign w:val="bottom"/>
            <w:tcBorders>
              <w:top w:val="single" w:sz="8" w:color="auto"/>
              <w:left w:val="single" w:sz="8" w:color="auto"/>
              <w:right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0" w:type="dxa"/>
            <w:vAlign w:val="bottom"/>
            <w:tcBorders>
              <w:top w:val="single" w:sz="8" w:color="auto"/>
              <w:right w:val="single" w:sz="8" w:color="auto"/>
            </w:tcBorders>
          </w:tcPr>
          <w:p>
            <w:pPr>
              <w:spacing w:after="0"/>
              <w:rPr>
                <w:sz w:val="18"/>
                <w:szCs w:val="18"/>
                <w:color w:val="auto"/>
              </w:rPr>
            </w:pPr>
          </w:p>
        </w:tc>
        <w:tc>
          <w:tcPr>
            <w:tcW w:w="1680" w:type="dxa"/>
            <w:vAlign w:val="bottom"/>
            <w:tcBorders>
              <w:top w:val="single" w:sz="8" w:color="auto"/>
              <w:right w:val="single" w:sz="8" w:color="auto"/>
            </w:tcBorders>
            <w:gridSpan w:val="2"/>
          </w:tcPr>
          <w:p>
            <w:pPr>
              <w:jc w:val="right"/>
              <w:ind w:right="130"/>
              <w:spacing w:after="0"/>
              <w:rPr>
                <w:sz w:val="20"/>
                <w:szCs w:val="20"/>
                <w:color w:val="auto"/>
              </w:rPr>
            </w:pPr>
            <w:r>
              <w:rPr>
                <w:rFonts w:ascii="Arial" w:cs="Arial" w:eastAsia="Arial" w:hAnsi="Arial"/>
                <w:sz w:val="18"/>
                <w:szCs w:val="18"/>
                <w:b w:val="1"/>
                <w:bCs w:val="1"/>
                <w:color w:val="auto"/>
              </w:rPr>
              <w:t>Incorporated by</w:t>
            </w:r>
          </w:p>
        </w:tc>
      </w:tr>
      <w:tr>
        <w:trPr>
          <w:trHeight w:val="234"/>
        </w:trPr>
        <w:tc>
          <w:tcPr>
            <w:tcW w:w="680" w:type="dxa"/>
            <w:vAlign w:val="bottom"/>
            <w:tcBorders>
              <w:left w:val="single" w:sz="8" w:color="auto"/>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gridSpan w:val="2"/>
          </w:tcPr>
          <w:p>
            <w:pPr>
              <w:ind w:left="440"/>
              <w:spacing w:after="0"/>
              <w:rPr>
                <w:sz w:val="20"/>
                <w:szCs w:val="20"/>
                <w:color w:val="auto"/>
              </w:rPr>
            </w:pPr>
            <w:r>
              <w:rPr>
                <w:rFonts w:ascii="Arial" w:cs="Arial" w:eastAsia="Arial" w:hAnsi="Arial"/>
                <w:sz w:val="18"/>
                <w:szCs w:val="18"/>
                <w:b w:val="1"/>
                <w:bCs w:val="1"/>
                <w:color w:val="auto"/>
              </w:rPr>
              <w:t>Reference</w:t>
            </w:r>
          </w:p>
        </w:tc>
      </w:tr>
      <w:tr>
        <w:trPr>
          <w:trHeight w:val="191"/>
        </w:trPr>
        <w:tc>
          <w:tcPr>
            <w:tcW w:w="680" w:type="dxa"/>
            <w:vAlign w:val="bottom"/>
            <w:tcBorders>
              <w:left w:val="single" w:sz="8" w:color="auto"/>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2"/>
              </w:rPr>
              <w:t>Form and</w:t>
            </w:r>
          </w:p>
        </w:tc>
        <w:tc>
          <w:tcPr>
            <w:tcW w:w="780" w:type="dxa"/>
            <w:vAlign w:val="bottom"/>
            <w:tcBorders>
              <w:right w:val="single" w:sz="8" w:color="auto"/>
            </w:tcBorders>
          </w:tcPr>
          <w:p>
            <w:pPr>
              <w:spacing w:after="0"/>
              <w:rPr>
                <w:sz w:val="16"/>
                <w:szCs w:val="16"/>
                <w:color w:val="auto"/>
              </w:rPr>
            </w:pPr>
          </w:p>
        </w:tc>
      </w:tr>
      <w:tr>
        <w:trPr>
          <w:trHeight w:val="216"/>
        </w:trPr>
        <w:tc>
          <w:tcPr>
            <w:tcW w:w="6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w w:val="99"/>
              </w:rPr>
              <w:t>Exhibit</w:t>
            </w:r>
          </w:p>
        </w:tc>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SEC file</w:t>
            </w:r>
          </w:p>
        </w:tc>
        <w:tc>
          <w:tcPr>
            <w:tcW w:w="780" w:type="dxa"/>
            <w:vAlign w:val="bottom"/>
            <w:tcBorders>
              <w:right w:val="single" w:sz="8" w:color="auto"/>
            </w:tcBorders>
          </w:tcPr>
          <w:p>
            <w:pPr>
              <w:ind w:left="160"/>
              <w:spacing w:after="0"/>
              <w:rPr>
                <w:sz w:val="20"/>
                <w:szCs w:val="20"/>
                <w:color w:val="auto"/>
              </w:rPr>
            </w:pPr>
            <w:r>
              <w:rPr>
                <w:rFonts w:ascii="Arial" w:cs="Arial" w:eastAsia="Arial" w:hAnsi="Arial"/>
                <w:sz w:val="18"/>
                <w:szCs w:val="18"/>
                <w:b w:val="1"/>
                <w:bCs w:val="1"/>
                <w:color w:val="auto"/>
              </w:rPr>
              <w:t>Filing</w:t>
            </w:r>
          </w:p>
        </w:tc>
      </w:tr>
      <w:tr>
        <w:trPr>
          <w:trHeight w:val="234"/>
        </w:trPr>
        <w:tc>
          <w:tcPr>
            <w:tcW w:w="68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w w:val="94"/>
              </w:rPr>
              <w:t>Number</w:t>
            </w:r>
          </w:p>
        </w:tc>
        <w:tc>
          <w:tcPr>
            <w:tcW w:w="3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100" w:type="dxa"/>
            <w:vAlign w:val="bottom"/>
            <w:tcBorders>
              <w:bottom w:val="single" w:sz="8" w:color="auto"/>
              <w:right w:val="single" w:sz="8" w:color="auto"/>
            </w:tcBorders>
            <w:gridSpan w:val="19"/>
          </w:tcPr>
          <w:p>
            <w:pPr>
              <w:ind w:left="200"/>
              <w:spacing w:after="0"/>
              <w:rPr>
                <w:sz w:val="20"/>
                <w:szCs w:val="20"/>
                <w:color w:val="auto"/>
              </w:rPr>
            </w:pPr>
            <w:r>
              <w:rPr>
                <w:rFonts w:ascii="Arial" w:cs="Arial" w:eastAsia="Arial" w:hAnsi="Arial"/>
                <w:sz w:val="18"/>
                <w:szCs w:val="18"/>
                <w:b w:val="1"/>
                <w:bCs w:val="1"/>
                <w:color w:val="auto"/>
              </w:rPr>
              <w:t>Exhibit Description</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No.</w:t>
            </w:r>
          </w:p>
        </w:tc>
        <w:tc>
          <w:tcPr>
            <w:tcW w:w="780" w:type="dxa"/>
            <w:vAlign w:val="bottom"/>
            <w:tcBorders>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Date</w:t>
            </w:r>
          </w:p>
        </w:tc>
      </w:tr>
      <w:tr>
        <w:trPr>
          <w:trHeight w:val="169"/>
        </w:trPr>
        <w:tc>
          <w:tcPr>
            <w:tcW w:w="680" w:type="dxa"/>
            <w:vAlign w:val="bottom"/>
            <w:tcBorders>
              <w:left w:val="single" w:sz="8" w:color="auto"/>
              <w:right w:val="single" w:sz="8" w:color="auto"/>
            </w:tcBorders>
          </w:tcPr>
          <w:p>
            <w:pPr>
              <w:spacing w:after="0" w:line="170" w:lineRule="exact"/>
              <w:rPr>
                <w:sz w:val="20"/>
                <w:szCs w:val="20"/>
                <w:color w:val="auto"/>
              </w:rPr>
            </w:pPr>
            <w:r>
              <w:rPr>
                <w:rFonts w:ascii="Arial" w:cs="Arial" w:eastAsia="Arial" w:hAnsi="Arial"/>
                <w:sz w:val="18"/>
                <w:szCs w:val="18"/>
                <w:color w:val="auto"/>
              </w:rPr>
              <w:t>10.24+</w:t>
            </w:r>
          </w:p>
        </w:tc>
        <w:tc>
          <w:tcPr>
            <w:tcW w:w="6260" w:type="dxa"/>
            <w:vAlign w:val="bottom"/>
            <w:tcBorders>
              <w:right w:val="single" w:sz="8" w:color="auto"/>
            </w:tcBorders>
            <w:gridSpan w:val="24"/>
          </w:tcPr>
          <w:p>
            <w:pPr>
              <w:spacing w:after="0" w:line="170" w:lineRule="exact"/>
              <w:rPr>
                <w:rFonts w:ascii="Arial" w:cs="Arial" w:eastAsia="Arial" w:hAnsi="Arial"/>
                <w:sz w:val="18"/>
                <w:szCs w:val="18"/>
                <w:color w:val="0000EE"/>
                <w:w w:val="93"/>
              </w:rPr>
            </w:pPr>
            <w:hyperlink r:id="rId176">
              <w:r>
                <w:rPr>
                  <w:rFonts w:ascii="Arial" w:cs="Arial" w:eastAsia="Arial" w:hAnsi="Arial"/>
                  <w:sz w:val="18"/>
                  <w:szCs w:val="18"/>
                  <w:color w:val="0000EE"/>
                  <w:w w:val="93"/>
                </w:rPr>
                <w:t>Burlington Coat Factory Holdings, Inc. 2006 Management Incentive Plan (Amended</w:t>
              </w:r>
            </w:hyperlink>
          </w:p>
        </w:tc>
        <w:tc>
          <w:tcPr>
            <w:tcW w:w="900" w:type="dxa"/>
            <w:vAlign w:val="bottom"/>
            <w:tcBorders>
              <w:right w:val="single" w:sz="8" w:color="auto"/>
            </w:tcBorders>
          </w:tcPr>
          <w:p>
            <w:pPr>
              <w:spacing w:after="0" w:line="170" w:lineRule="exact"/>
              <w:rPr>
                <w:sz w:val="20"/>
                <w:szCs w:val="20"/>
                <w:color w:val="auto"/>
              </w:rPr>
            </w:pPr>
            <w:r>
              <w:rPr>
                <w:rFonts w:ascii="Arial" w:cs="Arial" w:eastAsia="Arial" w:hAnsi="Arial"/>
                <w:sz w:val="18"/>
                <w:szCs w:val="18"/>
                <w:color w:val="auto"/>
                <w:w w:val="89"/>
              </w:rPr>
              <w:t>Registration</w:t>
            </w:r>
          </w:p>
        </w:tc>
        <w:tc>
          <w:tcPr>
            <w:tcW w:w="780" w:type="dxa"/>
            <w:vAlign w:val="bottom"/>
            <w:tcBorders>
              <w:right w:val="single" w:sz="8" w:color="auto"/>
            </w:tcBorders>
          </w:tcPr>
          <w:p>
            <w:pPr>
              <w:spacing w:after="0" w:line="170" w:lineRule="exact"/>
              <w:rPr>
                <w:sz w:val="20"/>
                <w:szCs w:val="20"/>
                <w:color w:val="auto"/>
              </w:rPr>
            </w:pPr>
            <w:r>
              <w:rPr>
                <w:rFonts w:ascii="Arial" w:cs="Arial" w:eastAsia="Arial" w:hAnsi="Arial"/>
                <w:sz w:val="18"/>
                <w:szCs w:val="18"/>
                <w:color w:val="auto"/>
                <w:w w:val="83"/>
              </w:rPr>
              <w:t>September</w:t>
            </w:r>
          </w:p>
        </w:tc>
      </w:tr>
      <w:tr>
        <w:trPr>
          <w:trHeight w:val="196"/>
        </w:trPr>
        <w:tc>
          <w:tcPr>
            <w:tcW w:w="680" w:type="dxa"/>
            <w:vAlign w:val="bottom"/>
            <w:tcBorders>
              <w:left w:val="single" w:sz="8" w:color="auto"/>
              <w:right w:val="single" w:sz="8" w:color="auto"/>
            </w:tcBorders>
          </w:tcPr>
          <w:p>
            <w:pPr>
              <w:spacing w:after="0"/>
              <w:rPr>
                <w:sz w:val="17"/>
                <w:szCs w:val="17"/>
                <w:color w:val="auto"/>
              </w:rPr>
            </w:pPr>
          </w:p>
        </w:tc>
        <w:tc>
          <w:tcPr>
            <w:tcW w:w="608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r:id="rId176">
              <w:r>
                <w:rPr>
                  <w:rFonts w:ascii="Arial" w:cs="Arial" w:eastAsia="Arial" w:hAnsi="Arial"/>
                  <w:sz w:val="18"/>
                  <w:szCs w:val="18"/>
                  <w:color w:val="0000EE"/>
                </w:rPr>
                <w:t>and Restated June 15, 2013).</w:t>
              </w:r>
            </w:hyperlink>
          </w:p>
        </w:tc>
        <w:tc>
          <w:tcPr>
            <w:tcW w:w="180" w:type="dxa"/>
            <w:vAlign w:val="bottom"/>
            <w:tcBorders>
              <w:right w:val="single" w:sz="8" w:color="auto"/>
            </w:tcBorders>
            <w:gridSpan w:val="5"/>
          </w:tcPr>
          <w:p>
            <w:pPr>
              <w:spacing w:after="0"/>
              <w:rPr>
                <w:sz w:val="17"/>
                <w:szCs w:val="17"/>
                <w:color w:val="auto"/>
              </w:rPr>
            </w:pPr>
          </w:p>
        </w:tc>
        <w:tc>
          <w:tcPr>
            <w:tcW w:w="9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Statement</w:t>
            </w:r>
          </w:p>
        </w:tc>
        <w:tc>
          <w:tcPr>
            <w:tcW w:w="78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6, 2013</w:t>
            </w:r>
          </w:p>
        </w:tc>
      </w:tr>
      <w:tr>
        <w:trPr>
          <w:trHeight w:val="222"/>
        </w:trPr>
        <w:tc>
          <w:tcPr>
            <w:tcW w:w="680" w:type="dxa"/>
            <w:vAlign w:val="bottom"/>
            <w:tcBorders>
              <w:left w:val="single" w:sz="8" w:color="auto"/>
              <w:right w:val="single" w:sz="8" w:color="auto"/>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150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5"/>
              </w:rPr>
              <w:t>on Form S-</w:t>
            </w:r>
          </w:p>
        </w:tc>
        <w:tc>
          <w:tcPr>
            <w:tcW w:w="780" w:type="dxa"/>
            <w:vAlign w:val="bottom"/>
            <w:tcBorders>
              <w:right w:val="single" w:sz="8" w:color="auto"/>
            </w:tcBorders>
          </w:tcPr>
          <w:p>
            <w:pPr>
              <w:spacing w:after="0"/>
              <w:rPr>
                <w:sz w:val="19"/>
                <w:szCs w:val="19"/>
                <w:color w:val="auto"/>
              </w:rPr>
            </w:pPr>
          </w:p>
        </w:tc>
      </w:tr>
      <w:tr>
        <w:trPr>
          <w:trHeight w:val="216"/>
        </w:trPr>
        <w:tc>
          <w:tcPr>
            <w:tcW w:w="680" w:type="dxa"/>
            <w:vAlign w:val="bottom"/>
            <w:tcBorders>
              <w:left w:val="single" w:sz="8" w:color="auto"/>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1/A</w:t>
            </w:r>
          </w:p>
        </w:tc>
        <w:tc>
          <w:tcPr>
            <w:tcW w:w="780" w:type="dxa"/>
            <w:vAlign w:val="bottom"/>
            <w:tcBorders>
              <w:right w:val="single" w:sz="8" w:color="auto"/>
            </w:tcBorders>
          </w:tcPr>
          <w:p>
            <w:pPr>
              <w:spacing w:after="0"/>
              <w:rPr>
                <w:sz w:val="18"/>
                <w:szCs w:val="18"/>
                <w:color w:val="auto"/>
              </w:rPr>
            </w:pPr>
          </w:p>
        </w:tc>
      </w:tr>
      <w:tr>
        <w:trPr>
          <w:trHeight w:val="216"/>
        </w:trPr>
        <w:tc>
          <w:tcPr>
            <w:tcW w:w="680" w:type="dxa"/>
            <w:vAlign w:val="bottom"/>
            <w:tcBorders>
              <w:left w:val="single" w:sz="8" w:color="auto"/>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(File No.</w:t>
            </w:r>
          </w:p>
        </w:tc>
        <w:tc>
          <w:tcPr>
            <w:tcW w:w="780" w:type="dxa"/>
            <w:vAlign w:val="bottom"/>
            <w:tcBorders>
              <w:right w:val="single" w:sz="8" w:color="auto"/>
            </w:tcBorders>
          </w:tcPr>
          <w:p>
            <w:pPr>
              <w:spacing w:after="0"/>
              <w:rPr>
                <w:sz w:val="18"/>
                <w:szCs w:val="18"/>
                <w:color w:val="auto"/>
              </w:rPr>
            </w:pPr>
          </w:p>
        </w:tc>
      </w:tr>
      <w:tr>
        <w:trPr>
          <w:trHeight w:val="216"/>
        </w:trPr>
        <w:tc>
          <w:tcPr>
            <w:tcW w:w="680" w:type="dxa"/>
            <w:vAlign w:val="bottom"/>
            <w:tcBorders>
              <w:left w:val="single" w:sz="8" w:color="auto"/>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333-</w:t>
            </w:r>
          </w:p>
        </w:tc>
        <w:tc>
          <w:tcPr>
            <w:tcW w:w="780" w:type="dxa"/>
            <w:vAlign w:val="bottom"/>
            <w:tcBorders>
              <w:right w:val="single" w:sz="8" w:color="auto"/>
            </w:tcBorders>
          </w:tcPr>
          <w:p>
            <w:pPr>
              <w:spacing w:after="0"/>
              <w:rPr>
                <w:sz w:val="18"/>
                <w:szCs w:val="18"/>
                <w:color w:val="auto"/>
              </w:rPr>
            </w:pPr>
          </w:p>
        </w:tc>
      </w:tr>
      <w:tr>
        <w:trPr>
          <w:trHeight w:val="230"/>
        </w:trPr>
        <w:tc>
          <w:tcPr>
            <w:tcW w:w="680" w:type="dxa"/>
            <w:vAlign w:val="bottom"/>
            <w:tcBorders>
              <w:left w:val="single" w:sz="8" w:color="auto"/>
              <w:bottom w:val="single" w:sz="8" w:color="auto"/>
              <w:right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189632)</w:t>
            </w:r>
          </w:p>
        </w:tc>
        <w:tc>
          <w:tcPr>
            <w:tcW w:w="780" w:type="dxa"/>
            <w:vAlign w:val="bottom"/>
            <w:tcBorders>
              <w:bottom w:val="single" w:sz="8" w:color="auto"/>
              <w:right w:val="single" w:sz="8" w:color="auto"/>
            </w:tcBorders>
          </w:tcPr>
          <w:p>
            <w:pPr>
              <w:spacing w:after="0"/>
              <w:rPr>
                <w:sz w:val="20"/>
                <w:szCs w:val="20"/>
                <w:color w:val="auto"/>
              </w:rPr>
            </w:pPr>
          </w:p>
        </w:tc>
      </w:tr>
      <w:tr>
        <w:trPr>
          <w:trHeight w:val="169"/>
        </w:trPr>
        <w:tc>
          <w:tcPr>
            <w:tcW w:w="680" w:type="dxa"/>
            <w:vAlign w:val="bottom"/>
            <w:tcBorders>
              <w:left w:val="single" w:sz="8" w:color="auto"/>
              <w:right w:val="single" w:sz="8" w:color="auto"/>
            </w:tcBorders>
          </w:tcPr>
          <w:p>
            <w:pPr>
              <w:spacing w:after="0" w:line="170" w:lineRule="exact"/>
              <w:rPr>
                <w:sz w:val="20"/>
                <w:szCs w:val="20"/>
                <w:color w:val="auto"/>
              </w:rPr>
            </w:pPr>
            <w:r>
              <w:rPr>
                <w:rFonts w:ascii="Arial" w:cs="Arial" w:eastAsia="Arial" w:hAnsi="Arial"/>
                <w:sz w:val="18"/>
                <w:szCs w:val="18"/>
                <w:color w:val="auto"/>
              </w:rPr>
              <w:t>10.25+</w:t>
            </w:r>
          </w:p>
        </w:tc>
        <w:tc>
          <w:tcPr>
            <w:tcW w:w="6260" w:type="dxa"/>
            <w:vAlign w:val="bottom"/>
            <w:tcBorders>
              <w:right w:val="single" w:sz="8" w:color="auto"/>
            </w:tcBorders>
            <w:gridSpan w:val="24"/>
          </w:tcPr>
          <w:p>
            <w:pPr>
              <w:spacing w:after="0" w:line="170" w:lineRule="exact"/>
              <w:rPr>
                <w:rFonts w:ascii="Arial" w:cs="Arial" w:eastAsia="Arial" w:hAnsi="Arial"/>
                <w:sz w:val="18"/>
                <w:szCs w:val="18"/>
                <w:color w:val="0000EE"/>
              </w:rPr>
            </w:pPr>
            <w:hyperlink r:id="rId177">
              <w:r>
                <w:rPr>
                  <w:rFonts w:ascii="Arial" w:cs="Arial" w:eastAsia="Arial" w:hAnsi="Arial"/>
                  <w:sz w:val="18"/>
                  <w:szCs w:val="18"/>
                  <w:color w:val="0000EE"/>
                </w:rPr>
                <w:t>Form of Directors and Officers Indemnification Agreement.</w:t>
              </w:r>
            </w:hyperlink>
          </w:p>
        </w:tc>
        <w:tc>
          <w:tcPr>
            <w:tcW w:w="900" w:type="dxa"/>
            <w:vAlign w:val="bottom"/>
            <w:tcBorders>
              <w:right w:val="single" w:sz="8" w:color="auto"/>
            </w:tcBorders>
          </w:tcPr>
          <w:p>
            <w:pPr>
              <w:spacing w:after="0" w:line="170" w:lineRule="exact"/>
              <w:rPr>
                <w:sz w:val="20"/>
                <w:szCs w:val="20"/>
                <w:color w:val="auto"/>
              </w:rPr>
            </w:pPr>
            <w:r>
              <w:rPr>
                <w:rFonts w:ascii="Arial" w:cs="Arial" w:eastAsia="Arial" w:hAnsi="Arial"/>
                <w:sz w:val="18"/>
                <w:szCs w:val="18"/>
                <w:color w:val="auto"/>
                <w:w w:val="89"/>
              </w:rPr>
              <w:t>Registration</w:t>
            </w:r>
          </w:p>
        </w:tc>
        <w:tc>
          <w:tcPr>
            <w:tcW w:w="780" w:type="dxa"/>
            <w:vAlign w:val="bottom"/>
            <w:tcBorders>
              <w:right w:val="single" w:sz="8" w:color="auto"/>
            </w:tcBorders>
          </w:tcPr>
          <w:p>
            <w:pPr>
              <w:spacing w:after="0" w:line="170" w:lineRule="exact"/>
              <w:rPr>
                <w:sz w:val="20"/>
                <w:szCs w:val="20"/>
                <w:color w:val="auto"/>
              </w:rPr>
            </w:pPr>
            <w:r>
              <w:rPr>
                <w:rFonts w:ascii="Arial" w:cs="Arial" w:eastAsia="Arial" w:hAnsi="Arial"/>
                <w:sz w:val="18"/>
                <w:szCs w:val="18"/>
                <w:color w:val="auto"/>
                <w:w w:val="83"/>
              </w:rPr>
              <w:t>September</w:t>
            </w:r>
          </w:p>
        </w:tc>
      </w:tr>
      <w:tr>
        <w:trPr>
          <w:trHeight w:val="222"/>
        </w:trPr>
        <w:tc>
          <w:tcPr>
            <w:tcW w:w="680" w:type="dxa"/>
            <w:vAlign w:val="bottom"/>
            <w:tcBorders>
              <w:left w:val="single" w:sz="8" w:color="auto"/>
              <w:right w:val="single" w:sz="8" w:color="auto"/>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150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88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1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Statement</w:t>
            </w:r>
          </w:p>
        </w:tc>
        <w:tc>
          <w:tcPr>
            <w:tcW w:w="7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10, 2013</w:t>
            </w:r>
          </w:p>
        </w:tc>
      </w:tr>
      <w:tr>
        <w:trPr>
          <w:trHeight w:val="216"/>
        </w:trPr>
        <w:tc>
          <w:tcPr>
            <w:tcW w:w="680" w:type="dxa"/>
            <w:vAlign w:val="bottom"/>
            <w:tcBorders>
              <w:left w:val="single" w:sz="8" w:color="auto"/>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5"/>
              </w:rPr>
              <w:t>on Form S-</w:t>
            </w:r>
          </w:p>
        </w:tc>
        <w:tc>
          <w:tcPr>
            <w:tcW w:w="780" w:type="dxa"/>
            <w:vAlign w:val="bottom"/>
            <w:tcBorders>
              <w:right w:val="single" w:sz="8" w:color="auto"/>
            </w:tcBorders>
          </w:tcPr>
          <w:p>
            <w:pPr>
              <w:spacing w:after="0"/>
              <w:rPr>
                <w:sz w:val="18"/>
                <w:szCs w:val="18"/>
                <w:color w:val="auto"/>
              </w:rPr>
            </w:pPr>
          </w:p>
        </w:tc>
      </w:tr>
      <w:tr>
        <w:trPr>
          <w:trHeight w:val="216"/>
        </w:trPr>
        <w:tc>
          <w:tcPr>
            <w:tcW w:w="680" w:type="dxa"/>
            <w:vAlign w:val="bottom"/>
            <w:tcBorders>
              <w:left w:val="single" w:sz="8" w:color="auto"/>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1/A</w:t>
            </w:r>
          </w:p>
        </w:tc>
        <w:tc>
          <w:tcPr>
            <w:tcW w:w="780" w:type="dxa"/>
            <w:vAlign w:val="bottom"/>
            <w:tcBorders>
              <w:right w:val="single" w:sz="8" w:color="auto"/>
            </w:tcBorders>
          </w:tcPr>
          <w:p>
            <w:pPr>
              <w:spacing w:after="0"/>
              <w:rPr>
                <w:sz w:val="18"/>
                <w:szCs w:val="18"/>
                <w:color w:val="auto"/>
              </w:rPr>
            </w:pPr>
          </w:p>
        </w:tc>
      </w:tr>
      <w:tr>
        <w:trPr>
          <w:trHeight w:val="216"/>
        </w:trPr>
        <w:tc>
          <w:tcPr>
            <w:tcW w:w="680" w:type="dxa"/>
            <w:vAlign w:val="bottom"/>
            <w:tcBorders>
              <w:left w:val="single" w:sz="8" w:color="auto"/>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(File No.</w:t>
            </w:r>
          </w:p>
        </w:tc>
        <w:tc>
          <w:tcPr>
            <w:tcW w:w="780" w:type="dxa"/>
            <w:vAlign w:val="bottom"/>
            <w:tcBorders>
              <w:right w:val="single" w:sz="8" w:color="auto"/>
            </w:tcBorders>
          </w:tcPr>
          <w:p>
            <w:pPr>
              <w:spacing w:after="0"/>
              <w:rPr>
                <w:sz w:val="18"/>
                <w:szCs w:val="18"/>
                <w:color w:val="auto"/>
              </w:rPr>
            </w:pPr>
          </w:p>
        </w:tc>
      </w:tr>
      <w:tr>
        <w:trPr>
          <w:trHeight w:val="216"/>
        </w:trPr>
        <w:tc>
          <w:tcPr>
            <w:tcW w:w="680" w:type="dxa"/>
            <w:vAlign w:val="bottom"/>
            <w:tcBorders>
              <w:left w:val="single" w:sz="8" w:color="auto"/>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333-</w:t>
            </w:r>
          </w:p>
        </w:tc>
        <w:tc>
          <w:tcPr>
            <w:tcW w:w="780" w:type="dxa"/>
            <w:vAlign w:val="bottom"/>
            <w:tcBorders>
              <w:right w:val="single" w:sz="8" w:color="auto"/>
            </w:tcBorders>
          </w:tcPr>
          <w:p>
            <w:pPr>
              <w:spacing w:after="0"/>
              <w:rPr>
                <w:sz w:val="18"/>
                <w:szCs w:val="18"/>
                <w:color w:val="auto"/>
              </w:rPr>
            </w:pPr>
          </w:p>
        </w:tc>
      </w:tr>
      <w:tr>
        <w:trPr>
          <w:trHeight w:val="230"/>
        </w:trPr>
        <w:tc>
          <w:tcPr>
            <w:tcW w:w="680" w:type="dxa"/>
            <w:vAlign w:val="bottom"/>
            <w:tcBorders>
              <w:left w:val="single" w:sz="8" w:color="auto"/>
              <w:bottom w:val="single" w:sz="8" w:color="auto"/>
              <w:right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189632)</w:t>
            </w:r>
          </w:p>
        </w:tc>
        <w:tc>
          <w:tcPr>
            <w:tcW w:w="780" w:type="dxa"/>
            <w:vAlign w:val="bottom"/>
            <w:tcBorders>
              <w:bottom w:val="single" w:sz="8" w:color="auto"/>
              <w:right w:val="single" w:sz="8" w:color="auto"/>
            </w:tcBorders>
          </w:tcPr>
          <w:p>
            <w:pPr>
              <w:spacing w:after="0"/>
              <w:rPr>
                <w:sz w:val="20"/>
                <w:szCs w:val="20"/>
                <w:color w:val="auto"/>
              </w:rPr>
            </w:pPr>
          </w:p>
        </w:tc>
      </w:tr>
      <w:tr>
        <w:trPr>
          <w:trHeight w:val="169"/>
        </w:trPr>
        <w:tc>
          <w:tcPr>
            <w:tcW w:w="680" w:type="dxa"/>
            <w:vAlign w:val="bottom"/>
            <w:tcBorders>
              <w:left w:val="single" w:sz="8" w:color="auto"/>
              <w:right w:val="single" w:sz="8" w:color="auto"/>
            </w:tcBorders>
          </w:tcPr>
          <w:p>
            <w:pPr>
              <w:spacing w:after="0" w:line="170" w:lineRule="exact"/>
              <w:rPr>
                <w:sz w:val="20"/>
                <w:szCs w:val="20"/>
                <w:color w:val="auto"/>
              </w:rPr>
            </w:pPr>
            <w:r>
              <w:rPr>
                <w:rFonts w:ascii="Arial" w:cs="Arial" w:eastAsia="Arial" w:hAnsi="Arial"/>
                <w:sz w:val="18"/>
                <w:szCs w:val="18"/>
                <w:color w:val="auto"/>
              </w:rPr>
              <w:t>10.26+</w:t>
            </w:r>
          </w:p>
        </w:tc>
        <w:tc>
          <w:tcPr>
            <w:tcW w:w="6260" w:type="dxa"/>
            <w:vAlign w:val="bottom"/>
            <w:tcBorders>
              <w:right w:val="single" w:sz="8" w:color="auto"/>
            </w:tcBorders>
            <w:gridSpan w:val="24"/>
          </w:tcPr>
          <w:p>
            <w:pPr>
              <w:spacing w:after="0" w:line="170" w:lineRule="exact"/>
              <w:rPr>
                <w:rFonts w:ascii="Arial" w:cs="Arial" w:eastAsia="Arial" w:hAnsi="Arial"/>
                <w:sz w:val="18"/>
                <w:szCs w:val="18"/>
                <w:color w:val="0000EE"/>
              </w:rPr>
            </w:pPr>
            <w:hyperlink r:id="rId178">
              <w:r>
                <w:rPr>
                  <w:rFonts w:ascii="Arial" w:cs="Arial" w:eastAsia="Arial" w:hAnsi="Arial"/>
                  <w:sz w:val="18"/>
                  <w:szCs w:val="18"/>
                  <w:color w:val="0000EE"/>
                </w:rPr>
                <w:t>Burlington Stores, Inc. 2013 Omnibus Incentive Plan.</w:t>
              </w:r>
            </w:hyperlink>
          </w:p>
        </w:tc>
        <w:tc>
          <w:tcPr>
            <w:tcW w:w="900" w:type="dxa"/>
            <w:vAlign w:val="bottom"/>
            <w:tcBorders>
              <w:right w:val="single" w:sz="8" w:color="auto"/>
            </w:tcBorders>
          </w:tcPr>
          <w:p>
            <w:pPr>
              <w:spacing w:after="0" w:line="170" w:lineRule="exact"/>
              <w:rPr>
                <w:sz w:val="20"/>
                <w:szCs w:val="20"/>
                <w:color w:val="auto"/>
              </w:rPr>
            </w:pPr>
            <w:r>
              <w:rPr>
                <w:rFonts w:ascii="Arial" w:cs="Arial" w:eastAsia="Arial" w:hAnsi="Arial"/>
                <w:sz w:val="18"/>
                <w:szCs w:val="18"/>
                <w:color w:val="auto"/>
                <w:w w:val="89"/>
              </w:rPr>
              <w:t>Registration</w:t>
            </w:r>
          </w:p>
        </w:tc>
        <w:tc>
          <w:tcPr>
            <w:tcW w:w="780" w:type="dxa"/>
            <w:vAlign w:val="bottom"/>
            <w:tcBorders>
              <w:right w:val="single" w:sz="8" w:color="auto"/>
            </w:tcBorders>
          </w:tcPr>
          <w:p>
            <w:pPr>
              <w:spacing w:after="0" w:line="170" w:lineRule="exact"/>
              <w:rPr>
                <w:sz w:val="20"/>
                <w:szCs w:val="20"/>
                <w:color w:val="auto"/>
              </w:rPr>
            </w:pPr>
            <w:r>
              <w:rPr>
                <w:rFonts w:ascii="Arial" w:cs="Arial" w:eastAsia="Arial" w:hAnsi="Arial"/>
                <w:sz w:val="18"/>
                <w:szCs w:val="18"/>
                <w:color w:val="auto"/>
                <w:w w:val="83"/>
              </w:rPr>
              <w:t>September</w:t>
            </w:r>
          </w:p>
        </w:tc>
      </w:tr>
      <w:tr>
        <w:trPr>
          <w:trHeight w:val="222"/>
        </w:trPr>
        <w:tc>
          <w:tcPr>
            <w:tcW w:w="680" w:type="dxa"/>
            <w:vAlign w:val="bottom"/>
            <w:tcBorders>
              <w:left w:val="single" w:sz="8" w:color="auto"/>
              <w:right w:val="single" w:sz="8" w:color="auto"/>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150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88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Statement</w:t>
            </w:r>
          </w:p>
        </w:tc>
        <w:tc>
          <w:tcPr>
            <w:tcW w:w="7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19, 2013</w:t>
            </w:r>
          </w:p>
        </w:tc>
      </w:tr>
      <w:tr>
        <w:trPr>
          <w:trHeight w:val="216"/>
        </w:trPr>
        <w:tc>
          <w:tcPr>
            <w:tcW w:w="680" w:type="dxa"/>
            <w:vAlign w:val="bottom"/>
            <w:tcBorders>
              <w:left w:val="single" w:sz="8" w:color="auto"/>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5"/>
              </w:rPr>
              <w:t>on Form S-</w:t>
            </w:r>
          </w:p>
        </w:tc>
        <w:tc>
          <w:tcPr>
            <w:tcW w:w="780" w:type="dxa"/>
            <w:vAlign w:val="bottom"/>
            <w:tcBorders>
              <w:right w:val="single" w:sz="8" w:color="auto"/>
            </w:tcBorders>
          </w:tcPr>
          <w:p>
            <w:pPr>
              <w:spacing w:after="0"/>
              <w:rPr>
                <w:sz w:val="18"/>
                <w:szCs w:val="18"/>
                <w:color w:val="auto"/>
              </w:rPr>
            </w:pPr>
          </w:p>
        </w:tc>
      </w:tr>
      <w:tr>
        <w:trPr>
          <w:trHeight w:val="216"/>
        </w:trPr>
        <w:tc>
          <w:tcPr>
            <w:tcW w:w="680" w:type="dxa"/>
            <w:vAlign w:val="bottom"/>
            <w:tcBorders>
              <w:left w:val="single" w:sz="8" w:color="auto"/>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1/A</w:t>
            </w:r>
          </w:p>
        </w:tc>
        <w:tc>
          <w:tcPr>
            <w:tcW w:w="780" w:type="dxa"/>
            <w:vAlign w:val="bottom"/>
            <w:tcBorders>
              <w:right w:val="single" w:sz="8" w:color="auto"/>
            </w:tcBorders>
          </w:tcPr>
          <w:p>
            <w:pPr>
              <w:spacing w:after="0"/>
              <w:rPr>
                <w:sz w:val="18"/>
                <w:szCs w:val="18"/>
                <w:color w:val="auto"/>
              </w:rPr>
            </w:pPr>
          </w:p>
        </w:tc>
      </w:tr>
      <w:tr>
        <w:trPr>
          <w:trHeight w:val="216"/>
        </w:trPr>
        <w:tc>
          <w:tcPr>
            <w:tcW w:w="680" w:type="dxa"/>
            <w:vAlign w:val="bottom"/>
            <w:tcBorders>
              <w:left w:val="single" w:sz="8" w:color="auto"/>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(File No.</w:t>
            </w:r>
          </w:p>
        </w:tc>
        <w:tc>
          <w:tcPr>
            <w:tcW w:w="780" w:type="dxa"/>
            <w:vAlign w:val="bottom"/>
            <w:tcBorders>
              <w:right w:val="single" w:sz="8" w:color="auto"/>
            </w:tcBorders>
          </w:tcPr>
          <w:p>
            <w:pPr>
              <w:spacing w:after="0"/>
              <w:rPr>
                <w:sz w:val="18"/>
                <w:szCs w:val="18"/>
                <w:color w:val="auto"/>
              </w:rPr>
            </w:pPr>
          </w:p>
        </w:tc>
      </w:tr>
      <w:tr>
        <w:trPr>
          <w:trHeight w:val="216"/>
        </w:trPr>
        <w:tc>
          <w:tcPr>
            <w:tcW w:w="680" w:type="dxa"/>
            <w:vAlign w:val="bottom"/>
            <w:tcBorders>
              <w:left w:val="single" w:sz="8" w:color="auto"/>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333-</w:t>
            </w:r>
          </w:p>
        </w:tc>
        <w:tc>
          <w:tcPr>
            <w:tcW w:w="780" w:type="dxa"/>
            <w:vAlign w:val="bottom"/>
            <w:tcBorders>
              <w:right w:val="single" w:sz="8" w:color="auto"/>
            </w:tcBorders>
          </w:tcPr>
          <w:p>
            <w:pPr>
              <w:spacing w:after="0"/>
              <w:rPr>
                <w:sz w:val="18"/>
                <w:szCs w:val="18"/>
                <w:color w:val="auto"/>
              </w:rPr>
            </w:pPr>
          </w:p>
        </w:tc>
      </w:tr>
      <w:tr>
        <w:trPr>
          <w:trHeight w:val="230"/>
        </w:trPr>
        <w:tc>
          <w:tcPr>
            <w:tcW w:w="680" w:type="dxa"/>
            <w:vAlign w:val="bottom"/>
            <w:tcBorders>
              <w:left w:val="single" w:sz="8" w:color="auto"/>
              <w:bottom w:val="single" w:sz="8" w:color="auto"/>
              <w:right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189632)</w:t>
            </w:r>
          </w:p>
        </w:tc>
        <w:tc>
          <w:tcPr>
            <w:tcW w:w="780" w:type="dxa"/>
            <w:vAlign w:val="bottom"/>
            <w:tcBorders>
              <w:bottom w:val="single" w:sz="8" w:color="auto"/>
              <w:right w:val="single" w:sz="8" w:color="auto"/>
            </w:tcBorders>
          </w:tcPr>
          <w:p>
            <w:pPr>
              <w:spacing w:after="0"/>
              <w:rPr>
                <w:sz w:val="20"/>
                <w:szCs w:val="20"/>
                <w:color w:val="auto"/>
              </w:rPr>
            </w:pPr>
          </w:p>
        </w:tc>
      </w:tr>
      <w:tr>
        <w:trPr>
          <w:trHeight w:val="169"/>
        </w:trPr>
        <w:tc>
          <w:tcPr>
            <w:tcW w:w="680" w:type="dxa"/>
            <w:vAlign w:val="bottom"/>
            <w:tcBorders>
              <w:left w:val="single" w:sz="8" w:color="auto"/>
              <w:right w:val="single" w:sz="8" w:color="auto"/>
            </w:tcBorders>
          </w:tcPr>
          <w:p>
            <w:pPr>
              <w:spacing w:after="0" w:line="170" w:lineRule="exact"/>
              <w:rPr>
                <w:sz w:val="20"/>
                <w:szCs w:val="20"/>
                <w:color w:val="auto"/>
              </w:rPr>
            </w:pPr>
            <w:r>
              <w:rPr>
                <w:rFonts w:ascii="Arial" w:cs="Arial" w:eastAsia="Arial" w:hAnsi="Arial"/>
                <w:sz w:val="18"/>
                <w:szCs w:val="18"/>
                <w:color w:val="auto"/>
                <w:w w:val="90"/>
              </w:rPr>
              <w:t>10.26.1+</w:t>
            </w:r>
          </w:p>
        </w:tc>
        <w:tc>
          <w:tcPr>
            <w:tcW w:w="3820" w:type="dxa"/>
            <w:vAlign w:val="bottom"/>
            <w:tcBorders>
              <w:bottom w:val="single" w:sz="8" w:color="0000EE"/>
            </w:tcBorders>
            <w:gridSpan w:val="9"/>
          </w:tcPr>
          <w:p>
            <w:pPr>
              <w:spacing w:after="0" w:line="170" w:lineRule="exact"/>
              <w:rPr>
                <w:rFonts w:ascii="Arial" w:cs="Arial" w:eastAsia="Arial" w:hAnsi="Arial"/>
                <w:sz w:val="18"/>
                <w:szCs w:val="18"/>
                <w:color w:val="0000EE"/>
                <w:w w:val="91"/>
              </w:rPr>
            </w:pPr>
            <w:hyperlink r:id="rId179">
              <w:r>
                <w:rPr>
                  <w:rFonts w:ascii="Arial" w:cs="Arial" w:eastAsia="Arial" w:hAnsi="Arial"/>
                  <w:sz w:val="18"/>
                  <w:szCs w:val="18"/>
                  <w:color w:val="0000EE"/>
                  <w:w w:val="91"/>
                </w:rPr>
                <w:t>Burlington Stores, Inc. 2013 Omnibus Incentive Plan</w:t>
              </w:r>
            </w:hyperlink>
          </w:p>
        </w:tc>
        <w:tc>
          <w:tcPr>
            <w:tcW w:w="2440" w:type="dxa"/>
            <w:vAlign w:val="bottom"/>
            <w:tcBorders>
              <w:right w:val="single" w:sz="8" w:color="auto"/>
            </w:tcBorders>
            <w:gridSpan w:val="15"/>
          </w:tcPr>
          <w:p>
            <w:pPr>
              <w:spacing w:after="0"/>
              <w:rPr>
                <w:sz w:val="14"/>
                <w:szCs w:val="14"/>
                <w:color w:val="auto"/>
              </w:rPr>
            </w:pPr>
          </w:p>
        </w:tc>
        <w:tc>
          <w:tcPr>
            <w:tcW w:w="900" w:type="dxa"/>
            <w:vAlign w:val="bottom"/>
            <w:tcBorders>
              <w:right w:val="single" w:sz="8" w:color="auto"/>
            </w:tcBorders>
          </w:tcPr>
          <w:p>
            <w:pPr>
              <w:spacing w:after="0" w:line="170" w:lineRule="exact"/>
              <w:rPr>
                <w:sz w:val="20"/>
                <w:szCs w:val="20"/>
                <w:color w:val="auto"/>
              </w:rPr>
            </w:pPr>
            <w:r>
              <w:rPr>
                <w:rFonts w:ascii="Arial" w:cs="Arial" w:eastAsia="Arial" w:hAnsi="Arial"/>
                <w:sz w:val="18"/>
                <w:szCs w:val="18"/>
                <w:color w:val="auto"/>
              </w:rPr>
              <w:t>Current</w:t>
            </w:r>
          </w:p>
        </w:tc>
        <w:tc>
          <w:tcPr>
            <w:tcW w:w="780" w:type="dxa"/>
            <w:vAlign w:val="bottom"/>
            <w:tcBorders>
              <w:right w:val="single" w:sz="8" w:color="auto"/>
            </w:tcBorders>
          </w:tcPr>
          <w:p>
            <w:pPr>
              <w:spacing w:after="0" w:line="170" w:lineRule="exact"/>
              <w:rPr>
                <w:sz w:val="20"/>
                <w:szCs w:val="20"/>
                <w:color w:val="auto"/>
              </w:rPr>
            </w:pPr>
            <w:r>
              <w:rPr>
                <w:rFonts w:ascii="Arial" w:cs="Arial" w:eastAsia="Arial" w:hAnsi="Arial"/>
                <w:sz w:val="18"/>
                <w:szCs w:val="18"/>
                <w:color w:val="auto"/>
              </w:rPr>
              <w:t>May 22,</w:t>
            </w:r>
          </w:p>
        </w:tc>
      </w:tr>
      <w:tr>
        <w:trPr>
          <w:trHeight w:val="196"/>
        </w:trPr>
        <w:tc>
          <w:tcPr>
            <w:tcW w:w="680" w:type="dxa"/>
            <w:vAlign w:val="bottom"/>
            <w:tcBorders>
              <w:left w:val="single" w:sz="8" w:color="auto"/>
              <w:right w:val="single" w:sz="8" w:color="auto"/>
            </w:tcBorders>
          </w:tcPr>
          <w:p>
            <w:pPr>
              <w:spacing w:after="0"/>
              <w:rPr>
                <w:sz w:val="17"/>
                <w:szCs w:val="17"/>
                <w:color w:val="auto"/>
              </w:rPr>
            </w:pPr>
          </w:p>
        </w:tc>
        <w:tc>
          <w:tcPr>
            <w:tcW w:w="6260" w:type="dxa"/>
            <w:vAlign w:val="bottom"/>
            <w:tcBorders>
              <w:right w:val="single" w:sz="8" w:color="auto"/>
            </w:tcBorders>
            <w:gridSpan w:val="24"/>
          </w:tcPr>
          <w:p>
            <w:pPr>
              <w:spacing w:after="0" w:line="196" w:lineRule="exact"/>
              <w:rPr>
                <w:rFonts w:ascii="Arial" w:cs="Arial" w:eastAsia="Arial" w:hAnsi="Arial"/>
                <w:sz w:val="18"/>
                <w:szCs w:val="18"/>
                <w:color w:val="0000EE"/>
              </w:rPr>
            </w:pPr>
            <w:hyperlink r:id="rId179">
              <w:r>
                <w:rPr>
                  <w:rFonts w:ascii="Arial" w:cs="Arial" w:eastAsia="Arial" w:hAnsi="Arial"/>
                  <w:sz w:val="18"/>
                  <w:szCs w:val="18"/>
                  <w:color w:val="0000EE"/>
                </w:rPr>
                <w:t>(as amended and restated May 17, 2017).</w:t>
              </w:r>
            </w:hyperlink>
          </w:p>
        </w:tc>
        <w:tc>
          <w:tcPr>
            <w:tcW w:w="9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Report on</w:t>
            </w:r>
          </w:p>
        </w:tc>
        <w:tc>
          <w:tcPr>
            <w:tcW w:w="78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2017</w:t>
            </w:r>
          </w:p>
        </w:tc>
      </w:tr>
      <w:tr>
        <w:trPr>
          <w:trHeight w:val="222"/>
        </w:trPr>
        <w:tc>
          <w:tcPr>
            <w:tcW w:w="680" w:type="dxa"/>
            <w:vAlign w:val="bottom"/>
            <w:tcBorders>
              <w:left w:val="single" w:sz="8" w:color="auto"/>
              <w:right w:val="single" w:sz="8" w:color="auto"/>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150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Form 8-K</w:t>
            </w:r>
          </w:p>
        </w:tc>
        <w:tc>
          <w:tcPr>
            <w:tcW w:w="780" w:type="dxa"/>
            <w:vAlign w:val="bottom"/>
            <w:tcBorders>
              <w:right w:val="single" w:sz="8" w:color="auto"/>
            </w:tcBorders>
          </w:tcPr>
          <w:p>
            <w:pPr>
              <w:spacing w:after="0"/>
              <w:rPr>
                <w:sz w:val="19"/>
                <w:szCs w:val="19"/>
                <w:color w:val="auto"/>
              </w:rPr>
            </w:pPr>
          </w:p>
        </w:tc>
      </w:tr>
      <w:tr>
        <w:trPr>
          <w:trHeight w:val="216"/>
        </w:trPr>
        <w:tc>
          <w:tcPr>
            <w:tcW w:w="680" w:type="dxa"/>
            <w:vAlign w:val="bottom"/>
            <w:tcBorders>
              <w:left w:val="single" w:sz="8" w:color="auto"/>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(File No.</w:t>
            </w:r>
          </w:p>
        </w:tc>
        <w:tc>
          <w:tcPr>
            <w:tcW w:w="780" w:type="dxa"/>
            <w:vAlign w:val="bottom"/>
            <w:tcBorders>
              <w:right w:val="single" w:sz="8" w:color="auto"/>
            </w:tcBorders>
          </w:tcPr>
          <w:p>
            <w:pPr>
              <w:spacing w:after="0"/>
              <w:rPr>
                <w:sz w:val="18"/>
                <w:szCs w:val="18"/>
                <w:color w:val="auto"/>
              </w:rPr>
            </w:pPr>
          </w:p>
        </w:tc>
      </w:tr>
      <w:tr>
        <w:trPr>
          <w:trHeight w:val="230"/>
        </w:trPr>
        <w:tc>
          <w:tcPr>
            <w:tcW w:w="680" w:type="dxa"/>
            <w:vAlign w:val="bottom"/>
            <w:tcBorders>
              <w:left w:val="single" w:sz="8" w:color="auto"/>
              <w:bottom w:val="single" w:sz="8" w:color="auto"/>
              <w:right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w w:val="93"/>
              </w:rPr>
              <w:t>001-36107)</w:t>
            </w:r>
          </w:p>
        </w:tc>
        <w:tc>
          <w:tcPr>
            <w:tcW w:w="780" w:type="dxa"/>
            <w:vAlign w:val="bottom"/>
            <w:tcBorders>
              <w:bottom w:val="single" w:sz="8" w:color="auto"/>
              <w:right w:val="single" w:sz="8" w:color="auto"/>
            </w:tcBorders>
          </w:tcPr>
          <w:p>
            <w:pPr>
              <w:spacing w:after="0"/>
              <w:rPr>
                <w:sz w:val="20"/>
                <w:szCs w:val="20"/>
                <w:color w:val="auto"/>
              </w:rPr>
            </w:pPr>
          </w:p>
        </w:tc>
      </w:tr>
      <w:tr>
        <w:trPr>
          <w:trHeight w:val="169"/>
        </w:trPr>
        <w:tc>
          <w:tcPr>
            <w:tcW w:w="680" w:type="dxa"/>
            <w:vAlign w:val="bottom"/>
            <w:tcBorders>
              <w:left w:val="single" w:sz="8" w:color="auto"/>
              <w:right w:val="single" w:sz="8" w:color="auto"/>
            </w:tcBorders>
          </w:tcPr>
          <w:p>
            <w:pPr>
              <w:spacing w:after="0" w:line="170" w:lineRule="exact"/>
              <w:rPr>
                <w:sz w:val="20"/>
                <w:szCs w:val="20"/>
                <w:color w:val="auto"/>
              </w:rPr>
            </w:pPr>
            <w:r>
              <w:rPr>
                <w:rFonts w:ascii="Arial" w:cs="Arial" w:eastAsia="Arial" w:hAnsi="Arial"/>
                <w:sz w:val="18"/>
                <w:szCs w:val="18"/>
                <w:color w:val="auto"/>
              </w:rPr>
              <w:t>10.27+</w:t>
            </w:r>
          </w:p>
        </w:tc>
        <w:tc>
          <w:tcPr>
            <w:tcW w:w="5980" w:type="dxa"/>
            <w:vAlign w:val="bottom"/>
            <w:tcBorders>
              <w:bottom w:val="single" w:sz="8" w:color="0000EE"/>
            </w:tcBorders>
            <w:gridSpan w:val="17"/>
          </w:tcPr>
          <w:p>
            <w:pPr>
              <w:spacing w:after="0" w:line="170" w:lineRule="exact"/>
              <w:rPr>
                <w:rFonts w:ascii="Arial" w:cs="Arial" w:eastAsia="Arial" w:hAnsi="Arial"/>
                <w:sz w:val="18"/>
                <w:szCs w:val="18"/>
                <w:color w:val="0000EE"/>
                <w:w w:val="92"/>
              </w:rPr>
            </w:pPr>
            <w:hyperlink r:id="rId180">
              <w:r>
                <w:rPr>
                  <w:rFonts w:ascii="Arial" w:cs="Arial" w:eastAsia="Arial" w:hAnsi="Arial"/>
                  <w:sz w:val="18"/>
                  <w:szCs w:val="18"/>
                  <w:color w:val="0000EE"/>
                  <w:w w:val="92"/>
                </w:rPr>
                <w:t>Form of Non-Qualified Stock Option Agreement, pursuant to Burlington Holdings,</w:t>
              </w:r>
            </w:hyperlink>
          </w:p>
        </w:tc>
        <w:tc>
          <w:tcPr>
            <w:tcW w:w="280" w:type="dxa"/>
            <w:vAlign w:val="bottom"/>
            <w:tcBorders>
              <w:right w:val="single" w:sz="8" w:color="auto"/>
            </w:tcBorders>
            <w:gridSpan w:val="7"/>
          </w:tcPr>
          <w:p>
            <w:pPr>
              <w:spacing w:after="0"/>
              <w:rPr>
                <w:sz w:val="14"/>
                <w:szCs w:val="14"/>
                <w:color w:val="auto"/>
              </w:rPr>
            </w:pPr>
          </w:p>
        </w:tc>
        <w:tc>
          <w:tcPr>
            <w:tcW w:w="900" w:type="dxa"/>
            <w:vAlign w:val="bottom"/>
            <w:tcBorders>
              <w:right w:val="single" w:sz="8" w:color="auto"/>
            </w:tcBorders>
          </w:tcPr>
          <w:p>
            <w:pPr>
              <w:spacing w:after="0" w:line="170" w:lineRule="exact"/>
              <w:rPr>
                <w:sz w:val="20"/>
                <w:szCs w:val="20"/>
                <w:color w:val="auto"/>
              </w:rPr>
            </w:pPr>
            <w:r>
              <w:rPr>
                <w:rFonts w:ascii="Arial" w:cs="Arial" w:eastAsia="Arial" w:hAnsi="Arial"/>
                <w:sz w:val="18"/>
                <w:szCs w:val="18"/>
                <w:color w:val="auto"/>
                <w:w w:val="89"/>
              </w:rPr>
              <w:t>Registration</w:t>
            </w:r>
          </w:p>
        </w:tc>
        <w:tc>
          <w:tcPr>
            <w:tcW w:w="780" w:type="dxa"/>
            <w:vAlign w:val="bottom"/>
            <w:tcBorders>
              <w:right w:val="single" w:sz="8" w:color="auto"/>
            </w:tcBorders>
          </w:tcPr>
          <w:p>
            <w:pPr>
              <w:spacing w:after="0" w:line="170" w:lineRule="exact"/>
              <w:rPr>
                <w:sz w:val="20"/>
                <w:szCs w:val="20"/>
                <w:color w:val="auto"/>
              </w:rPr>
            </w:pPr>
            <w:r>
              <w:rPr>
                <w:rFonts w:ascii="Arial" w:cs="Arial" w:eastAsia="Arial" w:hAnsi="Arial"/>
                <w:sz w:val="18"/>
                <w:szCs w:val="18"/>
                <w:color w:val="auto"/>
                <w:w w:val="83"/>
              </w:rPr>
              <w:t>September</w:t>
            </w:r>
          </w:p>
        </w:tc>
      </w:tr>
      <w:tr>
        <w:trPr>
          <w:trHeight w:val="196"/>
        </w:trPr>
        <w:tc>
          <w:tcPr>
            <w:tcW w:w="680" w:type="dxa"/>
            <w:vAlign w:val="bottom"/>
            <w:tcBorders>
              <w:left w:val="single" w:sz="8" w:color="auto"/>
              <w:right w:val="single" w:sz="8" w:color="auto"/>
            </w:tcBorders>
          </w:tcPr>
          <w:p>
            <w:pPr>
              <w:spacing w:after="0"/>
              <w:rPr>
                <w:sz w:val="17"/>
                <w:szCs w:val="17"/>
                <w:color w:val="auto"/>
              </w:rPr>
            </w:pPr>
          </w:p>
        </w:tc>
        <w:tc>
          <w:tcPr>
            <w:tcW w:w="566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r:id="rId180">
              <w:r>
                <w:rPr>
                  <w:rFonts w:ascii="Arial" w:cs="Arial" w:eastAsia="Arial" w:hAnsi="Arial"/>
                  <w:sz w:val="18"/>
                  <w:szCs w:val="18"/>
                  <w:color w:val="0000EE"/>
                  <w:w w:val="89"/>
                </w:rPr>
                <w:t>Inc. 2006 Management Incentive Plan (Amended and Restated June 15, 2013),</w:t>
              </w:r>
            </w:hyperlink>
          </w:p>
        </w:tc>
        <w:tc>
          <w:tcPr>
            <w:tcW w:w="600" w:type="dxa"/>
            <w:vAlign w:val="bottom"/>
            <w:tcBorders>
              <w:right w:val="single" w:sz="8" w:color="auto"/>
            </w:tcBorders>
            <w:gridSpan w:val="12"/>
          </w:tcPr>
          <w:p>
            <w:pPr>
              <w:spacing w:after="0"/>
              <w:rPr>
                <w:sz w:val="17"/>
                <w:szCs w:val="17"/>
                <w:color w:val="auto"/>
              </w:rPr>
            </w:pPr>
          </w:p>
        </w:tc>
        <w:tc>
          <w:tcPr>
            <w:tcW w:w="9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Statement</w:t>
            </w:r>
          </w:p>
        </w:tc>
        <w:tc>
          <w:tcPr>
            <w:tcW w:w="78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6, 2013</w:t>
            </w:r>
          </w:p>
        </w:tc>
      </w:tr>
      <w:tr>
        <w:trPr>
          <w:trHeight w:val="196"/>
        </w:trPr>
        <w:tc>
          <w:tcPr>
            <w:tcW w:w="680" w:type="dxa"/>
            <w:vAlign w:val="bottom"/>
            <w:tcBorders>
              <w:left w:val="single" w:sz="8" w:color="auto"/>
              <w:right w:val="single" w:sz="8" w:color="auto"/>
            </w:tcBorders>
          </w:tcPr>
          <w:p>
            <w:pPr>
              <w:spacing w:after="0"/>
              <w:rPr>
                <w:sz w:val="17"/>
                <w:szCs w:val="17"/>
                <w:color w:val="auto"/>
              </w:rPr>
            </w:pPr>
          </w:p>
        </w:tc>
        <w:tc>
          <w:tcPr>
            <w:tcW w:w="6200" w:type="dxa"/>
            <w:vAlign w:val="bottom"/>
            <w:tcBorders>
              <w:bottom w:val="single" w:sz="8" w:color="0000EE"/>
            </w:tcBorders>
            <w:gridSpan w:val="23"/>
          </w:tcPr>
          <w:p>
            <w:pPr>
              <w:spacing w:after="0" w:line="196" w:lineRule="exact"/>
              <w:rPr>
                <w:rFonts w:ascii="Arial" w:cs="Arial" w:eastAsia="Arial" w:hAnsi="Arial"/>
                <w:sz w:val="18"/>
                <w:szCs w:val="18"/>
                <w:color w:val="0000EE"/>
                <w:w w:val="91"/>
              </w:rPr>
            </w:pPr>
            <w:hyperlink r:id="rId180">
              <w:r>
                <w:rPr>
                  <w:rFonts w:ascii="Arial" w:cs="Arial" w:eastAsia="Arial" w:hAnsi="Arial"/>
                  <w:sz w:val="18"/>
                  <w:szCs w:val="18"/>
                  <w:color w:val="0000EE"/>
                  <w:w w:val="91"/>
                </w:rPr>
                <w:t>between Burlington Holdings, Inc. and Employees with Employment Agreements (for</w:t>
              </w:r>
            </w:hyperlink>
          </w:p>
        </w:tc>
        <w:tc>
          <w:tcPr>
            <w:tcW w:w="6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w w:val="95"/>
              </w:rPr>
              <w:t>on Form S-</w:t>
            </w:r>
          </w:p>
        </w:tc>
        <w:tc>
          <w:tcPr>
            <w:tcW w:w="780" w:type="dxa"/>
            <w:vAlign w:val="bottom"/>
            <w:tcBorders>
              <w:right w:val="single" w:sz="8" w:color="auto"/>
            </w:tcBorders>
          </w:tcPr>
          <w:p>
            <w:pPr>
              <w:spacing w:after="0"/>
              <w:rPr>
                <w:sz w:val="17"/>
                <w:szCs w:val="17"/>
                <w:color w:val="auto"/>
              </w:rPr>
            </w:pPr>
          </w:p>
        </w:tc>
      </w:tr>
      <w:tr>
        <w:trPr>
          <w:trHeight w:val="196"/>
        </w:trPr>
        <w:tc>
          <w:tcPr>
            <w:tcW w:w="680" w:type="dxa"/>
            <w:vAlign w:val="bottom"/>
            <w:tcBorders>
              <w:left w:val="single" w:sz="8" w:color="auto"/>
              <w:right w:val="single" w:sz="8" w:color="auto"/>
            </w:tcBorders>
          </w:tcPr>
          <w:p>
            <w:pPr>
              <w:spacing w:after="0"/>
              <w:rPr>
                <w:sz w:val="17"/>
                <w:szCs w:val="17"/>
                <w:color w:val="auto"/>
              </w:rPr>
            </w:pPr>
          </w:p>
        </w:tc>
        <w:tc>
          <w:tcPr>
            <w:tcW w:w="6260" w:type="dxa"/>
            <w:vAlign w:val="bottom"/>
            <w:tcBorders>
              <w:right w:val="single" w:sz="8" w:color="auto"/>
            </w:tcBorders>
            <w:gridSpan w:val="24"/>
          </w:tcPr>
          <w:p>
            <w:pPr>
              <w:spacing w:after="0" w:line="196" w:lineRule="exact"/>
              <w:rPr>
                <w:rFonts w:ascii="Arial" w:cs="Arial" w:eastAsia="Arial" w:hAnsi="Arial"/>
                <w:sz w:val="18"/>
                <w:szCs w:val="18"/>
                <w:color w:val="0000EE"/>
              </w:rPr>
            </w:pPr>
            <w:hyperlink r:id="rId180">
              <w:r>
                <w:rPr>
                  <w:rFonts w:ascii="Arial" w:cs="Arial" w:eastAsia="Arial" w:hAnsi="Arial"/>
                  <w:sz w:val="18"/>
                  <w:szCs w:val="18"/>
                  <w:color w:val="0000EE"/>
                </w:rPr>
                <w:t>2013 special one-time grants).</w:t>
              </w:r>
            </w:hyperlink>
          </w:p>
        </w:tc>
        <w:tc>
          <w:tcPr>
            <w:tcW w:w="9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1/A</w:t>
            </w:r>
          </w:p>
        </w:tc>
        <w:tc>
          <w:tcPr>
            <w:tcW w:w="780" w:type="dxa"/>
            <w:vAlign w:val="bottom"/>
            <w:tcBorders>
              <w:right w:val="single" w:sz="8" w:color="auto"/>
            </w:tcBorders>
          </w:tcPr>
          <w:p>
            <w:pPr>
              <w:spacing w:after="0"/>
              <w:rPr>
                <w:sz w:val="17"/>
                <w:szCs w:val="17"/>
                <w:color w:val="auto"/>
              </w:rPr>
            </w:pPr>
          </w:p>
        </w:tc>
      </w:tr>
      <w:tr>
        <w:trPr>
          <w:trHeight w:val="222"/>
        </w:trPr>
        <w:tc>
          <w:tcPr>
            <w:tcW w:w="680" w:type="dxa"/>
            <w:vAlign w:val="bottom"/>
            <w:tcBorders>
              <w:left w:val="single" w:sz="8" w:color="auto"/>
              <w:right w:val="single" w:sz="8" w:color="auto"/>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150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(File No.</w:t>
            </w:r>
          </w:p>
        </w:tc>
        <w:tc>
          <w:tcPr>
            <w:tcW w:w="780" w:type="dxa"/>
            <w:vAlign w:val="bottom"/>
            <w:tcBorders>
              <w:right w:val="single" w:sz="8" w:color="auto"/>
            </w:tcBorders>
          </w:tcPr>
          <w:p>
            <w:pPr>
              <w:spacing w:after="0"/>
              <w:rPr>
                <w:sz w:val="19"/>
                <w:szCs w:val="19"/>
                <w:color w:val="auto"/>
              </w:rPr>
            </w:pPr>
          </w:p>
        </w:tc>
      </w:tr>
      <w:tr>
        <w:trPr>
          <w:trHeight w:val="216"/>
        </w:trPr>
        <w:tc>
          <w:tcPr>
            <w:tcW w:w="680" w:type="dxa"/>
            <w:vAlign w:val="bottom"/>
            <w:tcBorders>
              <w:left w:val="single" w:sz="8" w:color="auto"/>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333-</w:t>
            </w:r>
          </w:p>
        </w:tc>
        <w:tc>
          <w:tcPr>
            <w:tcW w:w="780" w:type="dxa"/>
            <w:vAlign w:val="bottom"/>
            <w:tcBorders>
              <w:right w:val="single" w:sz="8" w:color="auto"/>
            </w:tcBorders>
          </w:tcPr>
          <w:p>
            <w:pPr>
              <w:spacing w:after="0"/>
              <w:rPr>
                <w:sz w:val="18"/>
                <w:szCs w:val="18"/>
                <w:color w:val="auto"/>
              </w:rPr>
            </w:pPr>
          </w:p>
        </w:tc>
      </w:tr>
      <w:tr>
        <w:trPr>
          <w:trHeight w:val="230"/>
        </w:trPr>
        <w:tc>
          <w:tcPr>
            <w:tcW w:w="680" w:type="dxa"/>
            <w:vAlign w:val="bottom"/>
            <w:tcBorders>
              <w:left w:val="single" w:sz="8" w:color="auto"/>
              <w:bottom w:val="single" w:sz="8" w:color="auto"/>
              <w:right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189632)</w:t>
            </w:r>
          </w:p>
        </w:tc>
        <w:tc>
          <w:tcPr>
            <w:tcW w:w="780" w:type="dxa"/>
            <w:vAlign w:val="bottom"/>
            <w:tcBorders>
              <w:bottom w:val="single" w:sz="8" w:color="auto"/>
              <w:right w:val="single" w:sz="8" w:color="auto"/>
            </w:tcBorders>
          </w:tcPr>
          <w:p>
            <w:pPr>
              <w:spacing w:after="0"/>
              <w:rPr>
                <w:sz w:val="20"/>
                <w:szCs w:val="20"/>
                <w:color w:val="auto"/>
              </w:rPr>
            </w:pPr>
          </w:p>
        </w:tc>
      </w:tr>
      <w:tr>
        <w:trPr>
          <w:trHeight w:val="169"/>
        </w:trPr>
        <w:tc>
          <w:tcPr>
            <w:tcW w:w="680" w:type="dxa"/>
            <w:vAlign w:val="bottom"/>
            <w:tcBorders>
              <w:left w:val="single" w:sz="8" w:color="auto"/>
              <w:right w:val="single" w:sz="8" w:color="auto"/>
            </w:tcBorders>
          </w:tcPr>
          <w:p>
            <w:pPr>
              <w:spacing w:after="0" w:line="170" w:lineRule="exact"/>
              <w:rPr>
                <w:sz w:val="20"/>
                <w:szCs w:val="20"/>
                <w:color w:val="auto"/>
              </w:rPr>
            </w:pPr>
            <w:r>
              <w:rPr>
                <w:rFonts w:ascii="Arial" w:cs="Arial" w:eastAsia="Arial" w:hAnsi="Arial"/>
                <w:sz w:val="18"/>
                <w:szCs w:val="18"/>
                <w:color w:val="auto"/>
              </w:rPr>
              <w:t>10.28+</w:t>
            </w:r>
          </w:p>
        </w:tc>
        <w:tc>
          <w:tcPr>
            <w:tcW w:w="5980" w:type="dxa"/>
            <w:vAlign w:val="bottom"/>
            <w:tcBorders>
              <w:bottom w:val="single" w:sz="8" w:color="0000EE"/>
            </w:tcBorders>
            <w:gridSpan w:val="17"/>
          </w:tcPr>
          <w:p>
            <w:pPr>
              <w:spacing w:after="0" w:line="170" w:lineRule="exact"/>
              <w:rPr>
                <w:rFonts w:ascii="Arial" w:cs="Arial" w:eastAsia="Arial" w:hAnsi="Arial"/>
                <w:sz w:val="18"/>
                <w:szCs w:val="18"/>
                <w:color w:val="0000EE"/>
                <w:w w:val="92"/>
              </w:rPr>
            </w:pPr>
            <w:hyperlink r:id="rId181">
              <w:r>
                <w:rPr>
                  <w:rFonts w:ascii="Arial" w:cs="Arial" w:eastAsia="Arial" w:hAnsi="Arial"/>
                  <w:sz w:val="18"/>
                  <w:szCs w:val="18"/>
                  <w:color w:val="0000EE"/>
                  <w:w w:val="92"/>
                </w:rPr>
                <w:t>Form of Non-Qualified Stock Option Agreement, pursuant to Burlington Holdings,</w:t>
              </w:r>
            </w:hyperlink>
          </w:p>
        </w:tc>
        <w:tc>
          <w:tcPr>
            <w:tcW w:w="280" w:type="dxa"/>
            <w:vAlign w:val="bottom"/>
            <w:tcBorders>
              <w:right w:val="single" w:sz="8" w:color="auto"/>
            </w:tcBorders>
            <w:gridSpan w:val="7"/>
          </w:tcPr>
          <w:p>
            <w:pPr>
              <w:spacing w:after="0"/>
              <w:rPr>
                <w:sz w:val="14"/>
                <w:szCs w:val="14"/>
                <w:color w:val="auto"/>
              </w:rPr>
            </w:pPr>
          </w:p>
        </w:tc>
        <w:tc>
          <w:tcPr>
            <w:tcW w:w="900" w:type="dxa"/>
            <w:vAlign w:val="bottom"/>
            <w:tcBorders>
              <w:right w:val="single" w:sz="8" w:color="auto"/>
            </w:tcBorders>
          </w:tcPr>
          <w:p>
            <w:pPr>
              <w:spacing w:after="0" w:line="170" w:lineRule="exact"/>
              <w:rPr>
                <w:sz w:val="20"/>
                <w:szCs w:val="20"/>
                <w:color w:val="auto"/>
              </w:rPr>
            </w:pPr>
            <w:r>
              <w:rPr>
                <w:rFonts w:ascii="Arial" w:cs="Arial" w:eastAsia="Arial" w:hAnsi="Arial"/>
                <w:sz w:val="18"/>
                <w:szCs w:val="18"/>
                <w:color w:val="auto"/>
                <w:w w:val="89"/>
              </w:rPr>
              <w:t>Registration</w:t>
            </w:r>
          </w:p>
        </w:tc>
        <w:tc>
          <w:tcPr>
            <w:tcW w:w="780" w:type="dxa"/>
            <w:vAlign w:val="bottom"/>
            <w:tcBorders>
              <w:right w:val="single" w:sz="8" w:color="auto"/>
            </w:tcBorders>
          </w:tcPr>
          <w:p>
            <w:pPr>
              <w:spacing w:after="0" w:line="170" w:lineRule="exact"/>
              <w:rPr>
                <w:sz w:val="20"/>
                <w:szCs w:val="20"/>
                <w:color w:val="auto"/>
              </w:rPr>
            </w:pPr>
            <w:r>
              <w:rPr>
                <w:rFonts w:ascii="Arial" w:cs="Arial" w:eastAsia="Arial" w:hAnsi="Arial"/>
                <w:sz w:val="18"/>
                <w:szCs w:val="18"/>
                <w:color w:val="auto"/>
                <w:w w:val="83"/>
              </w:rPr>
              <w:t>September</w:t>
            </w:r>
          </w:p>
        </w:tc>
      </w:tr>
      <w:tr>
        <w:trPr>
          <w:trHeight w:val="196"/>
        </w:trPr>
        <w:tc>
          <w:tcPr>
            <w:tcW w:w="680" w:type="dxa"/>
            <w:vAlign w:val="bottom"/>
            <w:tcBorders>
              <w:left w:val="single" w:sz="8" w:color="auto"/>
              <w:right w:val="single" w:sz="8" w:color="auto"/>
            </w:tcBorders>
          </w:tcPr>
          <w:p>
            <w:pPr>
              <w:spacing w:after="0"/>
              <w:rPr>
                <w:sz w:val="17"/>
                <w:szCs w:val="17"/>
                <w:color w:val="auto"/>
              </w:rPr>
            </w:pPr>
          </w:p>
        </w:tc>
        <w:tc>
          <w:tcPr>
            <w:tcW w:w="566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r:id="rId181">
              <w:r>
                <w:rPr>
                  <w:rFonts w:ascii="Arial" w:cs="Arial" w:eastAsia="Arial" w:hAnsi="Arial"/>
                  <w:sz w:val="18"/>
                  <w:szCs w:val="18"/>
                  <w:color w:val="0000EE"/>
                  <w:w w:val="89"/>
                </w:rPr>
                <w:t>Inc. 2006 Management Incentive Plan (Amended and Restated June 15, 2013),</w:t>
              </w:r>
            </w:hyperlink>
          </w:p>
        </w:tc>
        <w:tc>
          <w:tcPr>
            <w:tcW w:w="600" w:type="dxa"/>
            <w:vAlign w:val="bottom"/>
            <w:tcBorders>
              <w:right w:val="single" w:sz="8" w:color="auto"/>
            </w:tcBorders>
            <w:gridSpan w:val="12"/>
          </w:tcPr>
          <w:p>
            <w:pPr>
              <w:spacing w:after="0"/>
              <w:rPr>
                <w:sz w:val="17"/>
                <w:szCs w:val="17"/>
                <w:color w:val="auto"/>
              </w:rPr>
            </w:pPr>
          </w:p>
        </w:tc>
        <w:tc>
          <w:tcPr>
            <w:tcW w:w="9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Statement</w:t>
            </w:r>
          </w:p>
        </w:tc>
        <w:tc>
          <w:tcPr>
            <w:tcW w:w="78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6, 2013</w:t>
            </w:r>
          </w:p>
        </w:tc>
      </w:tr>
      <w:tr>
        <w:trPr>
          <w:trHeight w:val="196"/>
        </w:trPr>
        <w:tc>
          <w:tcPr>
            <w:tcW w:w="680" w:type="dxa"/>
            <w:vAlign w:val="bottom"/>
            <w:tcBorders>
              <w:left w:val="single" w:sz="8" w:color="auto"/>
              <w:right w:val="single" w:sz="8" w:color="auto"/>
            </w:tcBorders>
          </w:tcPr>
          <w:p>
            <w:pPr>
              <w:spacing w:after="0"/>
              <w:rPr>
                <w:sz w:val="17"/>
                <w:szCs w:val="17"/>
                <w:color w:val="auto"/>
              </w:rPr>
            </w:pPr>
          </w:p>
        </w:tc>
        <w:tc>
          <w:tcPr>
            <w:tcW w:w="6260" w:type="dxa"/>
            <w:vAlign w:val="bottom"/>
            <w:tcBorders>
              <w:right w:val="single" w:sz="8" w:color="auto"/>
            </w:tcBorders>
            <w:gridSpan w:val="24"/>
          </w:tcPr>
          <w:p>
            <w:pPr>
              <w:spacing w:after="0" w:line="196" w:lineRule="exact"/>
              <w:rPr>
                <w:rFonts w:ascii="Arial" w:cs="Arial" w:eastAsia="Arial" w:hAnsi="Arial"/>
                <w:sz w:val="18"/>
                <w:szCs w:val="18"/>
                <w:color w:val="0000EE"/>
                <w:w w:val="93"/>
              </w:rPr>
            </w:pPr>
            <w:hyperlink r:id="rId181">
              <w:r>
                <w:rPr>
                  <w:rFonts w:ascii="Arial" w:cs="Arial" w:eastAsia="Arial" w:hAnsi="Arial"/>
                  <w:sz w:val="18"/>
                  <w:szCs w:val="18"/>
                  <w:color w:val="0000EE"/>
                  <w:w w:val="93"/>
                </w:rPr>
                <w:t>between Burlington Holdings, Inc. and Employees without Employment Agreements</w:t>
              </w:r>
            </w:hyperlink>
          </w:p>
        </w:tc>
        <w:tc>
          <w:tcPr>
            <w:tcW w:w="9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w w:val="95"/>
              </w:rPr>
              <w:t>on Form S-</w:t>
            </w:r>
          </w:p>
        </w:tc>
        <w:tc>
          <w:tcPr>
            <w:tcW w:w="780" w:type="dxa"/>
            <w:vAlign w:val="bottom"/>
            <w:tcBorders>
              <w:right w:val="single" w:sz="8" w:color="auto"/>
            </w:tcBorders>
          </w:tcPr>
          <w:p>
            <w:pPr>
              <w:spacing w:after="0"/>
              <w:rPr>
                <w:sz w:val="17"/>
                <w:szCs w:val="17"/>
                <w:color w:val="auto"/>
              </w:rPr>
            </w:pPr>
          </w:p>
        </w:tc>
      </w:tr>
      <w:tr>
        <w:trPr>
          <w:trHeight w:val="196"/>
        </w:trPr>
        <w:tc>
          <w:tcPr>
            <w:tcW w:w="680" w:type="dxa"/>
            <w:vAlign w:val="bottom"/>
            <w:tcBorders>
              <w:left w:val="single" w:sz="8" w:color="auto"/>
              <w:right w:val="single" w:sz="8" w:color="auto"/>
            </w:tcBorders>
          </w:tcPr>
          <w:p>
            <w:pPr>
              <w:spacing w:after="0"/>
              <w:rPr>
                <w:sz w:val="17"/>
                <w:szCs w:val="17"/>
                <w:color w:val="auto"/>
              </w:rPr>
            </w:pPr>
          </w:p>
        </w:tc>
        <w:tc>
          <w:tcPr>
            <w:tcW w:w="610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r:id="rId181">
              <w:r>
                <w:rPr>
                  <w:rFonts w:ascii="Arial" w:cs="Arial" w:eastAsia="Arial" w:hAnsi="Arial"/>
                  <w:sz w:val="18"/>
                  <w:szCs w:val="18"/>
                  <w:color w:val="0000EE"/>
                </w:rPr>
                <w:t>(for 2013 special one-time grants).</w:t>
              </w:r>
            </w:hyperlink>
          </w:p>
        </w:tc>
        <w:tc>
          <w:tcPr>
            <w:tcW w:w="160" w:type="dxa"/>
            <w:vAlign w:val="bottom"/>
            <w:tcBorders>
              <w:right w:val="single" w:sz="8" w:color="auto"/>
            </w:tcBorders>
            <w:gridSpan w:val="4"/>
          </w:tcPr>
          <w:p>
            <w:pPr>
              <w:spacing w:after="0"/>
              <w:rPr>
                <w:sz w:val="17"/>
                <w:szCs w:val="17"/>
                <w:color w:val="auto"/>
              </w:rPr>
            </w:pPr>
          </w:p>
        </w:tc>
        <w:tc>
          <w:tcPr>
            <w:tcW w:w="9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1/A</w:t>
            </w:r>
          </w:p>
        </w:tc>
        <w:tc>
          <w:tcPr>
            <w:tcW w:w="780" w:type="dxa"/>
            <w:vAlign w:val="bottom"/>
            <w:tcBorders>
              <w:right w:val="single" w:sz="8" w:color="auto"/>
            </w:tcBorders>
          </w:tcPr>
          <w:p>
            <w:pPr>
              <w:spacing w:after="0"/>
              <w:rPr>
                <w:sz w:val="17"/>
                <w:szCs w:val="17"/>
                <w:color w:val="auto"/>
              </w:rPr>
            </w:pPr>
          </w:p>
        </w:tc>
      </w:tr>
      <w:tr>
        <w:trPr>
          <w:trHeight w:val="222"/>
        </w:trPr>
        <w:tc>
          <w:tcPr>
            <w:tcW w:w="680" w:type="dxa"/>
            <w:vAlign w:val="bottom"/>
            <w:tcBorders>
              <w:left w:val="single" w:sz="8" w:color="auto"/>
              <w:right w:val="single" w:sz="8" w:color="auto"/>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150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(File No.</w:t>
            </w:r>
          </w:p>
        </w:tc>
        <w:tc>
          <w:tcPr>
            <w:tcW w:w="780" w:type="dxa"/>
            <w:vAlign w:val="bottom"/>
            <w:tcBorders>
              <w:right w:val="single" w:sz="8" w:color="auto"/>
            </w:tcBorders>
          </w:tcPr>
          <w:p>
            <w:pPr>
              <w:spacing w:after="0"/>
              <w:rPr>
                <w:sz w:val="19"/>
                <w:szCs w:val="19"/>
                <w:color w:val="auto"/>
              </w:rPr>
            </w:pPr>
          </w:p>
        </w:tc>
      </w:tr>
      <w:tr>
        <w:trPr>
          <w:trHeight w:val="216"/>
        </w:trPr>
        <w:tc>
          <w:tcPr>
            <w:tcW w:w="680" w:type="dxa"/>
            <w:vAlign w:val="bottom"/>
            <w:tcBorders>
              <w:left w:val="single" w:sz="8" w:color="auto"/>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333-</w:t>
            </w:r>
          </w:p>
        </w:tc>
        <w:tc>
          <w:tcPr>
            <w:tcW w:w="780" w:type="dxa"/>
            <w:vAlign w:val="bottom"/>
            <w:tcBorders>
              <w:right w:val="single" w:sz="8" w:color="auto"/>
            </w:tcBorders>
          </w:tcPr>
          <w:p>
            <w:pPr>
              <w:spacing w:after="0"/>
              <w:rPr>
                <w:sz w:val="18"/>
                <w:szCs w:val="18"/>
                <w:color w:val="auto"/>
              </w:rPr>
            </w:pPr>
          </w:p>
        </w:tc>
      </w:tr>
      <w:tr>
        <w:trPr>
          <w:trHeight w:val="230"/>
        </w:trPr>
        <w:tc>
          <w:tcPr>
            <w:tcW w:w="680" w:type="dxa"/>
            <w:vAlign w:val="bottom"/>
            <w:tcBorders>
              <w:left w:val="single" w:sz="8" w:color="auto"/>
              <w:bottom w:val="single" w:sz="8" w:color="auto"/>
              <w:right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189632)</w:t>
            </w:r>
          </w:p>
        </w:tc>
        <w:tc>
          <w:tcPr>
            <w:tcW w:w="780" w:type="dxa"/>
            <w:vAlign w:val="bottom"/>
            <w:tcBorders>
              <w:bottom w:val="single" w:sz="8" w:color="auto"/>
              <w:right w:val="single" w:sz="8" w:color="auto"/>
            </w:tcBorders>
          </w:tcPr>
          <w:p>
            <w:pPr>
              <w:spacing w:after="0"/>
              <w:rPr>
                <w:sz w:val="20"/>
                <w:szCs w:val="20"/>
                <w:color w:val="auto"/>
              </w:rPr>
            </w:pPr>
          </w:p>
        </w:tc>
      </w:tr>
      <w:tr>
        <w:trPr>
          <w:trHeight w:val="169"/>
        </w:trPr>
        <w:tc>
          <w:tcPr>
            <w:tcW w:w="680" w:type="dxa"/>
            <w:vAlign w:val="bottom"/>
            <w:tcBorders>
              <w:left w:val="single" w:sz="8" w:color="auto"/>
              <w:right w:val="single" w:sz="8" w:color="auto"/>
            </w:tcBorders>
          </w:tcPr>
          <w:p>
            <w:pPr>
              <w:spacing w:after="0" w:line="170" w:lineRule="exact"/>
              <w:rPr>
                <w:sz w:val="20"/>
                <w:szCs w:val="20"/>
                <w:color w:val="auto"/>
              </w:rPr>
            </w:pPr>
            <w:r>
              <w:rPr>
                <w:rFonts w:ascii="Arial" w:cs="Arial" w:eastAsia="Arial" w:hAnsi="Arial"/>
                <w:sz w:val="18"/>
                <w:szCs w:val="18"/>
                <w:color w:val="auto"/>
              </w:rPr>
              <w:t>10.29+</w:t>
            </w:r>
          </w:p>
        </w:tc>
        <w:tc>
          <w:tcPr>
            <w:tcW w:w="5980" w:type="dxa"/>
            <w:vAlign w:val="bottom"/>
            <w:tcBorders>
              <w:bottom w:val="single" w:sz="8" w:color="0000EE"/>
            </w:tcBorders>
            <w:gridSpan w:val="17"/>
          </w:tcPr>
          <w:p>
            <w:pPr>
              <w:spacing w:after="0" w:line="170" w:lineRule="exact"/>
              <w:rPr>
                <w:rFonts w:ascii="Arial" w:cs="Arial" w:eastAsia="Arial" w:hAnsi="Arial"/>
                <w:sz w:val="18"/>
                <w:szCs w:val="18"/>
                <w:color w:val="0000EE"/>
                <w:w w:val="92"/>
              </w:rPr>
            </w:pPr>
            <w:hyperlink r:id="rId182">
              <w:r>
                <w:rPr>
                  <w:rFonts w:ascii="Arial" w:cs="Arial" w:eastAsia="Arial" w:hAnsi="Arial"/>
                  <w:sz w:val="18"/>
                  <w:szCs w:val="18"/>
                  <w:color w:val="0000EE"/>
                  <w:w w:val="92"/>
                </w:rPr>
                <w:t>Form of Non-Qualified Stock Option Agreement, pursuant to Burlington Holdings,</w:t>
              </w:r>
            </w:hyperlink>
          </w:p>
        </w:tc>
        <w:tc>
          <w:tcPr>
            <w:tcW w:w="280" w:type="dxa"/>
            <w:vAlign w:val="bottom"/>
            <w:tcBorders>
              <w:right w:val="single" w:sz="8" w:color="auto"/>
            </w:tcBorders>
            <w:gridSpan w:val="7"/>
          </w:tcPr>
          <w:p>
            <w:pPr>
              <w:spacing w:after="0"/>
              <w:rPr>
                <w:sz w:val="14"/>
                <w:szCs w:val="14"/>
                <w:color w:val="auto"/>
              </w:rPr>
            </w:pPr>
          </w:p>
        </w:tc>
        <w:tc>
          <w:tcPr>
            <w:tcW w:w="900" w:type="dxa"/>
            <w:vAlign w:val="bottom"/>
            <w:tcBorders>
              <w:right w:val="single" w:sz="8" w:color="auto"/>
            </w:tcBorders>
          </w:tcPr>
          <w:p>
            <w:pPr>
              <w:spacing w:after="0" w:line="170" w:lineRule="exact"/>
              <w:rPr>
                <w:sz w:val="20"/>
                <w:szCs w:val="20"/>
                <w:color w:val="auto"/>
              </w:rPr>
            </w:pPr>
            <w:r>
              <w:rPr>
                <w:rFonts w:ascii="Arial" w:cs="Arial" w:eastAsia="Arial" w:hAnsi="Arial"/>
                <w:sz w:val="18"/>
                <w:szCs w:val="18"/>
                <w:color w:val="auto"/>
                <w:w w:val="89"/>
              </w:rPr>
              <w:t>Registration</w:t>
            </w:r>
          </w:p>
        </w:tc>
        <w:tc>
          <w:tcPr>
            <w:tcW w:w="780" w:type="dxa"/>
            <w:vAlign w:val="bottom"/>
            <w:tcBorders>
              <w:right w:val="single" w:sz="8" w:color="auto"/>
            </w:tcBorders>
          </w:tcPr>
          <w:p>
            <w:pPr>
              <w:spacing w:after="0" w:line="170" w:lineRule="exact"/>
              <w:rPr>
                <w:sz w:val="20"/>
                <w:szCs w:val="20"/>
                <w:color w:val="auto"/>
              </w:rPr>
            </w:pPr>
            <w:r>
              <w:rPr>
                <w:rFonts w:ascii="Arial" w:cs="Arial" w:eastAsia="Arial" w:hAnsi="Arial"/>
                <w:sz w:val="18"/>
                <w:szCs w:val="18"/>
                <w:color w:val="auto"/>
                <w:w w:val="83"/>
              </w:rPr>
              <w:t>September</w:t>
            </w:r>
          </w:p>
        </w:tc>
      </w:tr>
      <w:tr>
        <w:trPr>
          <w:trHeight w:val="196"/>
        </w:trPr>
        <w:tc>
          <w:tcPr>
            <w:tcW w:w="680" w:type="dxa"/>
            <w:vAlign w:val="bottom"/>
            <w:tcBorders>
              <w:left w:val="single" w:sz="8" w:color="auto"/>
              <w:right w:val="single" w:sz="8" w:color="auto"/>
            </w:tcBorders>
          </w:tcPr>
          <w:p>
            <w:pPr>
              <w:spacing w:after="0"/>
              <w:rPr>
                <w:sz w:val="17"/>
                <w:szCs w:val="17"/>
                <w:color w:val="auto"/>
              </w:rPr>
            </w:pPr>
          </w:p>
        </w:tc>
        <w:tc>
          <w:tcPr>
            <w:tcW w:w="6260" w:type="dxa"/>
            <w:vAlign w:val="bottom"/>
            <w:tcBorders>
              <w:right w:val="single" w:sz="8" w:color="auto"/>
            </w:tcBorders>
            <w:gridSpan w:val="24"/>
          </w:tcPr>
          <w:p>
            <w:pPr>
              <w:spacing w:after="0" w:line="196" w:lineRule="exact"/>
              <w:rPr>
                <w:rFonts w:ascii="Arial" w:cs="Arial" w:eastAsia="Arial" w:hAnsi="Arial"/>
                <w:sz w:val="18"/>
                <w:szCs w:val="18"/>
                <w:color w:val="0000EE"/>
                <w:w w:val="91"/>
              </w:rPr>
            </w:pPr>
            <w:hyperlink r:id="rId182">
              <w:r>
                <w:rPr>
                  <w:rFonts w:ascii="Arial" w:cs="Arial" w:eastAsia="Arial" w:hAnsi="Arial"/>
                  <w:sz w:val="18"/>
                  <w:szCs w:val="18"/>
                  <w:color w:val="0000EE"/>
                  <w:w w:val="91"/>
                </w:rPr>
                <w:t>Inc. 2006 Management Incentive Plan (Amended and Restated June 15, 2013), dated</w:t>
              </w:r>
            </w:hyperlink>
          </w:p>
        </w:tc>
        <w:tc>
          <w:tcPr>
            <w:tcW w:w="9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Statement</w:t>
            </w:r>
          </w:p>
        </w:tc>
        <w:tc>
          <w:tcPr>
            <w:tcW w:w="78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6, 2013</w:t>
            </w:r>
          </w:p>
        </w:tc>
      </w:tr>
      <w:tr>
        <w:trPr>
          <w:trHeight w:val="196"/>
        </w:trPr>
        <w:tc>
          <w:tcPr>
            <w:tcW w:w="680" w:type="dxa"/>
            <w:vAlign w:val="bottom"/>
            <w:tcBorders>
              <w:left w:val="single" w:sz="8" w:color="auto"/>
              <w:right w:val="single" w:sz="8" w:color="auto"/>
            </w:tcBorders>
          </w:tcPr>
          <w:p>
            <w:pPr>
              <w:spacing w:after="0"/>
              <w:rPr>
                <w:sz w:val="17"/>
                <w:szCs w:val="17"/>
                <w:color w:val="auto"/>
              </w:rPr>
            </w:pPr>
          </w:p>
        </w:tc>
        <w:tc>
          <w:tcPr>
            <w:tcW w:w="6080" w:type="dxa"/>
            <w:vAlign w:val="bottom"/>
            <w:tcBorders>
              <w:top w:val="single" w:sz="8" w:color="0000EE"/>
            </w:tcBorders>
            <w:gridSpan w:val="19"/>
          </w:tcPr>
          <w:p>
            <w:pPr>
              <w:spacing w:after="0" w:line="196" w:lineRule="exact"/>
              <w:rPr>
                <w:rFonts w:ascii="Arial" w:cs="Arial" w:eastAsia="Arial" w:hAnsi="Arial"/>
                <w:sz w:val="18"/>
                <w:szCs w:val="18"/>
                <w:color w:val="0000EE"/>
                <w:w w:val="95"/>
              </w:rPr>
            </w:pPr>
            <w:hyperlink r:id="rId182">
              <w:r>
                <w:rPr>
                  <w:rFonts w:ascii="Arial" w:cs="Arial" w:eastAsia="Arial" w:hAnsi="Arial"/>
                  <w:sz w:val="18"/>
                  <w:szCs w:val="18"/>
                  <w:color w:val="0000EE"/>
                  <w:w w:val="95"/>
                </w:rPr>
                <w:t>June 17, 2013, between Burlington Holdings, Inc. and Thomas A. Kingsbury (for</w:t>
              </w:r>
            </w:hyperlink>
          </w:p>
        </w:tc>
        <w:tc>
          <w:tcPr>
            <w:tcW w:w="180" w:type="dxa"/>
            <w:vAlign w:val="bottom"/>
            <w:tcBorders>
              <w:right w:val="single" w:sz="8" w:color="auto"/>
            </w:tcBorders>
            <w:gridSpan w:val="5"/>
          </w:tcPr>
          <w:p>
            <w:pPr>
              <w:spacing w:after="0"/>
              <w:rPr>
                <w:sz w:val="17"/>
                <w:szCs w:val="17"/>
                <w:color w:val="auto"/>
              </w:rPr>
            </w:pPr>
          </w:p>
        </w:tc>
        <w:tc>
          <w:tcPr>
            <w:tcW w:w="9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w w:val="95"/>
              </w:rPr>
              <w:t>on Form S-</w:t>
            </w:r>
          </w:p>
        </w:tc>
        <w:tc>
          <w:tcPr>
            <w:tcW w:w="780" w:type="dxa"/>
            <w:vAlign w:val="bottom"/>
            <w:tcBorders>
              <w:right w:val="single" w:sz="8" w:color="auto"/>
            </w:tcBorders>
          </w:tcPr>
          <w:p>
            <w:pPr>
              <w:spacing w:after="0"/>
              <w:rPr>
                <w:sz w:val="17"/>
                <w:szCs w:val="17"/>
                <w:color w:val="auto"/>
              </w:rPr>
            </w:pPr>
          </w:p>
        </w:tc>
      </w:tr>
      <w:tr>
        <w:trPr>
          <w:trHeight w:val="196"/>
        </w:trPr>
        <w:tc>
          <w:tcPr>
            <w:tcW w:w="680" w:type="dxa"/>
            <w:vAlign w:val="bottom"/>
            <w:tcBorders>
              <w:left w:val="single" w:sz="8" w:color="auto"/>
              <w:right w:val="single" w:sz="8" w:color="auto"/>
            </w:tcBorders>
          </w:tcPr>
          <w:p>
            <w:pPr>
              <w:spacing w:after="0"/>
              <w:rPr>
                <w:sz w:val="17"/>
                <w:szCs w:val="17"/>
                <w:color w:val="auto"/>
              </w:rPr>
            </w:pPr>
          </w:p>
        </w:tc>
        <w:tc>
          <w:tcPr>
            <w:tcW w:w="584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r:id="rId182">
              <w:r>
                <w:rPr>
                  <w:rFonts w:ascii="Arial" w:cs="Arial" w:eastAsia="Arial" w:hAnsi="Arial"/>
                  <w:sz w:val="18"/>
                  <w:szCs w:val="18"/>
                  <w:color w:val="0000EE"/>
                </w:rPr>
                <w:t>2013 special one-time grant).</w:t>
              </w:r>
            </w:hyperlink>
          </w:p>
        </w:tc>
        <w:tc>
          <w:tcPr>
            <w:tcW w:w="420" w:type="dxa"/>
            <w:vAlign w:val="bottom"/>
            <w:tcBorders>
              <w:right w:val="single" w:sz="8" w:color="auto"/>
            </w:tcBorders>
            <w:gridSpan w:val="10"/>
          </w:tcPr>
          <w:p>
            <w:pPr>
              <w:spacing w:after="0"/>
              <w:rPr>
                <w:sz w:val="17"/>
                <w:szCs w:val="17"/>
                <w:color w:val="auto"/>
              </w:rPr>
            </w:pPr>
          </w:p>
        </w:tc>
        <w:tc>
          <w:tcPr>
            <w:tcW w:w="9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1/A</w:t>
            </w:r>
          </w:p>
        </w:tc>
        <w:tc>
          <w:tcPr>
            <w:tcW w:w="780" w:type="dxa"/>
            <w:vAlign w:val="bottom"/>
            <w:tcBorders>
              <w:right w:val="single" w:sz="8" w:color="auto"/>
            </w:tcBorders>
          </w:tcPr>
          <w:p>
            <w:pPr>
              <w:spacing w:after="0"/>
              <w:rPr>
                <w:sz w:val="17"/>
                <w:szCs w:val="17"/>
                <w:color w:val="auto"/>
              </w:rPr>
            </w:pPr>
          </w:p>
        </w:tc>
      </w:tr>
      <w:tr>
        <w:trPr>
          <w:trHeight w:val="222"/>
        </w:trPr>
        <w:tc>
          <w:tcPr>
            <w:tcW w:w="680" w:type="dxa"/>
            <w:vAlign w:val="bottom"/>
            <w:tcBorders>
              <w:left w:val="single" w:sz="8" w:color="auto"/>
              <w:right w:val="single" w:sz="8" w:color="auto"/>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150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(File No.</w:t>
            </w:r>
          </w:p>
        </w:tc>
        <w:tc>
          <w:tcPr>
            <w:tcW w:w="780" w:type="dxa"/>
            <w:vAlign w:val="bottom"/>
            <w:tcBorders>
              <w:right w:val="single" w:sz="8" w:color="auto"/>
            </w:tcBorders>
          </w:tcPr>
          <w:p>
            <w:pPr>
              <w:spacing w:after="0"/>
              <w:rPr>
                <w:sz w:val="19"/>
                <w:szCs w:val="19"/>
                <w:color w:val="auto"/>
              </w:rPr>
            </w:pPr>
          </w:p>
        </w:tc>
      </w:tr>
      <w:tr>
        <w:trPr>
          <w:trHeight w:val="216"/>
        </w:trPr>
        <w:tc>
          <w:tcPr>
            <w:tcW w:w="680" w:type="dxa"/>
            <w:vAlign w:val="bottom"/>
            <w:tcBorders>
              <w:left w:val="single" w:sz="8" w:color="auto"/>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333-</w:t>
            </w:r>
          </w:p>
        </w:tc>
        <w:tc>
          <w:tcPr>
            <w:tcW w:w="780" w:type="dxa"/>
            <w:vAlign w:val="bottom"/>
            <w:tcBorders>
              <w:right w:val="single" w:sz="8" w:color="auto"/>
            </w:tcBorders>
          </w:tcPr>
          <w:p>
            <w:pPr>
              <w:spacing w:after="0"/>
              <w:rPr>
                <w:sz w:val="18"/>
                <w:szCs w:val="18"/>
                <w:color w:val="auto"/>
              </w:rPr>
            </w:pPr>
          </w:p>
        </w:tc>
      </w:tr>
      <w:tr>
        <w:trPr>
          <w:trHeight w:val="230"/>
        </w:trPr>
        <w:tc>
          <w:tcPr>
            <w:tcW w:w="680" w:type="dxa"/>
            <w:vAlign w:val="bottom"/>
            <w:tcBorders>
              <w:left w:val="single" w:sz="8" w:color="auto"/>
              <w:bottom w:val="single" w:sz="8" w:color="auto"/>
              <w:right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189632)</w:t>
            </w:r>
          </w:p>
        </w:tc>
        <w:tc>
          <w:tcPr>
            <w:tcW w:w="780" w:type="dxa"/>
            <w:vAlign w:val="bottom"/>
            <w:tcBorders>
              <w:bottom w:val="single" w:sz="8" w:color="auto"/>
              <w:right w:val="single" w:sz="8" w:color="auto"/>
            </w:tcBorders>
          </w:tcPr>
          <w:p>
            <w:pPr>
              <w:spacing w:after="0"/>
              <w:rPr>
                <w:sz w:val="20"/>
                <w:szCs w:val="20"/>
                <w:color w:val="auto"/>
              </w:rPr>
            </w:pPr>
          </w:p>
        </w:tc>
      </w:tr>
      <w:tr>
        <w:trPr>
          <w:trHeight w:val="169"/>
        </w:trPr>
        <w:tc>
          <w:tcPr>
            <w:tcW w:w="680" w:type="dxa"/>
            <w:vAlign w:val="bottom"/>
            <w:tcBorders>
              <w:left w:val="single" w:sz="8" w:color="auto"/>
              <w:right w:val="single" w:sz="8" w:color="auto"/>
            </w:tcBorders>
          </w:tcPr>
          <w:p>
            <w:pPr>
              <w:spacing w:after="0" w:line="170" w:lineRule="exact"/>
              <w:rPr>
                <w:sz w:val="20"/>
                <w:szCs w:val="20"/>
                <w:color w:val="auto"/>
              </w:rPr>
            </w:pPr>
            <w:r>
              <w:rPr>
                <w:rFonts w:ascii="Arial" w:cs="Arial" w:eastAsia="Arial" w:hAnsi="Arial"/>
                <w:sz w:val="18"/>
                <w:szCs w:val="18"/>
                <w:color w:val="auto"/>
              </w:rPr>
              <w:t>10.30+</w:t>
            </w:r>
          </w:p>
        </w:tc>
        <w:tc>
          <w:tcPr>
            <w:tcW w:w="6260" w:type="dxa"/>
            <w:vAlign w:val="bottom"/>
            <w:tcBorders>
              <w:right w:val="single" w:sz="8" w:color="auto"/>
            </w:tcBorders>
            <w:gridSpan w:val="24"/>
          </w:tcPr>
          <w:p>
            <w:pPr>
              <w:spacing w:after="0" w:line="170" w:lineRule="exact"/>
              <w:rPr>
                <w:rFonts w:ascii="Arial" w:cs="Arial" w:eastAsia="Arial" w:hAnsi="Arial"/>
                <w:sz w:val="18"/>
                <w:szCs w:val="18"/>
                <w:color w:val="0000EE"/>
                <w:w w:val="98"/>
              </w:rPr>
            </w:pPr>
            <w:hyperlink r:id="rId183">
              <w:r>
                <w:rPr>
                  <w:rFonts w:ascii="Arial" w:cs="Arial" w:eastAsia="Arial" w:hAnsi="Arial"/>
                  <w:sz w:val="18"/>
                  <w:szCs w:val="18"/>
                  <w:color w:val="0000EE"/>
                  <w:w w:val="98"/>
                </w:rPr>
                <w:t>Restricted Stock Grant Agreement between Burlington Stores, Inc. and Thomas</w:t>
              </w:r>
            </w:hyperlink>
          </w:p>
        </w:tc>
        <w:tc>
          <w:tcPr>
            <w:tcW w:w="900" w:type="dxa"/>
            <w:vAlign w:val="bottom"/>
            <w:tcBorders>
              <w:right w:val="single" w:sz="8" w:color="auto"/>
            </w:tcBorders>
          </w:tcPr>
          <w:p>
            <w:pPr>
              <w:spacing w:after="0" w:line="170" w:lineRule="exact"/>
              <w:rPr>
                <w:sz w:val="20"/>
                <w:szCs w:val="20"/>
                <w:color w:val="auto"/>
              </w:rPr>
            </w:pPr>
            <w:r>
              <w:rPr>
                <w:rFonts w:ascii="Arial" w:cs="Arial" w:eastAsia="Arial" w:hAnsi="Arial"/>
                <w:sz w:val="18"/>
                <w:szCs w:val="18"/>
                <w:color w:val="auto"/>
              </w:rPr>
              <w:t>Annual</w:t>
            </w:r>
          </w:p>
        </w:tc>
        <w:tc>
          <w:tcPr>
            <w:tcW w:w="780" w:type="dxa"/>
            <w:vAlign w:val="bottom"/>
            <w:tcBorders>
              <w:right w:val="single" w:sz="8" w:color="auto"/>
            </w:tcBorders>
          </w:tcPr>
          <w:p>
            <w:pPr>
              <w:spacing w:after="0" w:line="170" w:lineRule="exact"/>
              <w:rPr>
                <w:sz w:val="20"/>
                <w:szCs w:val="20"/>
                <w:color w:val="auto"/>
              </w:rPr>
            </w:pPr>
            <w:r>
              <w:rPr>
                <w:rFonts w:ascii="Arial" w:cs="Arial" w:eastAsia="Arial" w:hAnsi="Arial"/>
                <w:sz w:val="18"/>
                <w:szCs w:val="18"/>
                <w:color w:val="auto"/>
                <w:w w:val="92"/>
              </w:rPr>
              <w:t>March 25,</w:t>
            </w:r>
          </w:p>
        </w:tc>
      </w:tr>
      <w:tr>
        <w:trPr>
          <w:trHeight w:val="196"/>
        </w:trPr>
        <w:tc>
          <w:tcPr>
            <w:tcW w:w="680" w:type="dxa"/>
            <w:vAlign w:val="bottom"/>
            <w:tcBorders>
              <w:left w:val="single" w:sz="8" w:color="auto"/>
              <w:right w:val="single" w:sz="8" w:color="auto"/>
            </w:tcBorders>
          </w:tcPr>
          <w:p>
            <w:pPr>
              <w:spacing w:after="0"/>
              <w:rPr>
                <w:sz w:val="17"/>
                <w:szCs w:val="17"/>
                <w:color w:val="auto"/>
              </w:rPr>
            </w:pPr>
          </w:p>
        </w:tc>
        <w:tc>
          <w:tcPr>
            <w:tcW w:w="572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r:id="rId183">
              <w:r>
                <w:rPr>
                  <w:rFonts w:ascii="Arial" w:cs="Arial" w:eastAsia="Arial" w:hAnsi="Arial"/>
                  <w:sz w:val="18"/>
                  <w:szCs w:val="18"/>
                  <w:color w:val="0000EE"/>
                </w:rPr>
                <w:t>Kingsbury, dated December 15, 2014.</w:t>
              </w:r>
            </w:hyperlink>
          </w:p>
        </w:tc>
        <w:tc>
          <w:tcPr>
            <w:tcW w:w="540" w:type="dxa"/>
            <w:vAlign w:val="bottom"/>
            <w:tcBorders>
              <w:right w:val="single" w:sz="8" w:color="auto"/>
            </w:tcBorders>
            <w:gridSpan w:val="11"/>
          </w:tcPr>
          <w:p>
            <w:pPr>
              <w:spacing w:after="0"/>
              <w:rPr>
                <w:sz w:val="17"/>
                <w:szCs w:val="17"/>
                <w:color w:val="auto"/>
              </w:rPr>
            </w:pPr>
          </w:p>
        </w:tc>
        <w:tc>
          <w:tcPr>
            <w:tcW w:w="9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Report on</w:t>
            </w:r>
          </w:p>
        </w:tc>
        <w:tc>
          <w:tcPr>
            <w:tcW w:w="78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2015</w:t>
            </w:r>
          </w:p>
        </w:tc>
      </w:tr>
      <w:tr>
        <w:trPr>
          <w:trHeight w:val="222"/>
        </w:trPr>
        <w:tc>
          <w:tcPr>
            <w:tcW w:w="680" w:type="dxa"/>
            <w:vAlign w:val="bottom"/>
            <w:tcBorders>
              <w:left w:val="single" w:sz="8" w:color="auto"/>
              <w:right w:val="single" w:sz="8" w:color="auto"/>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150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Form 10-K</w:t>
            </w:r>
          </w:p>
        </w:tc>
        <w:tc>
          <w:tcPr>
            <w:tcW w:w="780" w:type="dxa"/>
            <w:vAlign w:val="bottom"/>
            <w:tcBorders>
              <w:right w:val="single" w:sz="8" w:color="auto"/>
            </w:tcBorders>
          </w:tcPr>
          <w:p>
            <w:pPr>
              <w:spacing w:after="0"/>
              <w:rPr>
                <w:sz w:val="19"/>
                <w:szCs w:val="19"/>
                <w:color w:val="auto"/>
              </w:rPr>
            </w:pPr>
          </w:p>
        </w:tc>
      </w:tr>
      <w:tr>
        <w:trPr>
          <w:trHeight w:val="216"/>
        </w:trPr>
        <w:tc>
          <w:tcPr>
            <w:tcW w:w="680" w:type="dxa"/>
            <w:vAlign w:val="bottom"/>
            <w:tcBorders>
              <w:left w:val="single" w:sz="8" w:color="auto"/>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(File No.</w:t>
            </w:r>
          </w:p>
        </w:tc>
        <w:tc>
          <w:tcPr>
            <w:tcW w:w="780" w:type="dxa"/>
            <w:vAlign w:val="bottom"/>
            <w:tcBorders>
              <w:right w:val="single" w:sz="8" w:color="auto"/>
            </w:tcBorders>
          </w:tcPr>
          <w:p>
            <w:pPr>
              <w:spacing w:after="0"/>
              <w:rPr>
                <w:sz w:val="18"/>
                <w:szCs w:val="18"/>
                <w:color w:val="auto"/>
              </w:rPr>
            </w:pPr>
          </w:p>
        </w:tc>
      </w:tr>
      <w:tr>
        <w:trPr>
          <w:trHeight w:val="230"/>
        </w:trPr>
        <w:tc>
          <w:tcPr>
            <w:tcW w:w="680" w:type="dxa"/>
            <w:vAlign w:val="bottom"/>
            <w:tcBorders>
              <w:left w:val="single" w:sz="8" w:color="auto"/>
              <w:bottom w:val="single" w:sz="8" w:color="auto"/>
              <w:right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w w:val="93"/>
              </w:rPr>
              <w:t>001-36107)</w:t>
            </w:r>
          </w:p>
        </w:tc>
        <w:tc>
          <w:tcPr>
            <w:tcW w:w="780" w:type="dxa"/>
            <w:vAlign w:val="bottom"/>
            <w:tcBorders>
              <w:bottom w:val="single" w:sz="8" w:color="auto"/>
              <w:right w:val="single" w:sz="8" w:color="auto"/>
            </w:tcBorders>
          </w:tcPr>
          <w:p>
            <w:pPr>
              <w:spacing w:after="0"/>
              <w:rPr>
                <w:sz w:val="20"/>
                <w:szCs w:val="20"/>
                <w:color w:val="auto"/>
              </w:rPr>
            </w:pPr>
          </w:p>
        </w:tc>
      </w:tr>
      <w:tr>
        <w:trPr>
          <w:trHeight w:val="169"/>
        </w:trPr>
        <w:tc>
          <w:tcPr>
            <w:tcW w:w="680" w:type="dxa"/>
            <w:vAlign w:val="bottom"/>
            <w:tcBorders>
              <w:left w:val="single" w:sz="8" w:color="auto"/>
              <w:right w:val="single" w:sz="8" w:color="auto"/>
            </w:tcBorders>
          </w:tcPr>
          <w:p>
            <w:pPr>
              <w:spacing w:after="0" w:line="170" w:lineRule="exact"/>
              <w:rPr>
                <w:sz w:val="20"/>
                <w:szCs w:val="20"/>
                <w:color w:val="auto"/>
              </w:rPr>
            </w:pPr>
            <w:r>
              <w:rPr>
                <w:rFonts w:ascii="Arial" w:cs="Arial" w:eastAsia="Arial" w:hAnsi="Arial"/>
                <w:sz w:val="18"/>
                <w:szCs w:val="18"/>
                <w:color w:val="auto"/>
              </w:rPr>
              <w:t>10.31+</w:t>
            </w:r>
          </w:p>
        </w:tc>
        <w:tc>
          <w:tcPr>
            <w:tcW w:w="6260" w:type="dxa"/>
            <w:vAlign w:val="bottom"/>
            <w:tcBorders>
              <w:right w:val="single" w:sz="8" w:color="auto"/>
            </w:tcBorders>
            <w:gridSpan w:val="24"/>
          </w:tcPr>
          <w:p>
            <w:pPr>
              <w:spacing w:after="0" w:line="170" w:lineRule="exact"/>
              <w:rPr>
                <w:rFonts w:ascii="Arial" w:cs="Arial" w:eastAsia="Arial" w:hAnsi="Arial"/>
                <w:sz w:val="18"/>
                <w:szCs w:val="18"/>
                <w:color w:val="0000EE"/>
                <w:w w:val="90"/>
              </w:rPr>
            </w:pPr>
            <w:hyperlink r:id="rId184">
              <w:r>
                <w:rPr>
                  <w:rFonts w:ascii="Arial" w:cs="Arial" w:eastAsia="Arial" w:hAnsi="Arial"/>
                  <w:sz w:val="18"/>
                  <w:szCs w:val="18"/>
                  <w:color w:val="0000EE"/>
                  <w:w w:val="90"/>
                </w:rPr>
                <w:t>Form of Restricted Stock Agreement between Burlington Stores, Inc. and Independent</w:t>
              </w:r>
            </w:hyperlink>
          </w:p>
        </w:tc>
        <w:tc>
          <w:tcPr>
            <w:tcW w:w="900" w:type="dxa"/>
            <w:vAlign w:val="bottom"/>
            <w:tcBorders>
              <w:right w:val="single" w:sz="8" w:color="auto"/>
            </w:tcBorders>
          </w:tcPr>
          <w:p>
            <w:pPr>
              <w:spacing w:after="0" w:line="170" w:lineRule="exact"/>
              <w:rPr>
                <w:sz w:val="20"/>
                <w:szCs w:val="20"/>
                <w:color w:val="auto"/>
              </w:rPr>
            </w:pPr>
            <w:r>
              <w:rPr>
                <w:rFonts w:ascii="Arial" w:cs="Arial" w:eastAsia="Arial" w:hAnsi="Arial"/>
                <w:sz w:val="18"/>
                <w:szCs w:val="18"/>
                <w:color w:val="auto"/>
              </w:rPr>
              <w:t>Annual</w:t>
            </w:r>
          </w:p>
        </w:tc>
        <w:tc>
          <w:tcPr>
            <w:tcW w:w="780" w:type="dxa"/>
            <w:vAlign w:val="bottom"/>
            <w:tcBorders>
              <w:right w:val="single" w:sz="8" w:color="auto"/>
            </w:tcBorders>
          </w:tcPr>
          <w:p>
            <w:pPr>
              <w:spacing w:after="0" w:line="170" w:lineRule="exact"/>
              <w:rPr>
                <w:sz w:val="20"/>
                <w:szCs w:val="20"/>
                <w:color w:val="auto"/>
              </w:rPr>
            </w:pPr>
            <w:r>
              <w:rPr>
                <w:rFonts w:ascii="Arial" w:cs="Arial" w:eastAsia="Arial" w:hAnsi="Arial"/>
                <w:sz w:val="18"/>
                <w:szCs w:val="18"/>
                <w:color w:val="auto"/>
                <w:w w:val="92"/>
              </w:rPr>
              <w:t>March 25,</w:t>
            </w:r>
          </w:p>
        </w:tc>
      </w:tr>
      <w:tr>
        <w:trPr>
          <w:trHeight w:val="196"/>
        </w:trPr>
        <w:tc>
          <w:tcPr>
            <w:tcW w:w="680" w:type="dxa"/>
            <w:vAlign w:val="bottom"/>
            <w:tcBorders>
              <w:left w:val="single" w:sz="8" w:color="auto"/>
              <w:right w:val="single" w:sz="8" w:color="auto"/>
            </w:tcBorders>
          </w:tcPr>
          <w:p>
            <w:pPr>
              <w:spacing w:after="0"/>
              <w:rPr>
                <w:sz w:val="17"/>
                <w:szCs w:val="17"/>
                <w:color w:val="auto"/>
              </w:rPr>
            </w:pPr>
          </w:p>
        </w:tc>
        <w:tc>
          <w:tcPr>
            <w:tcW w:w="6200" w:type="dxa"/>
            <w:vAlign w:val="bottom"/>
            <w:tcBorders>
              <w:top w:val="single" w:sz="8" w:color="0000EE"/>
            </w:tcBorders>
            <w:gridSpan w:val="23"/>
          </w:tcPr>
          <w:p>
            <w:pPr>
              <w:spacing w:after="0" w:line="196" w:lineRule="exact"/>
              <w:rPr>
                <w:rFonts w:ascii="Arial" w:cs="Arial" w:eastAsia="Arial" w:hAnsi="Arial"/>
                <w:sz w:val="18"/>
                <w:szCs w:val="18"/>
                <w:color w:val="0000EE"/>
                <w:w w:val="95"/>
              </w:rPr>
            </w:pPr>
            <w:hyperlink r:id="rId184">
              <w:r>
                <w:rPr>
                  <w:rFonts w:ascii="Arial" w:cs="Arial" w:eastAsia="Arial" w:hAnsi="Arial"/>
                  <w:sz w:val="18"/>
                  <w:szCs w:val="18"/>
                  <w:color w:val="0000EE"/>
                  <w:w w:val="95"/>
                </w:rPr>
                <w:t>Directors pursuant to Burlington Holdings, Inc. 2006 Management Incentive Plan.</w:t>
              </w:r>
            </w:hyperlink>
          </w:p>
        </w:tc>
        <w:tc>
          <w:tcPr>
            <w:tcW w:w="6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Report on</w:t>
            </w:r>
          </w:p>
        </w:tc>
        <w:tc>
          <w:tcPr>
            <w:tcW w:w="78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2015</w:t>
            </w:r>
          </w:p>
        </w:tc>
      </w:tr>
      <w:tr>
        <w:trPr>
          <w:trHeight w:val="222"/>
        </w:trPr>
        <w:tc>
          <w:tcPr>
            <w:tcW w:w="680" w:type="dxa"/>
            <w:vAlign w:val="bottom"/>
            <w:tcBorders>
              <w:left w:val="single" w:sz="8" w:color="auto"/>
              <w:right w:val="single" w:sz="8" w:color="auto"/>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150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88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136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Form 10-K</w:t>
            </w:r>
          </w:p>
        </w:tc>
        <w:tc>
          <w:tcPr>
            <w:tcW w:w="780" w:type="dxa"/>
            <w:vAlign w:val="bottom"/>
            <w:tcBorders>
              <w:right w:val="single" w:sz="8" w:color="auto"/>
            </w:tcBorders>
          </w:tcPr>
          <w:p>
            <w:pPr>
              <w:spacing w:after="0"/>
              <w:rPr>
                <w:sz w:val="19"/>
                <w:szCs w:val="19"/>
                <w:color w:val="auto"/>
              </w:rPr>
            </w:pPr>
          </w:p>
        </w:tc>
      </w:tr>
      <w:tr>
        <w:trPr>
          <w:trHeight w:val="216"/>
        </w:trPr>
        <w:tc>
          <w:tcPr>
            <w:tcW w:w="680" w:type="dxa"/>
            <w:vAlign w:val="bottom"/>
            <w:tcBorders>
              <w:left w:val="single" w:sz="8" w:color="auto"/>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(File No.</w:t>
            </w:r>
          </w:p>
        </w:tc>
        <w:tc>
          <w:tcPr>
            <w:tcW w:w="780" w:type="dxa"/>
            <w:vAlign w:val="bottom"/>
            <w:tcBorders>
              <w:right w:val="single" w:sz="8" w:color="auto"/>
            </w:tcBorders>
          </w:tcPr>
          <w:p>
            <w:pPr>
              <w:spacing w:after="0"/>
              <w:rPr>
                <w:sz w:val="18"/>
                <w:szCs w:val="18"/>
                <w:color w:val="auto"/>
              </w:rPr>
            </w:pPr>
          </w:p>
        </w:tc>
      </w:tr>
      <w:tr>
        <w:trPr>
          <w:trHeight w:val="230"/>
        </w:trPr>
        <w:tc>
          <w:tcPr>
            <w:tcW w:w="680" w:type="dxa"/>
            <w:vAlign w:val="bottom"/>
            <w:tcBorders>
              <w:left w:val="single" w:sz="8" w:color="auto"/>
              <w:bottom w:val="single" w:sz="8" w:color="auto"/>
              <w:right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w w:val="93"/>
              </w:rPr>
              <w:t>001-36107)</w:t>
            </w:r>
          </w:p>
        </w:tc>
        <w:tc>
          <w:tcPr>
            <w:tcW w:w="780" w:type="dxa"/>
            <w:vAlign w:val="bottom"/>
            <w:tcBorders>
              <w:bottom w:val="single" w:sz="8" w:color="auto"/>
              <w:right w:val="single" w:sz="8" w:color="auto"/>
            </w:tcBorders>
          </w:tcPr>
          <w:p>
            <w:pPr>
              <w:spacing w:after="0"/>
              <w:rPr>
                <w:sz w:val="20"/>
                <w:szCs w:val="20"/>
                <w:color w:val="auto"/>
              </w:rPr>
            </w:pPr>
          </w:p>
        </w:tc>
      </w:tr>
      <w:tr>
        <w:trPr>
          <w:trHeight w:val="169"/>
        </w:trPr>
        <w:tc>
          <w:tcPr>
            <w:tcW w:w="680" w:type="dxa"/>
            <w:vAlign w:val="bottom"/>
            <w:tcBorders>
              <w:left w:val="single" w:sz="8" w:color="auto"/>
              <w:right w:val="single" w:sz="8" w:color="auto"/>
            </w:tcBorders>
          </w:tcPr>
          <w:p>
            <w:pPr>
              <w:spacing w:after="0" w:line="170" w:lineRule="exact"/>
              <w:rPr>
                <w:sz w:val="20"/>
                <w:szCs w:val="20"/>
                <w:color w:val="auto"/>
              </w:rPr>
            </w:pPr>
            <w:r>
              <w:rPr>
                <w:rFonts w:ascii="Arial" w:cs="Arial" w:eastAsia="Arial" w:hAnsi="Arial"/>
                <w:sz w:val="18"/>
                <w:szCs w:val="18"/>
                <w:color w:val="auto"/>
              </w:rPr>
              <w:t>10.32+</w:t>
            </w:r>
          </w:p>
        </w:tc>
        <w:tc>
          <w:tcPr>
            <w:tcW w:w="6260" w:type="dxa"/>
            <w:vAlign w:val="bottom"/>
            <w:tcBorders>
              <w:right w:val="single" w:sz="8" w:color="auto"/>
            </w:tcBorders>
            <w:gridSpan w:val="24"/>
          </w:tcPr>
          <w:p>
            <w:pPr>
              <w:spacing w:after="0" w:line="170" w:lineRule="exact"/>
              <w:rPr>
                <w:rFonts w:ascii="Arial" w:cs="Arial" w:eastAsia="Arial" w:hAnsi="Arial"/>
                <w:sz w:val="18"/>
                <w:szCs w:val="18"/>
                <w:color w:val="0000EE"/>
                <w:w w:val="90"/>
              </w:rPr>
            </w:pPr>
            <w:hyperlink r:id="rId185">
              <w:r>
                <w:rPr>
                  <w:rFonts w:ascii="Arial" w:cs="Arial" w:eastAsia="Arial" w:hAnsi="Arial"/>
                  <w:sz w:val="18"/>
                  <w:szCs w:val="18"/>
                  <w:color w:val="0000EE"/>
                  <w:w w:val="90"/>
                </w:rPr>
                <w:t>Form of Restricted Stock Agreement between Burlington Stores, Inc. and Independent</w:t>
              </w:r>
            </w:hyperlink>
          </w:p>
        </w:tc>
        <w:tc>
          <w:tcPr>
            <w:tcW w:w="900" w:type="dxa"/>
            <w:vAlign w:val="bottom"/>
            <w:tcBorders>
              <w:right w:val="single" w:sz="8" w:color="auto"/>
            </w:tcBorders>
          </w:tcPr>
          <w:p>
            <w:pPr>
              <w:spacing w:after="0" w:line="170" w:lineRule="exact"/>
              <w:rPr>
                <w:sz w:val="20"/>
                <w:szCs w:val="20"/>
                <w:color w:val="auto"/>
              </w:rPr>
            </w:pPr>
            <w:r>
              <w:rPr>
                <w:rFonts w:ascii="Arial" w:cs="Arial" w:eastAsia="Arial" w:hAnsi="Arial"/>
                <w:sz w:val="18"/>
                <w:szCs w:val="18"/>
                <w:color w:val="auto"/>
              </w:rPr>
              <w:t>Quarterly</w:t>
            </w:r>
          </w:p>
        </w:tc>
        <w:tc>
          <w:tcPr>
            <w:tcW w:w="780" w:type="dxa"/>
            <w:vAlign w:val="bottom"/>
            <w:tcBorders>
              <w:right w:val="single" w:sz="8" w:color="auto"/>
            </w:tcBorders>
          </w:tcPr>
          <w:p>
            <w:pPr>
              <w:spacing w:after="0" w:line="170" w:lineRule="exact"/>
              <w:rPr>
                <w:sz w:val="20"/>
                <w:szCs w:val="20"/>
                <w:color w:val="auto"/>
              </w:rPr>
            </w:pPr>
            <w:r>
              <w:rPr>
                <w:rFonts w:ascii="Arial" w:cs="Arial" w:eastAsia="Arial" w:hAnsi="Arial"/>
                <w:sz w:val="18"/>
                <w:szCs w:val="18"/>
                <w:color w:val="auto"/>
              </w:rPr>
              <w:t>May 26,</w:t>
            </w:r>
          </w:p>
        </w:tc>
      </w:tr>
      <w:tr>
        <w:trPr>
          <w:trHeight w:val="196"/>
        </w:trPr>
        <w:tc>
          <w:tcPr>
            <w:tcW w:w="680" w:type="dxa"/>
            <w:vAlign w:val="bottom"/>
            <w:tcBorders>
              <w:left w:val="single" w:sz="8" w:color="auto"/>
              <w:right w:val="single" w:sz="8" w:color="auto"/>
            </w:tcBorders>
          </w:tcPr>
          <w:p>
            <w:pPr>
              <w:spacing w:after="0"/>
              <w:rPr>
                <w:sz w:val="17"/>
                <w:szCs w:val="17"/>
                <w:color w:val="auto"/>
              </w:rPr>
            </w:pPr>
          </w:p>
        </w:tc>
        <w:tc>
          <w:tcPr>
            <w:tcW w:w="6180" w:type="dxa"/>
            <w:vAlign w:val="bottom"/>
            <w:tcBorders>
              <w:top w:val="single" w:sz="8" w:color="0000EE"/>
              <w:bottom w:val="single" w:sz="8" w:color="0000EE"/>
            </w:tcBorders>
            <w:gridSpan w:val="22"/>
          </w:tcPr>
          <w:p>
            <w:pPr>
              <w:spacing w:after="0" w:line="196" w:lineRule="exact"/>
              <w:rPr>
                <w:rFonts w:ascii="Arial" w:cs="Arial" w:eastAsia="Arial" w:hAnsi="Arial"/>
                <w:sz w:val="18"/>
                <w:szCs w:val="18"/>
                <w:color w:val="0000EE"/>
                <w:w w:val="91"/>
              </w:rPr>
            </w:pPr>
            <w:hyperlink r:id="rId185">
              <w:r>
                <w:rPr>
                  <w:rFonts w:ascii="Arial" w:cs="Arial" w:eastAsia="Arial" w:hAnsi="Arial"/>
                  <w:sz w:val="18"/>
                  <w:szCs w:val="18"/>
                  <w:color w:val="0000EE"/>
                  <w:w w:val="91"/>
                </w:rPr>
                <w:t>Directors pursuant to Burlington Stores, Inc. 2013 Omnibus Incentive Plan (for grants</w:t>
              </w:r>
            </w:hyperlink>
          </w:p>
        </w:tc>
        <w:tc>
          <w:tcPr>
            <w:tcW w:w="20" w:type="dxa"/>
            <w:vAlign w:val="bottom"/>
            <w:tcBorders>
              <w:top w:val="single" w:sz="8" w:color="0000EE"/>
            </w:tcBorders>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Report on</w:t>
            </w:r>
          </w:p>
        </w:tc>
        <w:tc>
          <w:tcPr>
            <w:tcW w:w="78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2016</w:t>
            </w:r>
          </w:p>
        </w:tc>
      </w:tr>
      <w:tr>
        <w:trPr>
          <w:trHeight w:val="196"/>
        </w:trPr>
        <w:tc>
          <w:tcPr>
            <w:tcW w:w="680" w:type="dxa"/>
            <w:vAlign w:val="bottom"/>
            <w:tcBorders>
              <w:left w:val="single" w:sz="8" w:color="auto"/>
              <w:right w:val="single" w:sz="8" w:color="auto"/>
            </w:tcBorders>
          </w:tcPr>
          <w:p>
            <w:pPr>
              <w:spacing w:after="0"/>
              <w:rPr>
                <w:sz w:val="17"/>
                <w:szCs w:val="17"/>
                <w:color w:val="auto"/>
              </w:rPr>
            </w:pPr>
          </w:p>
        </w:tc>
        <w:tc>
          <w:tcPr>
            <w:tcW w:w="6260" w:type="dxa"/>
            <w:vAlign w:val="bottom"/>
            <w:tcBorders>
              <w:right w:val="single" w:sz="8" w:color="auto"/>
            </w:tcBorders>
            <w:gridSpan w:val="24"/>
          </w:tcPr>
          <w:p>
            <w:pPr>
              <w:spacing w:after="0" w:line="196" w:lineRule="exact"/>
              <w:rPr>
                <w:rFonts w:ascii="Arial" w:cs="Arial" w:eastAsia="Arial" w:hAnsi="Arial"/>
                <w:sz w:val="18"/>
                <w:szCs w:val="18"/>
                <w:color w:val="0000EE"/>
              </w:rPr>
            </w:pPr>
            <w:hyperlink r:id="rId185">
              <w:r>
                <w:rPr>
                  <w:rFonts w:ascii="Arial" w:cs="Arial" w:eastAsia="Arial" w:hAnsi="Arial"/>
                  <w:sz w:val="18"/>
                  <w:szCs w:val="18"/>
                  <w:color w:val="0000EE"/>
                </w:rPr>
                <w:t>made prior to May 2017).</w:t>
              </w:r>
            </w:hyperlink>
          </w:p>
        </w:tc>
        <w:tc>
          <w:tcPr>
            <w:tcW w:w="9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w w:val="98"/>
              </w:rPr>
              <w:t>Form 10-Q</w:t>
            </w:r>
          </w:p>
        </w:tc>
        <w:tc>
          <w:tcPr>
            <w:tcW w:w="780" w:type="dxa"/>
            <w:vAlign w:val="bottom"/>
            <w:tcBorders>
              <w:right w:val="single" w:sz="8" w:color="auto"/>
            </w:tcBorders>
          </w:tcPr>
          <w:p>
            <w:pPr>
              <w:spacing w:after="0"/>
              <w:rPr>
                <w:sz w:val="17"/>
                <w:szCs w:val="17"/>
                <w:color w:val="auto"/>
              </w:rPr>
            </w:pPr>
          </w:p>
        </w:tc>
      </w:tr>
      <w:tr>
        <w:trPr>
          <w:trHeight w:val="222"/>
        </w:trPr>
        <w:tc>
          <w:tcPr>
            <w:tcW w:w="680" w:type="dxa"/>
            <w:vAlign w:val="bottom"/>
            <w:tcBorders>
              <w:left w:val="single" w:sz="8" w:color="auto"/>
              <w:right w:val="single" w:sz="8" w:color="auto"/>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1500" w:type="dxa"/>
            <w:vAlign w:val="bottom"/>
            <w:tcBorders>
              <w:top w:val="single" w:sz="8" w:color="0000EE"/>
            </w:tcBorders>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(File No.</w:t>
            </w:r>
          </w:p>
        </w:tc>
        <w:tc>
          <w:tcPr>
            <w:tcW w:w="780" w:type="dxa"/>
            <w:vAlign w:val="bottom"/>
            <w:tcBorders>
              <w:right w:val="single" w:sz="8" w:color="auto"/>
            </w:tcBorders>
          </w:tcPr>
          <w:p>
            <w:pPr>
              <w:spacing w:after="0"/>
              <w:rPr>
                <w:sz w:val="19"/>
                <w:szCs w:val="19"/>
                <w:color w:val="auto"/>
              </w:rPr>
            </w:pPr>
          </w:p>
        </w:tc>
      </w:tr>
      <w:tr>
        <w:trPr>
          <w:trHeight w:val="230"/>
        </w:trPr>
        <w:tc>
          <w:tcPr>
            <w:tcW w:w="680" w:type="dxa"/>
            <w:vAlign w:val="bottom"/>
            <w:tcBorders>
              <w:left w:val="single" w:sz="8" w:color="auto"/>
              <w:bottom w:val="single" w:sz="8" w:color="auto"/>
              <w:right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w w:val="93"/>
              </w:rPr>
              <w:t>001-36107)</w:t>
            </w:r>
          </w:p>
        </w:tc>
        <w:tc>
          <w:tcPr>
            <w:tcW w:w="780" w:type="dxa"/>
            <w:vAlign w:val="bottom"/>
            <w:tcBorders>
              <w:bottom w:val="single" w:sz="8" w:color="auto"/>
              <w:right w:val="single" w:sz="8" w:color="auto"/>
            </w:tcBorders>
          </w:tcPr>
          <w:p>
            <w:pPr>
              <w:spacing w:after="0"/>
              <w:rPr>
                <w:sz w:val="20"/>
                <w:szCs w:val="20"/>
                <w:color w:val="auto"/>
              </w:rPr>
            </w:pPr>
          </w:p>
        </w:tc>
      </w:tr>
      <w:tr>
        <w:trPr>
          <w:trHeight w:val="169"/>
        </w:trPr>
        <w:tc>
          <w:tcPr>
            <w:tcW w:w="680" w:type="dxa"/>
            <w:vAlign w:val="bottom"/>
            <w:tcBorders>
              <w:left w:val="single" w:sz="8" w:color="auto"/>
              <w:right w:val="single" w:sz="8" w:color="auto"/>
            </w:tcBorders>
          </w:tcPr>
          <w:p>
            <w:pPr>
              <w:spacing w:after="0" w:line="170" w:lineRule="exact"/>
              <w:rPr>
                <w:sz w:val="20"/>
                <w:szCs w:val="20"/>
                <w:color w:val="auto"/>
              </w:rPr>
            </w:pPr>
            <w:r>
              <w:rPr>
                <w:rFonts w:ascii="Arial" w:cs="Arial" w:eastAsia="Arial" w:hAnsi="Arial"/>
                <w:sz w:val="18"/>
                <w:szCs w:val="18"/>
                <w:color w:val="auto"/>
              </w:rPr>
              <w:t>10.33+</w:t>
            </w:r>
          </w:p>
        </w:tc>
        <w:tc>
          <w:tcPr>
            <w:tcW w:w="6140" w:type="dxa"/>
            <w:vAlign w:val="bottom"/>
            <w:tcBorders>
              <w:bottom w:val="single" w:sz="8" w:color="0000EE"/>
            </w:tcBorders>
            <w:gridSpan w:val="21"/>
          </w:tcPr>
          <w:p>
            <w:pPr>
              <w:spacing w:after="0" w:line="170" w:lineRule="exact"/>
              <w:rPr>
                <w:rFonts w:ascii="Arial" w:cs="Arial" w:eastAsia="Arial" w:hAnsi="Arial"/>
                <w:sz w:val="18"/>
                <w:szCs w:val="18"/>
                <w:color w:val="0000EE"/>
                <w:w w:val="91"/>
              </w:rPr>
            </w:pPr>
            <w:hyperlink r:id="rId186">
              <w:r>
                <w:rPr>
                  <w:rFonts w:ascii="Arial" w:cs="Arial" w:eastAsia="Arial" w:hAnsi="Arial"/>
                  <w:sz w:val="18"/>
                  <w:szCs w:val="18"/>
                  <w:color w:val="0000EE"/>
                  <w:w w:val="91"/>
                </w:rPr>
                <w:t>Form of Non-Qualified Stock Option Agreement between Burlington Stores, Inc. and</w:t>
              </w:r>
            </w:hyperlink>
          </w:p>
        </w:tc>
        <w:tc>
          <w:tcPr>
            <w:tcW w:w="120" w:type="dxa"/>
            <w:vAlign w:val="bottom"/>
            <w:tcBorders>
              <w:right w:val="single" w:sz="8" w:color="auto"/>
            </w:tcBorders>
            <w:gridSpan w:val="3"/>
          </w:tcPr>
          <w:p>
            <w:pPr>
              <w:spacing w:after="0"/>
              <w:rPr>
                <w:sz w:val="14"/>
                <w:szCs w:val="14"/>
                <w:color w:val="auto"/>
              </w:rPr>
            </w:pPr>
          </w:p>
        </w:tc>
        <w:tc>
          <w:tcPr>
            <w:tcW w:w="900" w:type="dxa"/>
            <w:vAlign w:val="bottom"/>
            <w:tcBorders>
              <w:right w:val="single" w:sz="8" w:color="auto"/>
            </w:tcBorders>
          </w:tcPr>
          <w:p>
            <w:pPr>
              <w:spacing w:after="0" w:line="170" w:lineRule="exact"/>
              <w:rPr>
                <w:sz w:val="20"/>
                <w:szCs w:val="20"/>
                <w:color w:val="auto"/>
              </w:rPr>
            </w:pPr>
            <w:r>
              <w:rPr>
                <w:rFonts w:ascii="Arial" w:cs="Arial" w:eastAsia="Arial" w:hAnsi="Arial"/>
                <w:sz w:val="18"/>
                <w:szCs w:val="18"/>
                <w:color w:val="auto"/>
              </w:rPr>
              <w:t>Annual</w:t>
            </w:r>
          </w:p>
        </w:tc>
        <w:tc>
          <w:tcPr>
            <w:tcW w:w="780" w:type="dxa"/>
            <w:vAlign w:val="bottom"/>
            <w:tcBorders>
              <w:right w:val="single" w:sz="8" w:color="auto"/>
            </w:tcBorders>
          </w:tcPr>
          <w:p>
            <w:pPr>
              <w:spacing w:after="0" w:line="170" w:lineRule="exact"/>
              <w:rPr>
                <w:sz w:val="20"/>
                <w:szCs w:val="20"/>
                <w:color w:val="auto"/>
              </w:rPr>
            </w:pPr>
            <w:r>
              <w:rPr>
                <w:rFonts w:ascii="Arial" w:cs="Arial" w:eastAsia="Arial" w:hAnsi="Arial"/>
                <w:sz w:val="18"/>
                <w:szCs w:val="18"/>
                <w:color w:val="auto"/>
                <w:w w:val="92"/>
              </w:rPr>
              <w:t>March 25,</w:t>
            </w:r>
          </w:p>
        </w:tc>
      </w:tr>
      <w:tr>
        <w:trPr>
          <w:trHeight w:val="196"/>
        </w:trPr>
        <w:tc>
          <w:tcPr>
            <w:tcW w:w="680" w:type="dxa"/>
            <w:vAlign w:val="bottom"/>
            <w:tcBorders>
              <w:left w:val="single" w:sz="8" w:color="auto"/>
              <w:right w:val="single" w:sz="8" w:color="auto"/>
            </w:tcBorders>
          </w:tcPr>
          <w:p>
            <w:pPr>
              <w:spacing w:after="0"/>
              <w:rPr>
                <w:sz w:val="17"/>
                <w:szCs w:val="17"/>
                <w:color w:val="auto"/>
              </w:rPr>
            </w:pPr>
          </w:p>
        </w:tc>
        <w:tc>
          <w:tcPr>
            <w:tcW w:w="586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r:id="rId186">
              <w:r>
                <w:rPr>
                  <w:rFonts w:ascii="Arial" w:cs="Arial" w:eastAsia="Arial" w:hAnsi="Arial"/>
                  <w:sz w:val="18"/>
                  <w:szCs w:val="18"/>
                  <w:color w:val="0000EE"/>
                  <w:w w:val="90"/>
                </w:rPr>
                <w:t>Employees with Employment Agreements (for grants made after 2013 and before</w:t>
              </w:r>
            </w:hyperlink>
          </w:p>
        </w:tc>
        <w:tc>
          <w:tcPr>
            <w:tcW w:w="400" w:type="dxa"/>
            <w:vAlign w:val="bottom"/>
            <w:tcBorders>
              <w:right w:val="single" w:sz="8" w:color="auto"/>
            </w:tcBorders>
            <w:gridSpan w:val="9"/>
          </w:tcPr>
          <w:p>
            <w:pPr>
              <w:spacing w:after="0"/>
              <w:rPr>
                <w:sz w:val="17"/>
                <w:szCs w:val="17"/>
                <w:color w:val="auto"/>
              </w:rPr>
            </w:pPr>
          </w:p>
        </w:tc>
        <w:tc>
          <w:tcPr>
            <w:tcW w:w="9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Report on</w:t>
            </w:r>
          </w:p>
        </w:tc>
        <w:tc>
          <w:tcPr>
            <w:tcW w:w="78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2015</w:t>
            </w:r>
          </w:p>
        </w:tc>
      </w:tr>
      <w:tr>
        <w:trPr>
          <w:trHeight w:val="196"/>
        </w:trPr>
        <w:tc>
          <w:tcPr>
            <w:tcW w:w="680" w:type="dxa"/>
            <w:vAlign w:val="bottom"/>
            <w:tcBorders>
              <w:left w:val="single" w:sz="8" w:color="auto"/>
              <w:right w:val="single" w:sz="8" w:color="auto"/>
            </w:tcBorders>
          </w:tcPr>
          <w:p>
            <w:pPr>
              <w:spacing w:after="0"/>
              <w:rPr>
                <w:sz w:val="17"/>
                <w:szCs w:val="17"/>
                <w:color w:val="auto"/>
              </w:rPr>
            </w:pPr>
          </w:p>
        </w:tc>
        <w:tc>
          <w:tcPr>
            <w:tcW w:w="6040" w:type="dxa"/>
            <w:vAlign w:val="bottom"/>
            <w:tcBorders>
              <w:bottom w:val="single" w:sz="8" w:color="0000EE"/>
            </w:tcBorders>
            <w:gridSpan w:val="18"/>
          </w:tcPr>
          <w:p>
            <w:pPr>
              <w:spacing w:after="0" w:line="196" w:lineRule="exact"/>
              <w:rPr>
                <w:rFonts w:ascii="Arial" w:cs="Arial" w:eastAsia="Arial" w:hAnsi="Arial"/>
                <w:sz w:val="18"/>
                <w:szCs w:val="18"/>
                <w:color w:val="0000EE"/>
                <w:w w:val="91"/>
              </w:rPr>
            </w:pPr>
            <w:hyperlink r:id="rId186">
              <w:r>
                <w:rPr>
                  <w:rFonts w:ascii="Arial" w:cs="Arial" w:eastAsia="Arial" w:hAnsi="Arial"/>
                  <w:sz w:val="18"/>
                  <w:szCs w:val="18"/>
                  <w:color w:val="0000EE"/>
                  <w:w w:val="91"/>
                </w:rPr>
                <w:t>December 2015) pursuant to Burlington Holdings, Inc. 2006 Management Incentive</w:t>
              </w:r>
            </w:hyperlink>
          </w:p>
        </w:tc>
        <w:tc>
          <w:tcPr>
            <w:tcW w:w="220" w:type="dxa"/>
            <w:vAlign w:val="bottom"/>
            <w:tcBorders>
              <w:right w:val="single" w:sz="8" w:color="auto"/>
            </w:tcBorders>
            <w:gridSpan w:val="6"/>
          </w:tcPr>
          <w:p>
            <w:pPr>
              <w:spacing w:after="0"/>
              <w:rPr>
                <w:sz w:val="17"/>
                <w:szCs w:val="17"/>
                <w:color w:val="auto"/>
              </w:rPr>
            </w:pPr>
          </w:p>
        </w:tc>
        <w:tc>
          <w:tcPr>
            <w:tcW w:w="9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Form 10-K</w:t>
            </w:r>
          </w:p>
        </w:tc>
        <w:tc>
          <w:tcPr>
            <w:tcW w:w="780" w:type="dxa"/>
            <w:vAlign w:val="bottom"/>
            <w:tcBorders>
              <w:right w:val="single" w:sz="8" w:color="auto"/>
            </w:tcBorders>
          </w:tcPr>
          <w:p>
            <w:pPr>
              <w:spacing w:after="0"/>
              <w:rPr>
                <w:sz w:val="17"/>
                <w:szCs w:val="17"/>
                <w:color w:val="auto"/>
              </w:rPr>
            </w:pPr>
          </w:p>
        </w:tc>
      </w:tr>
      <w:tr>
        <w:trPr>
          <w:trHeight w:val="196"/>
        </w:trPr>
        <w:tc>
          <w:tcPr>
            <w:tcW w:w="680" w:type="dxa"/>
            <w:vAlign w:val="bottom"/>
            <w:tcBorders>
              <w:left w:val="single" w:sz="8" w:color="auto"/>
              <w:right w:val="single" w:sz="8" w:color="auto"/>
            </w:tcBorders>
          </w:tcPr>
          <w:p>
            <w:pPr>
              <w:spacing w:after="0"/>
              <w:rPr>
                <w:sz w:val="17"/>
                <w:szCs w:val="17"/>
                <w:color w:val="auto"/>
              </w:rPr>
            </w:pPr>
          </w:p>
        </w:tc>
        <w:tc>
          <w:tcPr>
            <w:tcW w:w="6260" w:type="dxa"/>
            <w:vAlign w:val="bottom"/>
            <w:tcBorders>
              <w:right w:val="single" w:sz="8" w:color="auto"/>
            </w:tcBorders>
            <w:gridSpan w:val="24"/>
          </w:tcPr>
          <w:p>
            <w:pPr>
              <w:spacing w:after="0" w:line="196" w:lineRule="exact"/>
              <w:rPr>
                <w:rFonts w:ascii="Arial" w:cs="Arial" w:eastAsia="Arial" w:hAnsi="Arial"/>
                <w:sz w:val="18"/>
                <w:szCs w:val="18"/>
                <w:color w:val="0000EE"/>
              </w:rPr>
            </w:pPr>
            <w:hyperlink r:id="rId186">
              <w:r>
                <w:rPr>
                  <w:rFonts w:ascii="Arial" w:cs="Arial" w:eastAsia="Arial" w:hAnsi="Arial"/>
                  <w:sz w:val="18"/>
                  <w:szCs w:val="18"/>
                  <w:color w:val="0000EE"/>
                </w:rPr>
                <w:t>Plan.</w:t>
              </w:r>
            </w:hyperlink>
          </w:p>
        </w:tc>
        <w:tc>
          <w:tcPr>
            <w:tcW w:w="9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(File No.</w:t>
            </w:r>
          </w:p>
        </w:tc>
        <w:tc>
          <w:tcPr>
            <w:tcW w:w="780" w:type="dxa"/>
            <w:vAlign w:val="bottom"/>
            <w:tcBorders>
              <w:right w:val="single" w:sz="8" w:color="auto"/>
            </w:tcBorders>
          </w:tcPr>
          <w:p>
            <w:pPr>
              <w:spacing w:after="0"/>
              <w:rPr>
                <w:sz w:val="17"/>
                <w:szCs w:val="17"/>
                <w:color w:val="auto"/>
              </w:rPr>
            </w:pPr>
          </w:p>
        </w:tc>
      </w:tr>
      <w:tr>
        <w:trPr>
          <w:trHeight w:val="237"/>
        </w:trPr>
        <w:tc>
          <w:tcPr>
            <w:tcW w:w="680" w:type="dxa"/>
            <w:vAlign w:val="bottom"/>
            <w:tcBorders>
              <w:left w:val="single" w:sz="8" w:color="auto"/>
              <w:bottom w:val="single" w:sz="8" w:color="auto"/>
              <w:right w:val="single" w:sz="8" w:color="auto"/>
            </w:tcBorders>
          </w:tcPr>
          <w:p>
            <w:pPr>
              <w:spacing w:after="0"/>
              <w:rPr>
                <w:sz w:val="20"/>
                <w:szCs w:val="20"/>
                <w:color w:val="auto"/>
              </w:rPr>
            </w:pPr>
          </w:p>
        </w:tc>
        <w:tc>
          <w:tcPr>
            <w:tcW w:w="340" w:type="dxa"/>
            <w:vAlign w:val="bottom"/>
            <w:tcBorders>
              <w:top w:val="single" w:sz="8" w:color="0000EE"/>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w w:val="93"/>
              </w:rPr>
              <w:t>001-36107)</w:t>
            </w:r>
          </w:p>
        </w:tc>
        <w:tc>
          <w:tcPr>
            <w:tcW w:w="780" w:type="dxa"/>
            <w:vAlign w:val="bottom"/>
            <w:tcBorders>
              <w:bottom w:val="single" w:sz="8" w:color="auto"/>
              <w:right w:val="single" w:sz="8" w:color="auto"/>
            </w:tcBorders>
          </w:tcPr>
          <w:p>
            <w:pPr>
              <w:spacing w:after="0"/>
              <w:rPr>
                <w:sz w:val="20"/>
                <w:szCs w:val="20"/>
                <w:color w:val="auto"/>
              </w:rPr>
            </w:pPr>
          </w:p>
        </w:tc>
      </w:tr>
      <w:tr>
        <w:trPr>
          <w:trHeight w:val="169"/>
        </w:trPr>
        <w:tc>
          <w:tcPr>
            <w:tcW w:w="680" w:type="dxa"/>
            <w:vAlign w:val="bottom"/>
            <w:tcBorders>
              <w:left w:val="single" w:sz="8" w:color="auto"/>
              <w:right w:val="single" w:sz="8" w:color="auto"/>
            </w:tcBorders>
          </w:tcPr>
          <w:p>
            <w:pPr>
              <w:spacing w:after="0" w:line="170" w:lineRule="exact"/>
              <w:rPr>
                <w:sz w:val="20"/>
                <w:szCs w:val="20"/>
                <w:color w:val="auto"/>
              </w:rPr>
            </w:pPr>
            <w:r>
              <w:rPr>
                <w:rFonts w:ascii="Arial" w:cs="Arial" w:eastAsia="Arial" w:hAnsi="Arial"/>
                <w:sz w:val="18"/>
                <w:szCs w:val="18"/>
                <w:color w:val="auto"/>
              </w:rPr>
              <w:t>10.34+</w:t>
            </w:r>
          </w:p>
        </w:tc>
        <w:tc>
          <w:tcPr>
            <w:tcW w:w="6140" w:type="dxa"/>
            <w:vAlign w:val="bottom"/>
            <w:tcBorders>
              <w:bottom w:val="single" w:sz="8" w:color="0000EE"/>
            </w:tcBorders>
            <w:gridSpan w:val="21"/>
          </w:tcPr>
          <w:p>
            <w:pPr>
              <w:spacing w:after="0" w:line="170" w:lineRule="exact"/>
              <w:rPr>
                <w:rFonts w:ascii="Arial" w:cs="Arial" w:eastAsia="Arial" w:hAnsi="Arial"/>
                <w:sz w:val="18"/>
                <w:szCs w:val="18"/>
                <w:color w:val="0000EE"/>
                <w:w w:val="91"/>
              </w:rPr>
            </w:pPr>
            <w:hyperlink r:id="rId187">
              <w:r>
                <w:rPr>
                  <w:rFonts w:ascii="Arial" w:cs="Arial" w:eastAsia="Arial" w:hAnsi="Arial"/>
                  <w:sz w:val="18"/>
                  <w:szCs w:val="18"/>
                  <w:color w:val="0000EE"/>
                  <w:w w:val="91"/>
                </w:rPr>
                <w:t>Form of Non-Qualified Stock Option Agreement between Burlington Stores, Inc. and</w:t>
              </w:r>
            </w:hyperlink>
          </w:p>
        </w:tc>
        <w:tc>
          <w:tcPr>
            <w:tcW w:w="120" w:type="dxa"/>
            <w:vAlign w:val="bottom"/>
            <w:tcBorders>
              <w:right w:val="single" w:sz="8" w:color="auto"/>
            </w:tcBorders>
            <w:gridSpan w:val="3"/>
          </w:tcPr>
          <w:p>
            <w:pPr>
              <w:spacing w:after="0"/>
              <w:rPr>
                <w:sz w:val="14"/>
                <w:szCs w:val="14"/>
                <w:color w:val="auto"/>
              </w:rPr>
            </w:pPr>
          </w:p>
        </w:tc>
        <w:tc>
          <w:tcPr>
            <w:tcW w:w="900" w:type="dxa"/>
            <w:vAlign w:val="bottom"/>
            <w:tcBorders>
              <w:right w:val="single" w:sz="8" w:color="auto"/>
            </w:tcBorders>
          </w:tcPr>
          <w:p>
            <w:pPr>
              <w:spacing w:after="0" w:line="170" w:lineRule="exact"/>
              <w:rPr>
                <w:sz w:val="20"/>
                <w:szCs w:val="20"/>
                <w:color w:val="auto"/>
              </w:rPr>
            </w:pPr>
            <w:r>
              <w:rPr>
                <w:rFonts w:ascii="Arial" w:cs="Arial" w:eastAsia="Arial" w:hAnsi="Arial"/>
                <w:sz w:val="18"/>
                <w:szCs w:val="18"/>
                <w:color w:val="auto"/>
              </w:rPr>
              <w:t>Annual</w:t>
            </w:r>
          </w:p>
        </w:tc>
        <w:tc>
          <w:tcPr>
            <w:tcW w:w="780" w:type="dxa"/>
            <w:vAlign w:val="bottom"/>
            <w:tcBorders>
              <w:right w:val="single" w:sz="8" w:color="auto"/>
            </w:tcBorders>
          </w:tcPr>
          <w:p>
            <w:pPr>
              <w:spacing w:after="0" w:line="170" w:lineRule="exact"/>
              <w:rPr>
                <w:sz w:val="20"/>
                <w:szCs w:val="20"/>
                <w:color w:val="auto"/>
              </w:rPr>
            </w:pPr>
            <w:r>
              <w:rPr>
                <w:rFonts w:ascii="Arial" w:cs="Arial" w:eastAsia="Arial" w:hAnsi="Arial"/>
                <w:sz w:val="18"/>
                <w:szCs w:val="18"/>
                <w:color w:val="auto"/>
                <w:w w:val="92"/>
              </w:rPr>
              <w:t>March 25,</w:t>
            </w:r>
          </w:p>
        </w:tc>
      </w:tr>
      <w:tr>
        <w:trPr>
          <w:trHeight w:val="196"/>
        </w:trPr>
        <w:tc>
          <w:tcPr>
            <w:tcW w:w="680" w:type="dxa"/>
            <w:vAlign w:val="bottom"/>
            <w:tcBorders>
              <w:left w:val="single" w:sz="8" w:color="auto"/>
              <w:right w:val="single" w:sz="8" w:color="auto"/>
            </w:tcBorders>
          </w:tcPr>
          <w:p>
            <w:pPr>
              <w:spacing w:after="0"/>
              <w:rPr>
                <w:sz w:val="17"/>
                <w:szCs w:val="17"/>
                <w:color w:val="auto"/>
              </w:rPr>
            </w:pPr>
          </w:p>
        </w:tc>
        <w:tc>
          <w:tcPr>
            <w:tcW w:w="6260" w:type="dxa"/>
            <w:vAlign w:val="bottom"/>
            <w:tcBorders>
              <w:right w:val="single" w:sz="8" w:color="auto"/>
            </w:tcBorders>
            <w:gridSpan w:val="24"/>
          </w:tcPr>
          <w:p>
            <w:pPr>
              <w:spacing w:after="0" w:line="196" w:lineRule="exact"/>
              <w:rPr>
                <w:rFonts w:ascii="Arial" w:cs="Arial" w:eastAsia="Arial" w:hAnsi="Arial"/>
                <w:sz w:val="18"/>
                <w:szCs w:val="18"/>
                <w:color w:val="0000EE"/>
                <w:w w:val="92"/>
              </w:rPr>
            </w:pPr>
            <w:hyperlink r:id="rId187">
              <w:r>
                <w:rPr>
                  <w:rFonts w:ascii="Arial" w:cs="Arial" w:eastAsia="Arial" w:hAnsi="Arial"/>
                  <w:sz w:val="18"/>
                  <w:szCs w:val="18"/>
                  <w:color w:val="0000EE"/>
                  <w:w w:val="92"/>
                </w:rPr>
                <w:t>Employees without Employment Agreements (for grants made after 2013 and before</w:t>
              </w:r>
            </w:hyperlink>
          </w:p>
        </w:tc>
        <w:tc>
          <w:tcPr>
            <w:tcW w:w="9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Report on</w:t>
            </w:r>
          </w:p>
        </w:tc>
        <w:tc>
          <w:tcPr>
            <w:tcW w:w="78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2015</w:t>
            </w:r>
          </w:p>
        </w:tc>
      </w:tr>
      <w:tr>
        <w:trPr>
          <w:trHeight w:val="185"/>
        </w:trPr>
        <w:tc>
          <w:tcPr>
            <w:tcW w:w="680" w:type="dxa"/>
            <w:vAlign w:val="bottom"/>
            <w:tcBorders>
              <w:left w:val="single" w:sz="8" w:color="auto"/>
              <w:right w:val="single" w:sz="8" w:color="auto"/>
            </w:tcBorders>
          </w:tcPr>
          <w:p>
            <w:pPr>
              <w:spacing w:after="0"/>
              <w:rPr>
                <w:sz w:val="16"/>
                <w:szCs w:val="16"/>
                <w:color w:val="auto"/>
              </w:rPr>
            </w:pPr>
          </w:p>
        </w:tc>
        <w:tc>
          <w:tcPr>
            <w:tcW w:w="340" w:type="dxa"/>
            <w:vAlign w:val="bottom"/>
            <w:tcBorders>
              <w:top w:val="single" w:sz="8" w:color="0000EE"/>
            </w:tcBorders>
          </w:tcPr>
          <w:p>
            <w:pPr>
              <w:spacing w:after="0"/>
              <w:rPr>
                <w:sz w:val="16"/>
                <w:szCs w:val="16"/>
                <w:color w:val="auto"/>
              </w:rPr>
            </w:pPr>
          </w:p>
        </w:tc>
        <w:tc>
          <w:tcPr>
            <w:tcW w:w="150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320" w:type="dxa"/>
            <w:vAlign w:val="bottom"/>
            <w:tcBorders>
              <w:top w:val="single" w:sz="8" w:color="0000EE"/>
            </w:tcBorders>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88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440" w:type="dxa"/>
            <w:vAlign w:val="bottom"/>
            <w:tcBorders>
              <w:top w:val="single" w:sz="8" w:color="0000EE"/>
            </w:tcBorders>
          </w:tcPr>
          <w:p>
            <w:pPr>
              <w:spacing w:after="0"/>
              <w:rPr>
                <w:sz w:val="16"/>
                <w:szCs w:val="16"/>
                <w:color w:val="auto"/>
              </w:rPr>
            </w:pPr>
          </w:p>
        </w:tc>
        <w:tc>
          <w:tcPr>
            <w:tcW w:w="136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r>
    </w:tbl>
    <w:p>
      <w:pPr>
        <w:sectPr>
          <w:pgSz w:w="11900" w:h="16900" w:orient="portrait"/>
          <w:cols w:equalWidth="0" w:num="1">
            <w:col w:w="9019"/>
          </w:cols>
          <w:pgMar w:left="1440" w:top="336" w:right="1440" w:bottom="0" w:gutter="0" w:footer="0" w:header="0"/>
        </w:sectPr>
      </w:pPr>
    </w:p>
    <w:bookmarkStart w:id="97" w:name="page98"/>
    <w:bookmarkEnd w:id="9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040" w:type="dxa"/>
            <w:vAlign w:val="bottom"/>
            <w:tcBorders>
              <w:bottom w:val="single" w:sz="8" w:color="0000EE"/>
            </w:tcBorders>
            <w:gridSpan w:val="4"/>
          </w:tcPr>
          <w:p>
            <w:pPr>
              <w:spacing w:after="0"/>
              <w:rPr>
                <w:rFonts w:ascii="Arial" w:cs="Arial" w:eastAsia="Arial" w:hAnsi="Arial"/>
                <w:sz w:val="18"/>
                <w:szCs w:val="18"/>
                <w:color w:val="0000EE"/>
                <w:w w:val="91"/>
              </w:rPr>
            </w:pPr>
            <w:hyperlink r:id="rId187">
              <w:r>
                <w:rPr>
                  <w:rFonts w:ascii="Arial" w:cs="Arial" w:eastAsia="Arial" w:hAnsi="Arial"/>
                  <w:sz w:val="18"/>
                  <w:szCs w:val="18"/>
                  <w:color w:val="0000EE"/>
                  <w:w w:val="91"/>
                </w:rPr>
                <w:t>December 2015) pursuant to Burlington Holdings, Inc. 2006 Management Incentive</w:t>
              </w:r>
            </w:hyperlink>
          </w:p>
        </w:tc>
        <w:tc>
          <w:tcPr>
            <w:tcW w:w="22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Form 10-K</w:t>
            </w:r>
          </w:p>
        </w:tc>
        <w:tc>
          <w:tcPr>
            <w:tcW w:w="780" w:type="dxa"/>
            <w:vAlign w:val="bottom"/>
            <w:tcBorders>
              <w:right w:val="single" w:sz="8" w:color="auto"/>
            </w:tcBorders>
          </w:tcPr>
          <w:p>
            <w:pPr>
              <w:spacing w:after="0"/>
              <w:rPr>
                <w:sz w:val="17"/>
                <w:szCs w:val="17"/>
                <w:color w:val="auto"/>
              </w:rPr>
            </w:pPr>
          </w:p>
        </w:tc>
        <w:tc>
          <w:tcPr>
            <w:tcW w:w="1400" w:type="dxa"/>
            <w:vAlign w:val="bottom"/>
          </w:tcPr>
          <w:p>
            <w:pPr>
              <w:spacing w:after="0"/>
              <w:rPr>
                <w:sz w:val="17"/>
                <w:szCs w:val="17"/>
                <w:color w:val="auto"/>
              </w:rPr>
            </w:pPr>
          </w:p>
        </w:tc>
      </w:tr>
      <w:tr>
        <w:trPr>
          <w:trHeight w:val="196"/>
        </w:trPr>
        <w:tc>
          <w:tcPr>
            <w:tcW w:w="14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260" w:type="dxa"/>
            <w:vAlign w:val="bottom"/>
            <w:tcBorders>
              <w:right w:val="single" w:sz="8" w:color="auto"/>
            </w:tcBorders>
            <w:gridSpan w:val="5"/>
          </w:tcPr>
          <w:p>
            <w:pPr>
              <w:spacing w:after="0" w:line="196" w:lineRule="exact"/>
              <w:rPr>
                <w:rFonts w:ascii="Arial" w:cs="Arial" w:eastAsia="Arial" w:hAnsi="Arial"/>
                <w:sz w:val="18"/>
                <w:szCs w:val="18"/>
                <w:color w:val="0000EE"/>
              </w:rPr>
            </w:pPr>
            <w:hyperlink r:id="rId187">
              <w:r>
                <w:rPr>
                  <w:rFonts w:ascii="Arial" w:cs="Arial" w:eastAsia="Arial" w:hAnsi="Arial"/>
                  <w:sz w:val="18"/>
                  <w:szCs w:val="18"/>
                  <w:color w:val="0000EE"/>
                </w:rPr>
                <w:t>Plan.</w:t>
              </w:r>
            </w:hyperlink>
          </w:p>
        </w:tc>
        <w:tc>
          <w:tcPr>
            <w:tcW w:w="9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(File No.</w:t>
            </w:r>
          </w:p>
        </w:tc>
        <w:tc>
          <w:tcPr>
            <w:tcW w:w="780" w:type="dxa"/>
            <w:vAlign w:val="bottom"/>
            <w:tcBorders>
              <w:right w:val="single" w:sz="8" w:color="auto"/>
            </w:tcBorders>
          </w:tcPr>
          <w:p>
            <w:pPr>
              <w:spacing w:after="0"/>
              <w:rPr>
                <w:sz w:val="17"/>
                <w:szCs w:val="17"/>
                <w:color w:val="auto"/>
              </w:rPr>
            </w:pPr>
          </w:p>
        </w:tc>
        <w:tc>
          <w:tcPr>
            <w:tcW w:w="1400" w:type="dxa"/>
            <w:vAlign w:val="bottom"/>
          </w:tcPr>
          <w:p>
            <w:pPr>
              <w:spacing w:after="0"/>
              <w:rPr>
                <w:sz w:val="17"/>
                <w:szCs w:val="17"/>
                <w:color w:val="auto"/>
              </w:rPr>
            </w:pPr>
          </w:p>
        </w:tc>
      </w:tr>
      <w:tr>
        <w:trPr>
          <w:trHeight w:val="237"/>
        </w:trPr>
        <w:tc>
          <w:tcPr>
            <w:tcW w:w="1440" w:type="dxa"/>
            <w:vAlign w:val="bottom"/>
            <w:tcBorders>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340" w:type="dxa"/>
            <w:vAlign w:val="bottom"/>
            <w:tcBorders>
              <w:top w:val="single" w:sz="8" w:color="0000EE"/>
              <w:bottom w:val="single" w:sz="8" w:color="auto"/>
            </w:tcBorders>
          </w:tcPr>
          <w:p>
            <w:pPr>
              <w:spacing w:after="0"/>
              <w:rPr>
                <w:sz w:val="20"/>
                <w:szCs w:val="20"/>
                <w:color w:val="auto"/>
              </w:rPr>
            </w:pPr>
          </w:p>
        </w:tc>
        <w:tc>
          <w:tcPr>
            <w:tcW w:w="53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w w:val="93"/>
              </w:rPr>
              <w:t>001-36107)</w:t>
            </w:r>
          </w:p>
        </w:tc>
        <w:tc>
          <w:tcPr>
            <w:tcW w:w="780" w:type="dxa"/>
            <w:vAlign w:val="bottom"/>
            <w:tcBorders>
              <w:bottom w:val="single" w:sz="8" w:color="auto"/>
              <w:right w:val="single" w:sz="8" w:color="auto"/>
            </w:tcBorders>
          </w:tcPr>
          <w:p>
            <w:pPr>
              <w:spacing w:after="0"/>
              <w:rPr>
                <w:sz w:val="20"/>
                <w:szCs w:val="20"/>
                <w:color w:val="auto"/>
              </w:rPr>
            </w:pPr>
          </w:p>
        </w:tc>
        <w:tc>
          <w:tcPr>
            <w:tcW w:w="1400" w:type="dxa"/>
            <w:vAlign w:val="bottom"/>
          </w:tcPr>
          <w:p>
            <w:pPr>
              <w:spacing w:after="0"/>
              <w:rPr>
                <w:sz w:val="20"/>
                <w:szCs w:val="20"/>
                <w:color w:val="auto"/>
              </w:rPr>
            </w:pPr>
          </w:p>
        </w:tc>
      </w:tr>
      <w:tr>
        <w:trPr>
          <w:trHeight w:val="169"/>
        </w:trPr>
        <w:tc>
          <w:tcPr>
            <w:tcW w:w="1440" w:type="dxa"/>
            <w:vAlign w:val="bottom"/>
            <w:tcBorders>
              <w:right w:val="single" w:sz="8" w:color="auto"/>
            </w:tcBorders>
          </w:tcPr>
          <w:p>
            <w:pPr>
              <w:spacing w:after="0"/>
              <w:rPr>
                <w:sz w:val="14"/>
                <w:szCs w:val="14"/>
                <w:color w:val="auto"/>
              </w:rPr>
            </w:pPr>
          </w:p>
        </w:tc>
        <w:tc>
          <w:tcPr>
            <w:tcW w:w="660" w:type="dxa"/>
            <w:vAlign w:val="bottom"/>
            <w:tcBorders>
              <w:right w:val="single" w:sz="8" w:color="auto"/>
            </w:tcBorders>
          </w:tcPr>
          <w:p>
            <w:pPr>
              <w:jc w:val="right"/>
              <w:ind w:right="90"/>
              <w:spacing w:after="0" w:line="170" w:lineRule="exact"/>
              <w:rPr>
                <w:sz w:val="20"/>
                <w:szCs w:val="20"/>
                <w:color w:val="auto"/>
              </w:rPr>
            </w:pPr>
            <w:r>
              <w:rPr>
                <w:rFonts w:ascii="Arial" w:cs="Arial" w:eastAsia="Arial" w:hAnsi="Arial"/>
                <w:sz w:val="18"/>
                <w:szCs w:val="18"/>
                <w:color w:val="auto"/>
                <w:w w:val="82"/>
              </w:rPr>
              <w:t>10.35+</w:t>
            </w:r>
          </w:p>
        </w:tc>
        <w:tc>
          <w:tcPr>
            <w:tcW w:w="6260" w:type="dxa"/>
            <w:vAlign w:val="bottom"/>
            <w:tcBorders>
              <w:right w:val="single" w:sz="8" w:color="auto"/>
            </w:tcBorders>
            <w:gridSpan w:val="5"/>
          </w:tcPr>
          <w:p>
            <w:pPr>
              <w:spacing w:after="0" w:line="170" w:lineRule="exact"/>
              <w:rPr>
                <w:rFonts w:ascii="Arial" w:cs="Arial" w:eastAsia="Arial" w:hAnsi="Arial"/>
                <w:sz w:val="18"/>
                <w:szCs w:val="18"/>
                <w:color w:val="0000EE"/>
                <w:w w:val="98"/>
              </w:rPr>
            </w:pPr>
            <w:hyperlink r:id="rId188">
              <w:r>
                <w:rPr>
                  <w:rFonts w:ascii="Arial" w:cs="Arial" w:eastAsia="Arial" w:hAnsi="Arial"/>
                  <w:sz w:val="18"/>
                  <w:szCs w:val="18"/>
                  <w:color w:val="0000EE"/>
                  <w:w w:val="98"/>
                </w:rPr>
                <w:t>Form of Restricted Stock Grant Agreement between Burlington Stores, Inc. and</w:t>
              </w:r>
            </w:hyperlink>
          </w:p>
        </w:tc>
        <w:tc>
          <w:tcPr>
            <w:tcW w:w="900" w:type="dxa"/>
            <w:vAlign w:val="bottom"/>
            <w:tcBorders>
              <w:right w:val="single" w:sz="8" w:color="auto"/>
            </w:tcBorders>
          </w:tcPr>
          <w:p>
            <w:pPr>
              <w:spacing w:after="0" w:line="170" w:lineRule="exact"/>
              <w:rPr>
                <w:sz w:val="20"/>
                <w:szCs w:val="20"/>
                <w:color w:val="auto"/>
              </w:rPr>
            </w:pPr>
            <w:r>
              <w:rPr>
                <w:rFonts w:ascii="Arial" w:cs="Arial" w:eastAsia="Arial" w:hAnsi="Arial"/>
                <w:sz w:val="18"/>
                <w:szCs w:val="18"/>
                <w:color w:val="auto"/>
              </w:rPr>
              <w:t>Annual</w:t>
            </w:r>
          </w:p>
        </w:tc>
        <w:tc>
          <w:tcPr>
            <w:tcW w:w="780" w:type="dxa"/>
            <w:vAlign w:val="bottom"/>
            <w:tcBorders>
              <w:right w:val="single" w:sz="8" w:color="auto"/>
            </w:tcBorders>
          </w:tcPr>
          <w:p>
            <w:pPr>
              <w:spacing w:after="0" w:line="170" w:lineRule="exact"/>
              <w:rPr>
                <w:sz w:val="20"/>
                <w:szCs w:val="20"/>
                <w:color w:val="auto"/>
              </w:rPr>
            </w:pPr>
            <w:r>
              <w:rPr>
                <w:rFonts w:ascii="Arial" w:cs="Arial" w:eastAsia="Arial" w:hAnsi="Arial"/>
                <w:sz w:val="18"/>
                <w:szCs w:val="18"/>
                <w:color w:val="auto"/>
                <w:w w:val="92"/>
              </w:rPr>
              <w:t>March 25,</w:t>
            </w:r>
          </w:p>
        </w:tc>
        <w:tc>
          <w:tcPr>
            <w:tcW w:w="1400" w:type="dxa"/>
            <w:vAlign w:val="bottom"/>
          </w:tcPr>
          <w:p>
            <w:pPr>
              <w:spacing w:after="0"/>
              <w:rPr>
                <w:sz w:val="14"/>
                <w:szCs w:val="14"/>
                <w:color w:val="auto"/>
              </w:rPr>
            </w:pPr>
          </w:p>
        </w:tc>
      </w:tr>
      <w:tr>
        <w:trPr>
          <w:trHeight w:val="20"/>
        </w:trPr>
        <w:tc>
          <w:tcPr>
            <w:tcW w:w="1440" w:type="dxa"/>
            <w:vAlign w:val="bottom"/>
            <w:tcBorders>
              <w:right w:val="single" w:sz="8" w:color="auto"/>
            </w:tcBorders>
          </w:tcPr>
          <w:p>
            <w:pPr>
              <w:spacing w:after="0" w:line="20" w:lineRule="exact"/>
              <w:rPr>
                <w:sz w:val="1"/>
                <w:szCs w:val="1"/>
                <w:color w:val="auto"/>
              </w:rPr>
            </w:pPr>
          </w:p>
        </w:tc>
        <w:tc>
          <w:tcPr>
            <w:tcW w:w="660" w:type="dxa"/>
            <w:vAlign w:val="bottom"/>
            <w:tcBorders>
              <w:right w:val="single" w:sz="8" w:color="auto"/>
            </w:tcBorders>
          </w:tcPr>
          <w:p>
            <w:pPr>
              <w:spacing w:after="0" w:line="20" w:lineRule="exact"/>
              <w:rPr>
                <w:sz w:val="1"/>
                <w:szCs w:val="1"/>
                <w:color w:val="auto"/>
              </w:rPr>
            </w:pPr>
          </w:p>
        </w:tc>
        <w:tc>
          <w:tcPr>
            <w:tcW w:w="572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right w:val="single" w:sz="8" w:color="auto"/>
            </w:tcBorders>
            <w:gridSpan w:val="2"/>
          </w:tcPr>
          <w:p>
            <w:pPr>
              <w:spacing w:after="0" w:line="20" w:lineRule="exact"/>
              <w:rPr>
                <w:sz w:val="1"/>
                <w:szCs w:val="1"/>
                <w:color w:val="auto"/>
              </w:rPr>
            </w:pPr>
          </w:p>
        </w:tc>
        <w:tc>
          <w:tcPr>
            <w:tcW w:w="900" w:type="dxa"/>
            <w:vAlign w:val="bottom"/>
            <w:tcBorders>
              <w:right w:val="single" w:sz="8" w:color="auto"/>
            </w:tcBorders>
          </w:tcPr>
          <w:p>
            <w:pPr>
              <w:spacing w:after="0" w:line="20" w:lineRule="exact"/>
              <w:rPr>
                <w:sz w:val="1"/>
                <w:szCs w:val="1"/>
                <w:color w:val="auto"/>
              </w:rPr>
            </w:pPr>
          </w:p>
        </w:tc>
        <w:tc>
          <w:tcPr>
            <w:tcW w:w="780" w:type="dxa"/>
            <w:vAlign w:val="bottom"/>
            <w:tcBorders>
              <w:right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96"/>
        </w:trPr>
        <w:tc>
          <w:tcPr>
            <w:tcW w:w="14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586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r:id="rId188">
              <w:r>
                <w:rPr>
                  <w:rFonts w:ascii="Arial" w:cs="Arial" w:eastAsia="Arial" w:hAnsi="Arial"/>
                  <w:sz w:val="18"/>
                  <w:szCs w:val="18"/>
                  <w:color w:val="0000EE"/>
                  <w:w w:val="90"/>
                </w:rPr>
                <w:t>Employees with Employment Agreements (for grants made after 2013 and before</w:t>
              </w:r>
            </w:hyperlink>
          </w:p>
        </w:tc>
        <w:tc>
          <w:tcPr>
            <w:tcW w:w="400" w:type="dxa"/>
            <w:vAlign w:val="bottom"/>
            <w:tcBorders>
              <w:right w:val="single" w:sz="8" w:color="auto"/>
            </w:tcBorders>
            <w:gridSpan w:val="2"/>
          </w:tcPr>
          <w:p>
            <w:pPr>
              <w:spacing w:after="0"/>
              <w:rPr>
                <w:sz w:val="17"/>
                <w:szCs w:val="17"/>
                <w:color w:val="auto"/>
              </w:rPr>
            </w:pPr>
          </w:p>
        </w:tc>
        <w:tc>
          <w:tcPr>
            <w:tcW w:w="9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Report on</w:t>
            </w:r>
          </w:p>
        </w:tc>
        <w:tc>
          <w:tcPr>
            <w:tcW w:w="78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2015</w:t>
            </w:r>
          </w:p>
        </w:tc>
        <w:tc>
          <w:tcPr>
            <w:tcW w:w="1400" w:type="dxa"/>
            <w:vAlign w:val="bottom"/>
          </w:tcPr>
          <w:p>
            <w:pPr>
              <w:spacing w:after="0"/>
              <w:rPr>
                <w:sz w:val="17"/>
                <w:szCs w:val="17"/>
                <w:color w:val="auto"/>
              </w:rPr>
            </w:pPr>
          </w:p>
        </w:tc>
      </w:tr>
      <w:tr>
        <w:trPr>
          <w:trHeight w:val="196"/>
        </w:trPr>
        <w:tc>
          <w:tcPr>
            <w:tcW w:w="14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04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r:id="rId188">
              <w:r>
                <w:rPr>
                  <w:rFonts w:ascii="Arial" w:cs="Arial" w:eastAsia="Arial" w:hAnsi="Arial"/>
                  <w:sz w:val="18"/>
                  <w:szCs w:val="18"/>
                  <w:color w:val="0000EE"/>
                  <w:w w:val="91"/>
                </w:rPr>
                <w:t>December 2015) pursuant to Burlington Holdings, Inc. 2006 Management Incentive</w:t>
              </w:r>
            </w:hyperlink>
          </w:p>
        </w:tc>
        <w:tc>
          <w:tcPr>
            <w:tcW w:w="22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Form 10-K</w:t>
            </w:r>
          </w:p>
        </w:tc>
        <w:tc>
          <w:tcPr>
            <w:tcW w:w="780" w:type="dxa"/>
            <w:vAlign w:val="bottom"/>
            <w:tcBorders>
              <w:right w:val="single" w:sz="8" w:color="auto"/>
            </w:tcBorders>
          </w:tcPr>
          <w:p>
            <w:pPr>
              <w:spacing w:after="0"/>
              <w:rPr>
                <w:sz w:val="17"/>
                <w:szCs w:val="17"/>
                <w:color w:val="auto"/>
              </w:rPr>
            </w:pPr>
          </w:p>
        </w:tc>
        <w:tc>
          <w:tcPr>
            <w:tcW w:w="1400" w:type="dxa"/>
            <w:vAlign w:val="bottom"/>
          </w:tcPr>
          <w:p>
            <w:pPr>
              <w:spacing w:after="0"/>
              <w:rPr>
                <w:sz w:val="17"/>
                <w:szCs w:val="17"/>
                <w:color w:val="auto"/>
              </w:rPr>
            </w:pPr>
          </w:p>
        </w:tc>
      </w:tr>
      <w:tr>
        <w:trPr>
          <w:trHeight w:val="196"/>
        </w:trPr>
        <w:tc>
          <w:tcPr>
            <w:tcW w:w="14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260" w:type="dxa"/>
            <w:vAlign w:val="bottom"/>
            <w:tcBorders>
              <w:right w:val="single" w:sz="8" w:color="auto"/>
            </w:tcBorders>
            <w:gridSpan w:val="5"/>
          </w:tcPr>
          <w:p>
            <w:pPr>
              <w:spacing w:after="0" w:line="196" w:lineRule="exact"/>
              <w:rPr>
                <w:rFonts w:ascii="Arial" w:cs="Arial" w:eastAsia="Arial" w:hAnsi="Arial"/>
                <w:sz w:val="18"/>
                <w:szCs w:val="18"/>
                <w:color w:val="0000EE"/>
              </w:rPr>
            </w:pPr>
            <w:hyperlink r:id="rId188">
              <w:r>
                <w:rPr>
                  <w:rFonts w:ascii="Arial" w:cs="Arial" w:eastAsia="Arial" w:hAnsi="Arial"/>
                  <w:sz w:val="18"/>
                  <w:szCs w:val="18"/>
                  <w:color w:val="0000EE"/>
                </w:rPr>
                <w:t>Plan.</w:t>
              </w:r>
            </w:hyperlink>
          </w:p>
        </w:tc>
        <w:tc>
          <w:tcPr>
            <w:tcW w:w="9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(File No.</w:t>
            </w:r>
          </w:p>
        </w:tc>
        <w:tc>
          <w:tcPr>
            <w:tcW w:w="780" w:type="dxa"/>
            <w:vAlign w:val="bottom"/>
            <w:tcBorders>
              <w:right w:val="single" w:sz="8" w:color="auto"/>
            </w:tcBorders>
          </w:tcPr>
          <w:p>
            <w:pPr>
              <w:spacing w:after="0"/>
              <w:rPr>
                <w:sz w:val="17"/>
                <w:szCs w:val="17"/>
                <w:color w:val="auto"/>
              </w:rPr>
            </w:pPr>
          </w:p>
        </w:tc>
        <w:tc>
          <w:tcPr>
            <w:tcW w:w="1400" w:type="dxa"/>
            <w:vAlign w:val="bottom"/>
          </w:tcPr>
          <w:p>
            <w:pPr>
              <w:spacing w:after="0"/>
              <w:rPr>
                <w:sz w:val="17"/>
                <w:szCs w:val="17"/>
                <w:color w:val="auto"/>
              </w:rPr>
            </w:pPr>
          </w:p>
        </w:tc>
      </w:tr>
      <w:tr>
        <w:trPr>
          <w:trHeight w:val="237"/>
        </w:trPr>
        <w:tc>
          <w:tcPr>
            <w:tcW w:w="1440" w:type="dxa"/>
            <w:vAlign w:val="bottom"/>
            <w:tcBorders>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340" w:type="dxa"/>
            <w:vAlign w:val="bottom"/>
            <w:tcBorders>
              <w:top w:val="single" w:sz="8" w:color="0000EE"/>
              <w:bottom w:val="single" w:sz="8" w:color="auto"/>
            </w:tcBorders>
          </w:tcPr>
          <w:p>
            <w:pPr>
              <w:spacing w:after="0"/>
              <w:rPr>
                <w:sz w:val="20"/>
                <w:szCs w:val="20"/>
                <w:color w:val="auto"/>
              </w:rPr>
            </w:pPr>
          </w:p>
        </w:tc>
        <w:tc>
          <w:tcPr>
            <w:tcW w:w="53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w w:val="93"/>
              </w:rPr>
              <w:t>001-36107)</w:t>
            </w:r>
          </w:p>
        </w:tc>
        <w:tc>
          <w:tcPr>
            <w:tcW w:w="780" w:type="dxa"/>
            <w:vAlign w:val="bottom"/>
            <w:tcBorders>
              <w:bottom w:val="single" w:sz="8" w:color="auto"/>
              <w:right w:val="single" w:sz="8" w:color="auto"/>
            </w:tcBorders>
          </w:tcPr>
          <w:p>
            <w:pPr>
              <w:spacing w:after="0"/>
              <w:rPr>
                <w:sz w:val="20"/>
                <w:szCs w:val="20"/>
                <w:color w:val="auto"/>
              </w:rPr>
            </w:pPr>
          </w:p>
        </w:tc>
        <w:tc>
          <w:tcPr>
            <w:tcW w:w="1400" w:type="dxa"/>
            <w:vAlign w:val="bottom"/>
          </w:tcPr>
          <w:p>
            <w:pPr>
              <w:spacing w:after="0"/>
              <w:rPr>
                <w:sz w:val="20"/>
                <w:szCs w:val="20"/>
                <w:color w:val="auto"/>
              </w:rPr>
            </w:pPr>
          </w:p>
        </w:tc>
      </w:tr>
      <w:tr>
        <w:trPr>
          <w:trHeight w:val="426"/>
        </w:trPr>
        <w:tc>
          <w:tcPr>
            <w:tcW w:w="1440" w:type="dxa"/>
            <w:vAlign w:val="bottom"/>
          </w:tcPr>
          <w:p>
            <w:pPr>
              <w:spacing w:after="0"/>
              <w:rPr>
                <w:sz w:val="24"/>
                <w:szCs w:val="24"/>
                <w:color w:val="auto"/>
              </w:rPr>
            </w:pPr>
          </w:p>
        </w:tc>
        <w:tc>
          <w:tcPr>
            <w:tcW w:w="6380" w:type="dxa"/>
            <w:vAlign w:val="bottom"/>
            <w:gridSpan w:val="3"/>
          </w:tcPr>
          <w:p>
            <w:pPr>
              <w:jc w:val="right"/>
              <w:ind w:right="2020"/>
              <w:spacing w:after="0"/>
              <w:rPr>
                <w:sz w:val="20"/>
                <w:szCs w:val="20"/>
                <w:color w:val="auto"/>
              </w:rPr>
            </w:pPr>
            <w:r>
              <w:rPr>
                <w:rFonts w:ascii="Arial" w:cs="Arial" w:eastAsia="Arial" w:hAnsi="Arial"/>
                <w:sz w:val="18"/>
                <w:szCs w:val="18"/>
                <w:color w:val="auto"/>
              </w:rPr>
              <w:t>92</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15"/>
        </w:trPr>
        <w:tc>
          <w:tcPr>
            <w:tcW w:w="14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53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8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08" w:right="219" w:bottom="1440" w:gutter="0" w:footer="0" w:header="0"/>
        </w:sectPr>
      </w:pPr>
    </w:p>
    <w:bookmarkStart w:id="98" w:name="page99"/>
    <w:bookmarkEnd w:id="98"/>
    <w:p>
      <w:pPr>
        <w:spacing w:after="0" w:line="62" w:lineRule="exact"/>
        <w:rPr>
          <w:sz w:val="20"/>
          <w:szCs w:val="20"/>
          <w:color w:val="auto"/>
        </w:rPr>
      </w:pPr>
    </w:p>
    <w:tbl>
      <w:tblPr>
        <w:tblLayout w:type="fixed"/>
        <w:tblInd w:w="230" w:type="dxa"/>
        <w:tblCellMar>
          <w:top w:w="0" w:type="dxa"/>
          <w:left w:w="0" w:type="dxa"/>
          <w:bottom w:w="0" w:type="dxa"/>
          <w:right w:w="0" w:type="dxa"/>
        </w:tblCellMar>
      </w:tblPr>
      <w:tr>
        <w:trPr>
          <w:trHeight w:val="211"/>
        </w:trPr>
        <w:tc>
          <w:tcPr>
            <w:tcW w:w="680" w:type="dxa"/>
            <w:vAlign w:val="bottom"/>
            <w:tcBorders>
              <w:top w:val="single" w:sz="8" w:color="auto"/>
              <w:left w:val="single" w:sz="8" w:color="auto"/>
              <w:right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33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0" w:type="dxa"/>
            <w:vAlign w:val="bottom"/>
            <w:tcBorders>
              <w:top w:val="single" w:sz="8" w:color="auto"/>
              <w:right w:val="single" w:sz="8" w:color="auto"/>
            </w:tcBorders>
          </w:tcPr>
          <w:p>
            <w:pPr>
              <w:spacing w:after="0"/>
              <w:rPr>
                <w:sz w:val="18"/>
                <w:szCs w:val="18"/>
                <w:color w:val="auto"/>
              </w:rPr>
            </w:pPr>
          </w:p>
        </w:tc>
        <w:tc>
          <w:tcPr>
            <w:tcW w:w="1540" w:type="dxa"/>
            <w:vAlign w:val="bottom"/>
            <w:tcBorders>
              <w:top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2"/>
              </w:rPr>
              <w:t>Incorporated by</w:t>
            </w:r>
          </w:p>
        </w:tc>
      </w:tr>
      <w:tr>
        <w:trPr>
          <w:trHeight w:val="234"/>
        </w:trPr>
        <w:tc>
          <w:tcPr>
            <w:tcW w:w="680" w:type="dxa"/>
            <w:vAlign w:val="bottom"/>
            <w:tcBorders>
              <w:left w:val="single" w:sz="8" w:color="auto"/>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154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Reference</w:t>
            </w:r>
          </w:p>
        </w:tc>
      </w:tr>
      <w:tr>
        <w:trPr>
          <w:trHeight w:val="191"/>
        </w:trPr>
        <w:tc>
          <w:tcPr>
            <w:tcW w:w="680" w:type="dxa"/>
            <w:vAlign w:val="bottom"/>
            <w:tcBorders>
              <w:left w:val="single" w:sz="8" w:color="auto"/>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760" w:type="dxa"/>
            <w:vAlign w:val="bottom"/>
            <w:tcBorders>
              <w:right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7"/>
              </w:rPr>
              <w:t>Form</w:t>
            </w:r>
          </w:p>
        </w:tc>
        <w:tc>
          <w:tcPr>
            <w:tcW w:w="780" w:type="dxa"/>
            <w:vAlign w:val="bottom"/>
            <w:tcBorders>
              <w:right w:val="single" w:sz="8" w:color="auto"/>
            </w:tcBorders>
          </w:tcPr>
          <w:p>
            <w:pPr>
              <w:spacing w:after="0"/>
              <w:rPr>
                <w:sz w:val="16"/>
                <w:szCs w:val="16"/>
                <w:color w:val="auto"/>
              </w:rPr>
            </w:pPr>
          </w:p>
        </w:tc>
      </w:tr>
      <w:tr>
        <w:trPr>
          <w:trHeight w:val="216"/>
        </w:trPr>
        <w:tc>
          <w:tcPr>
            <w:tcW w:w="6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w w:val="99"/>
              </w:rPr>
              <w:t>Exhibit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and SEC</w:t>
            </w:r>
          </w:p>
        </w:tc>
        <w:tc>
          <w:tcPr>
            <w:tcW w:w="780" w:type="dxa"/>
            <w:vAlign w:val="bottom"/>
            <w:tcBorders>
              <w:right w:val="single" w:sz="8" w:color="auto"/>
            </w:tcBorders>
          </w:tcPr>
          <w:p>
            <w:pPr>
              <w:ind w:left="160"/>
              <w:spacing w:after="0"/>
              <w:rPr>
                <w:sz w:val="20"/>
                <w:szCs w:val="20"/>
                <w:color w:val="auto"/>
              </w:rPr>
            </w:pPr>
            <w:r>
              <w:rPr>
                <w:rFonts w:ascii="Arial" w:cs="Arial" w:eastAsia="Arial" w:hAnsi="Arial"/>
                <w:sz w:val="18"/>
                <w:szCs w:val="18"/>
                <w:b w:val="1"/>
                <w:bCs w:val="1"/>
                <w:color w:val="auto"/>
              </w:rPr>
              <w:t>Filing</w:t>
            </w:r>
          </w:p>
        </w:tc>
      </w:tr>
      <w:tr>
        <w:trPr>
          <w:trHeight w:val="234"/>
        </w:trPr>
        <w:tc>
          <w:tcPr>
            <w:tcW w:w="68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w w:val="94"/>
              </w:rPr>
              <w:t>Number</w:t>
            </w:r>
          </w:p>
        </w:tc>
        <w:tc>
          <w:tcPr>
            <w:tcW w:w="3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4640" w:type="dxa"/>
            <w:vAlign w:val="bottom"/>
            <w:tcBorders>
              <w:bottom w:val="single" w:sz="8" w:color="auto"/>
              <w:right w:val="single" w:sz="8" w:color="auto"/>
            </w:tcBorders>
            <w:gridSpan w:val="17"/>
          </w:tcPr>
          <w:p>
            <w:pPr>
              <w:ind w:left="660"/>
              <w:spacing w:after="0"/>
              <w:rPr>
                <w:sz w:val="20"/>
                <w:szCs w:val="20"/>
                <w:color w:val="auto"/>
              </w:rPr>
            </w:pPr>
            <w:r>
              <w:rPr>
                <w:rFonts w:ascii="Arial" w:cs="Arial" w:eastAsia="Arial" w:hAnsi="Arial"/>
                <w:sz w:val="18"/>
                <w:szCs w:val="18"/>
                <w:b w:val="1"/>
                <w:bCs w:val="1"/>
                <w:color w:val="auto"/>
              </w:rPr>
              <w:t>Exhibit Description</w:t>
            </w:r>
          </w:p>
        </w:tc>
        <w:tc>
          <w:tcPr>
            <w:tcW w:w="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file No.</w:t>
            </w:r>
          </w:p>
        </w:tc>
        <w:tc>
          <w:tcPr>
            <w:tcW w:w="78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b w:val="1"/>
                <w:bCs w:val="1"/>
                <w:color w:val="auto"/>
              </w:rPr>
              <w:t>Date</w:t>
            </w:r>
          </w:p>
        </w:tc>
      </w:tr>
      <w:tr>
        <w:trPr>
          <w:trHeight w:val="169"/>
        </w:trPr>
        <w:tc>
          <w:tcPr>
            <w:tcW w:w="680" w:type="dxa"/>
            <w:vAlign w:val="bottom"/>
            <w:tcBorders>
              <w:left w:val="single" w:sz="8" w:color="auto"/>
              <w:right w:val="single" w:sz="8" w:color="auto"/>
            </w:tcBorders>
          </w:tcPr>
          <w:p>
            <w:pPr>
              <w:spacing w:after="0" w:line="170" w:lineRule="exact"/>
              <w:rPr>
                <w:sz w:val="20"/>
                <w:szCs w:val="20"/>
                <w:color w:val="auto"/>
              </w:rPr>
            </w:pPr>
            <w:r>
              <w:rPr>
                <w:rFonts w:ascii="Arial" w:cs="Arial" w:eastAsia="Arial" w:hAnsi="Arial"/>
                <w:sz w:val="18"/>
                <w:szCs w:val="18"/>
                <w:color w:val="auto"/>
              </w:rPr>
              <w:t>10.36+</w:t>
            </w:r>
          </w:p>
        </w:tc>
        <w:tc>
          <w:tcPr>
            <w:tcW w:w="5740" w:type="dxa"/>
            <w:vAlign w:val="bottom"/>
            <w:tcBorders>
              <w:bottom w:val="single" w:sz="8" w:color="0000EE"/>
            </w:tcBorders>
            <w:gridSpan w:val="6"/>
          </w:tcPr>
          <w:p>
            <w:pPr>
              <w:spacing w:after="0" w:line="170" w:lineRule="exact"/>
              <w:rPr>
                <w:rFonts w:ascii="Arial" w:cs="Arial" w:eastAsia="Arial" w:hAnsi="Arial"/>
                <w:sz w:val="18"/>
                <w:szCs w:val="18"/>
                <w:color w:val="0000EE"/>
                <w:w w:val="90"/>
              </w:rPr>
            </w:pPr>
            <w:hyperlink r:id="rId191">
              <w:r>
                <w:rPr>
                  <w:rFonts w:ascii="Arial" w:cs="Arial" w:eastAsia="Arial" w:hAnsi="Arial"/>
                  <w:sz w:val="18"/>
                  <w:szCs w:val="18"/>
                  <w:color w:val="0000EE"/>
                  <w:w w:val="90"/>
                </w:rPr>
                <w:t>Form of Restricted Stock Grant Agreement between Burlington Stores, Inc. and</w:t>
              </w:r>
            </w:hyperlink>
          </w:p>
        </w:tc>
        <w:tc>
          <w:tcPr>
            <w:tcW w:w="660" w:type="dxa"/>
            <w:vAlign w:val="bottom"/>
            <w:tcBorders>
              <w:right w:val="single" w:sz="8" w:color="auto"/>
            </w:tcBorders>
            <w:gridSpan w:val="14"/>
          </w:tcPr>
          <w:p>
            <w:pPr>
              <w:spacing w:after="0"/>
              <w:rPr>
                <w:sz w:val="14"/>
                <w:szCs w:val="14"/>
                <w:color w:val="auto"/>
              </w:rPr>
            </w:pPr>
          </w:p>
        </w:tc>
        <w:tc>
          <w:tcPr>
            <w:tcW w:w="760" w:type="dxa"/>
            <w:vAlign w:val="bottom"/>
            <w:tcBorders>
              <w:right w:val="single" w:sz="8" w:color="auto"/>
            </w:tcBorders>
          </w:tcPr>
          <w:p>
            <w:pPr>
              <w:spacing w:after="0" w:line="170" w:lineRule="exact"/>
              <w:rPr>
                <w:sz w:val="20"/>
                <w:szCs w:val="20"/>
                <w:color w:val="auto"/>
              </w:rPr>
            </w:pPr>
            <w:r>
              <w:rPr>
                <w:rFonts w:ascii="Arial" w:cs="Arial" w:eastAsia="Arial" w:hAnsi="Arial"/>
                <w:sz w:val="18"/>
                <w:szCs w:val="18"/>
                <w:color w:val="auto"/>
              </w:rPr>
              <w:t>Annual</w:t>
            </w:r>
          </w:p>
        </w:tc>
        <w:tc>
          <w:tcPr>
            <w:tcW w:w="780" w:type="dxa"/>
            <w:vAlign w:val="bottom"/>
            <w:tcBorders>
              <w:right w:val="single" w:sz="8" w:color="auto"/>
            </w:tcBorders>
          </w:tcPr>
          <w:p>
            <w:pPr>
              <w:spacing w:after="0" w:line="170" w:lineRule="exact"/>
              <w:rPr>
                <w:sz w:val="20"/>
                <w:szCs w:val="20"/>
                <w:color w:val="auto"/>
              </w:rPr>
            </w:pPr>
            <w:r>
              <w:rPr>
                <w:rFonts w:ascii="Arial" w:cs="Arial" w:eastAsia="Arial" w:hAnsi="Arial"/>
                <w:sz w:val="18"/>
                <w:szCs w:val="18"/>
                <w:color w:val="auto"/>
                <w:w w:val="92"/>
              </w:rPr>
              <w:t>March 25,</w:t>
            </w:r>
          </w:p>
        </w:tc>
      </w:tr>
      <w:tr>
        <w:trPr>
          <w:trHeight w:val="196"/>
        </w:trPr>
        <w:tc>
          <w:tcPr>
            <w:tcW w:w="680" w:type="dxa"/>
            <w:vAlign w:val="bottom"/>
            <w:tcBorders>
              <w:left w:val="single" w:sz="8" w:color="auto"/>
              <w:right w:val="single" w:sz="8" w:color="auto"/>
            </w:tcBorders>
          </w:tcPr>
          <w:p>
            <w:pPr>
              <w:spacing w:after="0"/>
              <w:rPr>
                <w:sz w:val="17"/>
                <w:szCs w:val="17"/>
                <w:color w:val="auto"/>
              </w:rPr>
            </w:pPr>
          </w:p>
        </w:tc>
        <w:tc>
          <w:tcPr>
            <w:tcW w:w="610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r:id="rId191">
              <w:r>
                <w:rPr>
                  <w:rFonts w:ascii="Arial" w:cs="Arial" w:eastAsia="Arial" w:hAnsi="Arial"/>
                  <w:sz w:val="18"/>
                  <w:szCs w:val="18"/>
                  <w:color w:val="0000EE"/>
                  <w:w w:val="90"/>
                </w:rPr>
                <w:t>Employees without Employment Agreements (for grants made after 2013 and before</w:t>
              </w:r>
            </w:hyperlink>
          </w:p>
        </w:tc>
        <w:tc>
          <w:tcPr>
            <w:tcW w:w="300" w:type="dxa"/>
            <w:vAlign w:val="bottom"/>
            <w:tcBorders>
              <w:right w:val="single" w:sz="8" w:color="auto"/>
            </w:tcBorders>
            <w:gridSpan w:val="6"/>
          </w:tcPr>
          <w:p>
            <w:pPr>
              <w:spacing w:after="0"/>
              <w:rPr>
                <w:sz w:val="17"/>
                <w:szCs w:val="17"/>
                <w:color w:val="auto"/>
              </w:rPr>
            </w:pPr>
          </w:p>
        </w:tc>
        <w:tc>
          <w:tcPr>
            <w:tcW w:w="76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w w:val="91"/>
              </w:rPr>
              <w:t>Report on</w:t>
            </w:r>
          </w:p>
        </w:tc>
        <w:tc>
          <w:tcPr>
            <w:tcW w:w="78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2015</w:t>
            </w:r>
          </w:p>
        </w:tc>
      </w:tr>
      <w:tr>
        <w:trPr>
          <w:trHeight w:val="196"/>
        </w:trPr>
        <w:tc>
          <w:tcPr>
            <w:tcW w:w="680" w:type="dxa"/>
            <w:vAlign w:val="bottom"/>
            <w:tcBorders>
              <w:left w:val="single" w:sz="8" w:color="auto"/>
              <w:right w:val="single" w:sz="8" w:color="auto"/>
            </w:tcBorders>
          </w:tcPr>
          <w:p>
            <w:pPr>
              <w:spacing w:after="0"/>
              <w:rPr>
                <w:sz w:val="17"/>
                <w:szCs w:val="17"/>
                <w:color w:val="auto"/>
              </w:rPr>
            </w:pPr>
          </w:p>
        </w:tc>
        <w:tc>
          <w:tcPr>
            <w:tcW w:w="604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r:id="rId191">
              <w:r>
                <w:rPr>
                  <w:rFonts w:ascii="Arial" w:cs="Arial" w:eastAsia="Arial" w:hAnsi="Arial"/>
                  <w:sz w:val="18"/>
                  <w:szCs w:val="18"/>
                  <w:color w:val="0000EE"/>
                  <w:w w:val="91"/>
                </w:rPr>
                <w:t>December 2015) pursuant to Burlington Holdings, Inc. 2006 Management Incentive</w:t>
              </w:r>
            </w:hyperlink>
          </w:p>
        </w:tc>
        <w:tc>
          <w:tcPr>
            <w:tcW w:w="360" w:type="dxa"/>
            <w:vAlign w:val="bottom"/>
            <w:tcBorders>
              <w:right w:val="single" w:sz="8" w:color="auto"/>
            </w:tcBorders>
            <w:gridSpan w:val="8"/>
          </w:tcPr>
          <w:p>
            <w:pPr>
              <w:spacing w:after="0"/>
              <w:rPr>
                <w:sz w:val="17"/>
                <w:szCs w:val="17"/>
                <w:color w:val="auto"/>
              </w:rPr>
            </w:pPr>
          </w:p>
        </w:tc>
        <w:tc>
          <w:tcPr>
            <w:tcW w:w="76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w w:val="98"/>
              </w:rPr>
              <w:t>Form 10-</w:t>
            </w:r>
          </w:p>
        </w:tc>
        <w:tc>
          <w:tcPr>
            <w:tcW w:w="780" w:type="dxa"/>
            <w:vAlign w:val="bottom"/>
            <w:tcBorders>
              <w:right w:val="single" w:sz="8" w:color="auto"/>
            </w:tcBorders>
          </w:tcPr>
          <w:p>
            <w:pPr>
              <w:spacing w:after="0"/>
              <w:rPr>
                <w:sz w:val="17"/>
                <w:szCs w:val="17"/>
                <w:color w:val="auto"/>
              </w:rPr>
            </w:pPr>
          </w:p>
        </w:tc>
      </w:tr>
      <w:tr>
        <w:trPr>
          <w:trHeight w:val="196"/>
        </w:trPr>
        <w:tc>
          <w:tcPr>
            <w:tcW w:w="680" w:type="dxa"/>
            <w:vAlign w:val="bottom"/>
            <w:tcBorders>
              <w:left w:val="single" w:sz="8" w:color="auto"/>
              <w:right w:val="single" w:sz="8" w:color="auto"/>
            </w:tcBorders>
          </w:tcPr>
          <w:p>
            <w:pPr>
              <w:spacing w:after="0"/>
              <w:rPr>
                <w:sz w:val="17"/>
                <w:szCs w:val="17"/>
                <w:color w:val="auto"/>
              </w:rPr>
            </w:pPr>
          </w:p>
        </w:tc>
        <w:tc>
          <w:tcPr>
            <w:tcW w:w="6400" w:type="dxa"/>
            <w:vAlign w:val="bottom"/>
            <w:tcBorders>
              <w:right w:val="single" w:sz="8" w:color="auto"/>
            </w:tcBorders>
            <w:gridSpan w:val="20"/>
          </w:tcPr>
          <w:p>
            <w:pPr>
              <w:spacing w:after="0" w:line="196" w:lineRule="exact"/>
              <w:rPr>
                <w:rFonts w:ascii="Arial" w:cs="Arial" w:eastAsia="Arial" w:hAnsi="Arial"/>
                <w:sz w:val="18"/>
                <w:szCs w:val="18"/>
                <w:color w:val="0000EE"/>
              </w:rPr>
            </w:pPr>
            <w:hyperlink r:id="rId191">
              <w:r>
                <w:rPr>
                  <w:rFonts w:ascii="Arial" w:cs="Arial" w:eastAsia="Arial" w:hAnsi="Arial"/>
                  <w:sz w:val="18"/>
                  <w:szCs w:val="18"/>
                  <w:color w:val="0000EE"/>
                </w:rPr>
                <w:t>Plan.</w:t>
              </w:r>
            </w:hyperlink>
          </w:p>
        </w:tc>
        <w:tc>
          <w:tcPr>
            <w:tcW w:w="76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K</w:t>
            </w:r>
          </w:p>
        </w:tc>
        <w:tc>
          <w:tcPr>
            <w:tcW w:w="780" w:type="dxa"/>
            <w:vAlign w:val="bottom"/>
            <w:tcBorders>
              <w:right w:val="single" w:sz="8" w:color="auto"/>
            </w:tcBorders>
          </w:tcPr>
          <w:p>
            <w:pPr>
              <w:spacing w:after="0"/>
              <w:rPr>
                <w:sz w:val="17"/>
                <w:szCs w:val="17"/>
                <w:color w:val="auto"/>
              </w:rPr>
            </w:pPr>
          </w:p>
        </w:tc>
      </w:tr>
      <w:tr>
        <w:trPr>
          <w:trHeight w:val="222"/>
        </w:trPr>
        <w:tc>
          <w:tcPr>
            <w:tcW w:w="680" w:type="dxa"/>
            <w:vAlign w:val="bottom"/>
            <w:tcBorders>
              <w:left w:val="single" w:sz="8" w:color="auto"/>
              <w:right w:val="single" w:sz="8" w:color="auto"/>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(File No.</w:t>
            </w:r>
          </w:p>
        </w:tc>
        <w:tc>
          <w:tcPr>
            <w:tcW w:w="780" w:type="dxa"/>
            <w:vAlign w:val="bottom"/>
            <w:tcBorders>
              <w:right w:val="single" w:sz="8" w:color="auto"/>
            </w:tcBorders>
          </w:tcPr>
          <w:p>
            <w:pPr>
              <w:spacing w:after="0"/>
              <w:rPr>
                <w:sz w:val="19"/>
                <w:szCs w:val="19"/>
                <w:color w:val="auto"/>
              </w:rPr>
            </w:pPr>
          </w:p>
        </w:tc>
      </w:tr>
      <w:tr>
        <w:trPr>
          <w:trHeight w:val="216"/>
        </w:trPr>
        <w:tc>
          <w:tcPr>
            <w:tcW w:w="680" w:type="dxa"/>
            <w:vAlign w:val="bottom"/>
            <w:tcBorders>
              <w:left w:val="single" w:sz="8" w:color="auto"/>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001-</w:t>
            </w:r>
          </w:p>
        </w:tc>
        <w:tc>
          <w:tcPr>
            <w:tcW w:w="780" w:type="dxa"/>
            <w:vAlign w:val="bottom"/>
            <w:tcBorders>
              <w:right w:val="single" w:sz="8" w:color="auto"/>
            </w:tcBorders>
          </w:tcPr>
          <w:p>
            <w:pPr>
              <w:spacing w:after="0"/>
              <w:rPr>
                <w:sz w:val="18"/>
                <w:szCs w:val="18"/>
                <w:color w:val="auto"/>
              </w:rPr>
            </w:pPr>
          </w:p>
        </w:tc>
      </w:tr>
      <w:tr>
        <w:trPr>
          <w:trHeight w:val="230"/>
        </w:trPr>
        <w:tc>
          <w:tcPr>
            <w:tcW w:w="680" w:type="dxa"/>
            <w:vAlign w:val="bottom"/>
            <w:tcBorders>
              <w:left w:val="single" w:sz="8" w:color="auto"/>
              <w:bottom w:val="single" w:sz="8" w:color="auto"/>
              <w:right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36107)</w:t>
            </w:r>
          </w:p>
        </w:tc>
        <w:tc>
          <w:tcPr>
            <w:tcW w:w="780" w:type="dxa"/>
            <w:vAlign w:val="bottom"/>
            <w:tcBorders>
              <w:bottom w:val="single" w:sz="8" w:color="auto"/>
              <w:right w:val="single" w:sz="8" w:color="auto"/>
            </w:tcBorders>
          </w:tcPr>
          <w:p>
            <w:pPr>
              <w:spacing w:after="0"/>
              <w:rPr>
                <w:sz w:val="20"/>
                <w:szCs w:val="20"/>
                <w:color w:val="auto"/>
              </w:rPr>
            </w:pPr>
          </w:p>
        </w:tc>
      </w:tr>
      <w:tr>
        <w:trPr>
          <w:trHeight w:val="169"/>
        </w:trPr>
        <w:tc>
          <w:tcPr>
            <w:tcW w:w="680" w:type="dxa"/>
            <w:vAlign w:val="bottom"/>
            <w:tcBorders>
              <w:left w:val="single" w:sz="8" w:color="auto"/>
              <w:right w:val="single" w:sz="8" w:color="auto"/>
            </w:tcBorders>
          </w:tcPr>
          <w:p>
            <w:pPr>
              <w:spacing w:after="0" w:line="170" w:lineRule="exact"/>
              <w:rPr>
                <w:sz w:val="20"/>
                <w:szCs w:val="20"/>
                <w:color w:val="auto"/>
              </w:rPr>
            </w:pPr>
            <w:r>
              <w:rPr>
                <w:rFonts w:ascii="Arial" w:cs="Arial" w:eastAsia="Arial" w:hAnsi="Arial"/>
                <w:sz w:val="18"/>
                <w:szCs w:val="18"/>
                <w:color w:val="auto"/>
              </w:rPr>
              <w:t>10.37+</w:t>
            </w:r>
          </w:p>
        </w:tc>
        <w:tc>
          <w:tcPr>
            <w:tcW w:w="6080" w:type="dxa"/>
            <w:vAlign w:val="bottom"/>
            <w:tcBorders>
              <w:bottom w:val="single" w:sz="8" w:color="0000EE"/>
            </w:tcBorders>
            <w:gridSpan w:val="13"/>
          </w:tcPr>
          <w:p>
            <w:pPr>
              <w:spacing w:after="0" w:line="170" w:lineRule="exact"/>
              <w:rPr>
                <w:rFonts w:ascii="Arial" w:cs="Arial" w:eastAsia="Arial" w:hAnsi="Arial"/>
                <w:sz w:val="18"/>
                <w:szCs w:val="18"/>
                <w:color w:val="0000EE"/>
                <w:w w:val="89"/>
              </w:rPr>
            </w:pPr>
            <w:hyperlink r:id="rId192">
              <w:r>
                <w:rPr>
                  <w:rFonts w:ascii="Arial" w:cs="Arial" w:eastAsia="Arial" w:hAnsi="Arial"/>
                  <w:sz w:val="18"/>
                  <w:szCs w:val="18"/>
                  <w:color w:val="0000EE"/>
                  <w:w w:val="89"/>
                </w:rPr>
                <w:t>Amended and Restated Employment Agreement, dated July 28, 2015, by and among</w:t>
              </w:r>
            </w:hyperlink>
          </w:p>
        </w:tc>
        <w:tc>
          <w:tcPr>
            <w:tcW w:w="320" w:type="dxa"/>
            <w:vAlign w:val="bottom"/>
            <w:tcBorders>
              <w:right w:val="single" w:sz="8" w:color="auto"/>
            </w:tcBorders>
            <w:gridSpan w:val="7"/>
          </w:tcPr>
          <w:p>
            <w:pPr>
              <w:spacing w:after="0"/>
              <w:rPr>
                <w:sz w:val="14"/>
                <w:szCs w:val="14"/>
                <w:color w:val="auto"/>
              </w:rPr>
            </w:pPr>
          </w:p>
        </w:tc>
        <w:tc>
          <w:tcPr>
            <w:tcW w:w="760" w:type="dxa"/>
            <w:vAlign w:val="bottom"/>
            <w:tcBorders>
              <w:right w:val="single" w:sz="8" w:color="auto"/>
            </w:tcBorders>
          </w:tcPr>
          <w:p>
            <w:pPr>
              <w:spacing w:after="0" w:line="170" w:lineRule="exact"/>
              <w:rPr>
                <w:sz w:val="20"/>
                <w:szCs w:val="20"/>
                <w:color w:val="auto"/>
              </w:rPr>
            </w:pPr>
            <w:r>
              <w:rPr>
                <w:rFonts w:ascii="Arial" w:cs="Arial" w:eastAsia="Arial" w:hAnsi="Arial"/>
                <w:sz w:val="18"/>
                <w:szCs w:val="18"/>
                <w:color w:val="auto"/>
                <w:w w:val="97"/>
              </w:rPr>
              <w:t>Quarterly</w:t>
            </w:r>
          </w:p>
        </w:tc>
        <w:tc>
          <w:tcPr>
            <w:tcW w:w="780" w:type="dxa"/>
            <w:vAlign w:val="bottom"/>
            <w:tcBorders>
              <w:right w:val="single" w:sz="8" w:color="auto"/>
            </w:tcBorders>
          </w:tcPr>
          <w:p>
            <w:pPr>
              <w:spacing w:after="0" w:line="170" w:lineRule="exact"/>
              <w:rPr>
                <w:sz w:val="20"/>
                <w:szCs w:val="20"/>
                <w:color w:val="auto"/>
              </w:rPr>
            </w:pPr>
            <w:r>
              <w:rPr>
                <w:rFonts w:ascii="Arial" w:cs="Arial" w:eastAsia="Arial" w:hAnsi="Arial"/>
                <w:sz w:val="18"/>
                <w:szCs w:val="18"/>
                <w:color w:val="auto"/>
              </w:rPr>
              <w:t>August</w:t>
            </w:r>
          </w:p>
        </w:tc>
      </w:tr>
      <w:tr>
        <w:trPr>
          <w:trHeight w:val="196"/>
        </w:trPr>
        <w:tc>
          <w:tcPr>
            <w:tcW w:w="680" w:type="dxa"/>
            <w:vAlign w:val="bottom"/>
            <w:tcBorders>
              <w:left w:val="single" w:sz="8" w:color="auto"/>
              <w:right w:val="single" w:sz="8" w:color="auto"/>
            </w:tcBorders>
          </w:tcPr>
          <w:p>
            <w:pPr>
              <w:spacing w:after="0"/>
              <w:rPr>
                <w:sz w:val="17"/>
                <w:szCs w:val="17"/>
                <w:color w:val="auto"/>
              </w:rPr>
            </w:pPr>
          </w:p>
        </w:tc>
        <w:tc>
          <w:tcPr>
            <w:tcW w:w="6400" w:type="dxa"/>
            <w:vAlign w:val="bottom"/>
            <w:tcBorders>
              <w:right w:val="single" w:sz="8" w:color="auto"/>
            </w:tcBorders>
            <w:gridSpan w:val="20"/>
          </w:tcPr>
          <w:p>
            <w:pPr>
              <w:spacing w:after="0" w:line="196" w:lineRule="exact"/>
              <w:rPr>
                <w:rFonts w:ascii="Arial" w:cs="Arial" w:eastAsia="Arial" w:hAnsi="Arial"/>
                <w:sz w:val="18"/>
                <w:szCs w:val="18"/>
                <w:color w:val="0000EE"/>
              </w:rPr>
            </w:pPr>
            <w:hyperlink r:id="rId192">
              <w:r>
                <w:rPr>
                  <w:rFonts w:ascii="Arial" w:cs="Arial" w:eastAsia="Arial" w:hAnsi="Arial"/>
                  <w:sz w:val="18"/>
                  <w:szCs w:val="18"/>
                  <w:color w:val="0000EE"/>
                </w:rPr>
                <w:t>Burlington Coat Factory Warehouse Corporation and Jennifer Vecchio.</w:t>
              </w:r>
            </w:hyperlink>
          </w:p>
        </w:tc>
        <w:tc>
          <w:tcPr>
            <w:tcW w:w="76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w w:val="91"/>
              </w:rPr>
              <w:t>Report on</w:t>
            </w:r>
          </w:p>
        </w:tc>
        <w:tc>
          <w:tcPr>
            <w:tcW w:w="78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31, 2015</w:t>
            </w:r>
          </w:p>
        </w:tc>
      </w:tr>
      <w:tr>
        <w:trPr>
          <w:trHeight w:val="222"/>
        </w:trPr>
        <w:tc>
          <w:tcPr>
            <w:tcW w:w="680" w:type="dxa"/>
            <w:vAlign w:val="bottom"/>
            <w:tcBorders>
              <w:left w:val="single" w:sz="8" w:color="auto"/>
              <w:right w:val="single" w:sz="8" w:color="auto"/>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1320" w:type="dxa"/>
            <w:vAlign w:val="bottom"/>
            <w:tcBorders>
              <w:top w:val="single" w:sz="8" w:color="0000EE"/>
            </w:tcBorders>
          </w:tcPr>
          <w:p>
            <w:pPr>
              <w:spacing w:after="0"/>
              <w:rPr>
                <w:sz w:val="19"/>
                <w:szCs w:val="19"/>
                <w:color w:val="auto"/>
              </w:rPr>
            </w:pPr>
          </w:p>
        </w:tc>
        <w:tc>
          <w:tcPr>
            <w:tcW w:w="3340" w:type="dxa"/>
            <w:vAlign w:val="bottom"/>
            <w:tcBorders>
              <w:top w:val="single" w:sz="8" w:color="0000EE"/>
            </w:tcBorders>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8"/>
              </w:rPr>
              <w:t>Form 10-</w:t>
            </w:r>
          </w:p>
        </w:tc>
        <w:tc>
          <w:tcPr>
            <w:tcW w:w="780" w:type="dxa"/>
            <w:vAlign w:val="bottom"/>
            <w:tcBorders>
              <w:right w:val="single" w:sz="8" w:color="auto"/>
            </w:tcBorders>
          </w:tcPr>
          <w:p>
            <w:pPr>
              <w:spacing w:after="0"/>
              <w:rPr>
                <w:sz w:val="19"/>
                <w:szCs w:val="19"/>
                <w:color w:val="auto"/>
              </w:rPr>
            </w:pPr>
          </w:p>
        </w:tc>
      </w:tr>
      <w:tr>
        <w:trPr>
          <w:trHeight w:val="216"/>
        </w:trPr>
        <w:tc>
          <w:tcPr>
            <w:tcW w:w="680" w:type="dxa"/>
            <w:vAlign w:val="bottom"/>
            <w:tcBorders>
              <w:left w:val="single" w:sz="8" w:color="auto"/>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Q</w:t>
            </w:r>
          </w:p>
        </w:tc>
        <w:tc>
          <w:tcPr>
            <w:tcW w:w="780" w:type="dxa"/>
            <w:vAlign w:val="bottom"/>
            <w:tcBorders>
              <w:right w:val="single" w:sz="8" w:color="auto"/>
            </w:tcBorders>
          </w:tcPr>
          <w:p>
            <w:pPr>
              <w:spacing w:after="0"/>
              <w:rPr>
                <w:sz w:val="18"/>
                <w:szCs w:val="18"/>
                <w:color w:val="auto"/>
              </w:rPr>
            </w:pPr>
          </w:p>
        </w:tc>
      </w:tr>
      <w:tr>
        <w:trPr>
          <w:trHeight w:val="216"/>
        </w:trPr>
        <w:tc>
          <w:tcPr>
            <w:tcW w:w="680" w:type="dxa"/>
            <w:vAlign w:val="bottom"/>
            <w:tcBorders>
              <w:left w:val="single" w:sz="8" w:color="auto"/>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(File No.</w:t>
            </w:r>
          </w:p>
        </w:tc>
        <w:tc>
          <w:tcPr>
            <w:tcW w:w="780" w:type="dxa"/>
            <w:vAlign w:val="bottom"/>
            <w:tcBorders>
              <w:right w:val="single" w:sz="8" w:color="auto"/>
            </w:tcBorders>
          </w:tcPr>
          <w:p>
            <w:pPr>
              <w:spacing w:after="0"/>
              <w:rPr>
                <w:sz w:val="18"/>
                <w:szCs w:val="18"/>
                <w:color w:val="auto"/>
              </w:rPr>
            </w:pPr>
          </w:p>
        </w:tc>
      </w:tr>
      <w:tr>
        <w:trPr>
          <w:trHeight w:val="216"/>
        </w:trPr>
        <w:tc>
          <w:tcPr>
            <w:tcW w:w="680" w:type="dxa"/>
            <w:vAlign w:val="bottom"/>
            <w:tcBorders>
              <w:left w:val="single" w:sz="8" w:color="auto"/>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001-</w:t>
            </w:r>
          </w:p>
        </w:tc>
        <w:tc>
          <w:tcPr>
            <w:tcW w:w="780" w:type="dxa"/>
            <w:vAlign w:val="bottom"/>
            <w:tcBorders>
              <w:right w:val="single" w:sz="8" w:color="auto"/>
            </w:tcBorders>
          </w:tcPr>
          <w:p>
            <w:pPr>
              <w:spacing w:after="0"/>
              <w:rPr>
                <w:sz w:val="18"/>
                <w:szCs w:val="18"/>
                <w:color w:val="auto"/>
              </w:rPr>
            </w:pPr>
          </w:p>
        </w:tc>
      </w:tr>
      <w:tr>
        <w:trPr>
          <w:trHeight w:val="230"/>
        </w:trPr>
        <w:tc>
          <w:tcPr>
            <w:tcW w:w="680" w:type="dxa"/>
            <w:vAlign w:val="bottom"/>
            <w:tcBorders>
              <w:left w:val="single" w:sz="8" w:color="auto"/>
              <w:bottom w:val="single" w:sz="8" w:color="auto"/>
              <w:right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36107)</w:t>
            </w:r>
          </w:p>
        </w:tc>
        <w:tc>
          <w:tcPr>
            <w:tcW w:w="780" w:type="dxa"/>
            <w:vAlign w:val="bottom"/>
            <w:tcBorders>
              <w:bottom w:val="single" w:sz="8" w:color="auto"/>
              <w:right w:val="single" w:sz="8" w:color="auto"/>
            </w:tcBorders>
          </w:tcPr>
          <w:p>
            <w:pPr>
              <w:spacing w:after="0"/>
              <w:rPr>
                <w:sz w:val="20"/>
                <w:szCs w:val="20"/>
                <w:color w:val="auto"/>
              </w:rPr>
            </w:pPr>
          </w:p>
        </w:tc>
      </w:tr>
      <w:tr>
        <w:trPr>
          <w:trHeight w:val="169"/>
        </w:trPr>
        <w:tc>
          <w:tcPr>
            <w:tcW w:w="680" w:type="dxa"/>
            <w:vAlign w:val="bottom"/>
            <w:tcBorders>
              <w:left w:val="single" w:sz="8" w:color="auto"/>
              <w:right w:val="single" w:sz="8" w:color="auto"/>
            </w:tcBorders>
          </w:tcPr>
          <w:p>
            <w:pPr>
              <w:spacing w:after="0" w:line="170" w:lineRule="exact"/>
              <w:rPr>
                <w:sz w:val="20"/>
                <w:szCs w:val="20"/>
                <w:color w:val="auto"/>
              </w:rPr>
            </w:pPr>
            <w:r>
              <w:rPr>
                <w:rFonts w:ascii="Arial" w:cs="Arial" w:eastAsia="Arial" w:hAnsi="Arial"/>
                <w:sz w:val="18"/>
                <w:szCs w:val="18"/>
                <w:color w:val="auto"/>
                <w:w w:val="90"/>
              </w:rPr>
              <w:t>10.37.1+</w:t>
            </w:r>
          </w:p>
        </w:tc>
        <w:tc>
          <w:tcPr>
            <w:tcW w:w="6360" w:type="dxa"/>
            <w:vAlign w:val="bottom"/>
            <w:tcBorders>
              <w:bottom w:val="single" w:sz="8" w:color="0000EE"/>
            </w:tcBorders>
            <w:gridSpan w:val="19"/>
          </w:tcPr>
          <w:p>
            <w:pPr>
              <w:spacing w:after="0" w:line="170" w:lineRule="exact"/>
              <w:rPr>
                <w:rFonts w:ascii="Arial" w:cs="Arial" w:eastAsia="Arial" w:hAnsi="Arial"/>
                <w:sz w:val="18"/>
                <w:szCs w:val="18"/>
                <w:color w:val="0000EE"/>
                <w:w w:val="89"/>
              </w:rPr>
            </w:pPr>
            <w:hyperlink r:id="rId193">
              <w:r>
                <w:rPr>
                  <w:rFonts w:ascii="Arial" w:cs="Arial" w:eastAsia="Arial" w:hAnsi="Arial"/>
                  <w:sz w:val="18"/>
                  <w:szCs w:val="18"/>
                  <w:color w:val="0000EE"/>
                  <w:w w:val="89"/>
                </w:rPr>
                <w:t>Amendment to Amended and Restated Employment Agreement, dated July 28, 2015, by</w:t>
              </w:r>
            </w:hyperlink>
          </w:p>
        </w:tc>
        <w:tc>
          <w:tcPr>
            <w:tcW w:w="40" w:type="dxa"/>
            <w:vAlign w:val="bottom"/>
            <w:tcBorders>
              <w:right w:val="single" w:sz="8" w:color="auto"/>
            </w:tcBorders>
          </w:tcPr>
          <w:p>
            <w:pPr>
              <w:spacing w:after="0"/>
              <w:rPr>
                <w:sz w:val="14"/>
                <w:szCs w:val="14"/>
                <w:color w:val="auto"/>
              </w:rPr>
            </w:pPr>
          </w:p>
        </w:tc>
        <w:tc>
          <w:tcPr>
            <w:tcW w:w="760" w:type="dxa"/>
            <w:vAlign w:val="bottom"/>
            <w:tcBorders>
              <w:right w:val="single" w:sz="8" w:color="auto"/>
            </w:tcBorders>
          </w:tcPr>
          <w:p>
            <w:pPr>
              <w:spacing w:after="0" w:line="170" w:lineRule="exact"/>
              <w:rPr>
                <w:sz w:val="20"/>
                <w:szCs w:val="20"/>
                <w:color w:val="auto"/>
              </w:rPr>
            </w:pPr>
            <w:r>
              <w:rPr>
                <w:rFonts w:ascii="Arial" w:cs="Arial" w:eastAsia="Arial" w:hAnsi="Arial"/>
                <w:sz w:val="18"/>
                <w:szCs w:val="18"/>
                <w:color w:val="auto"/>
              </w:rPr>
              <w:t>Current</w:t>
            </w:r>
          </w:p>
        </w:tc>
        <w:tc>
          <w:tcPr>
            <w:tcW w:w="780" w:type="dxa"/>
            <w:vAlign w:val="bottom"/>
            <w:tcBorders>
              <w:right w:val="single" w:sz="8" w:color="auto"/>
            </w:tcBorders>
          </w:tcPr>
          <w:p>
            <w:pPr>
              <w:spacing w:after="0" w:line="170" w:lineRule="exact"/>
              <w:rPr>
                <w:sz w:val="20"/>
                <w:szCs w:val="20"/>
                <w:color w:val="auto"/>
              </w:rPr>
            </w:pPr>
            <w:r>
              <w:rPr>
                <w:rFonts w:ascii="Arial" w:cs="Arial" w:eastAsia="Arial" w:hAnsi="Arial"/>
                <w:sz w:val="18"/>
                <w:szCs w:val="18"/>
                <w:color w:val="auto"/>
              </w:rPr>
              <w:t>May 22,</w:t>
            </w:r>
          </w:p>
        </w:tc>
      </w:tr>
      <w:tr>
        <w:trPr>
          <w:trHeight w:val="196"/>
        </w:trPr>
        <w:tc>
          <w:tcPr>
            <w:tcW w:w="680" w:type="dxa"/>
            <w:vAlign w:val="bottom"/>
            <w:tcBorders>
              <w:left w:val="single" w:sz="8" w:color="auto"/>
              <w:right w:val="single" w:sz="8" w:color="auto"/>
            </w:tcBorders>
          </w:tcPr>
          <w:p>
            <w:pPr>
              <w:spacing w:after="0"/>
              <w:rPr>
                <w:sz w:val="17"/>
                <w:szCs w:val="17"/>
                <w:color w:val="auto"/>
              </w:rPr>
            </w:pPr>
          </w:p>
        </w:tc>
        <w:tc>
          <w:tcPr>
            <w:tcW w:w="6400" w:type="dxa"/>
            <w:vAlign w:val="bottom"/>
            <w:tcBorders>
              <w:right w:val="single" w:sz="8" w:color="auto"/>
            </w:tcBorders>
            <w:gridSpan w:val="20"/>
          </w:tcPr>
          <w:p>
            <w:pPr>
              <w:spacing w:after="0" w:line="196" w:lineRule="exact"/>
              <w:rPr>
                <w:rFonts w:ascii="Arial" w:cs="Arial" w:eastAsia="Arial" w:hAnsi="Arial"/>
                <w:sz w:val="18"/>
                <w:szCs w:val="18"/>
                <w:color w:val="0000EE"/>
                <w:w w:val="96"/>
              </w:rPr>
            </w:pPr>
            <w:hyperlink r:id="rId193">
              <w:r>
                <w:rPr>
                  <w:rFonts w:ascii="Arial" w:cs="Arial" w:eastAsia="Arial" w:hAnsi="Arial"/>
                  <w:sz w:val="18"/>
                  <w:szCs w:val="18"/>
                  <w:color w:val="0000EE"/>
                  <w:w w:val="96"/>
                </w:rPr>
                <w:t>and among Burlington Coat Factory Warehouse Corporation and Jennifer Vecchio.</w:t>
              </w:r>
            </w:hyperlink>
          </w:p>
        </w:tc>
        <w:tc>
          <w:tcPr>
            <w:tcW w:w="76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w w:val="91"/>
              </w:rPr>
              <w:t>Report on</w:t>
            </w:r>
          </w:p>
        </w:tc>
        <w:tc>
          <w:tcPr>
            <w:tcW w:w="78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2017</w:t>
            </w:r>
          </w:p>
        </w:tc>
      </w:tr>
      <w:tr>
        <w:trPr>
          <w:trHeight w:val="222"/>
        </w:trPr>
        <w:tc>
          <w:tcPr>
            <w:tcW w:w="680" w:type="dxa"/>
            <w:vAlign w:val="bottom"/>
            <w:tcBorders>
              <w:left w:val="single" w:sz="8" w:color="auto"/>
              <w:right w:val="single" w:sz="8" w:color="auto"/>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1320" w:type="dxa"/>
            <w:vAlign w:val="bottom"/>
            <w:tcBorders>
              <w:top w:val="single" w:sz="8" w:color="0000EE"/>
            </w:tcBorders>
          </w:tcPr>
          <w:p>
            <w:pPr>
              <w:spacing w:after="0"/>
              <w:rPr>
                <w:sz w:val="19"/>
                <w:szCs w:val="19"/>
                <w:color w:val="auto"/>
              </w:rPr>
            </w:pPr>
          </w:p>
        </w:tc>
        <w:tc>
          <w:tcPr>
            <w:tcW w:w="3340" w:type="dxa"/>
            <w:vAlign w:val="bottom"/>
            <w:tcBorders>
              <w:top w:val="single" w:sz="8" w:color="0000EE"/>
            </w:tcBorders>
          </w:tcPr>
          <w:p>
            <w:pPr>
              <w:spacing w:after="0"/>
              <w:rPr>
                <w:sz w:val="19"/>
                <w:szCs w:val="19"/>
                <w:color w:val="auto"/>
              </w:rPr>
            </w:pPr>
          </w:p>
        </w:tc>
        <w:tc>
          <w:tcPr>
            <w:tcW w:w="6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5"/>
              </w:rPr>
              <w:t>Form 8-K</w:t>
            </w:r>
          </w:p>
        </w:tc>
        <w:tc>
          <w:tcPr>
            <w:tcW w:w="780" w:type="dxa"/>
            <w:vAlign w:val="bottom"/>
            <w:tcBorders>
              <w:right w:val="single" w:sz="8" w:color="auto"/>
            </w:tcBorders>
          </w:tcPr>
          <w:p>
            <w:pPr>
              <w:spacing w:after="0"/>
              <w:rPr>
                <w:sz w:val="19"/>
                <w:szCs w:val="19"/>
                <w:color w:val="auto"/>
              </w:rPr>
            </w:pPr>
          </w:p>
        </w:tc>
      </w:tr>
      <w:tr>
        <w:trPr>
          <w:trHeight w:val="216"/>
        </w:trPr>
        <w:tc>
          <w:tcPr>
            <w:tcW w:w="680" w:type="dxa"/>
            <w:vAlign w:val="bottom"/>
            <w:tcBorders>
              <w:left w:val="single" w:sz="8" w:color="auto"/>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(File No.</w:t>
            </w:r>
          </w:p>
        </w:tc>
        <w:tc>
          <w:tcPr>
            <w:tcW w:w="780" w:type="dxa"/>
            <w:vAlign w:val="bottom"/>
            <w:tcBorders>
              <w:right w:val="single" w:sz="8" w:color="auto"/>
            </w:tcBorders>
          </w:tcPr>
          <w:p>
            <w:pPr>
              <w:spacing w:after="0"/>
              <w:rPr>
                <w:sz w:val="18"/>
                <w:szCs w:val="18"/>
                <w:color w:val="auto"/>
              </w:rPr>
            </w:pPr>
          </w:p>
        </w:tc>
      </w:tr>
      <w:tr>
        <w:trPr>
          <w:trHeight w:val="216"/>
        </w:trPr>
        <w:tc>
          <w:tcPr>
            <w:tcW w:w="680" w:type="dxa"/>
            <w:vAlign w:val="bottom"/>
            <w:tcBorders>
              <w:left w:val="single" w:sz="8" w:color="auto"/>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001-</w:t>
            </w:r>
          </w:p>
        </w:tc>
        <w:tc>
          <w:tcPr>
            <w:tcW w:w="780" w:type="dxa"/>
            <w:vAlign w:val="bottom"/>
            <w:tcBorders>
              <w:right w:val="single" w:sz="8" w:color="auto"/>
            </w:tcBorders>
          </w:tcPr>
          <w:p>
            <w:pPr>
              <w:spacing w:after="0"/>
              <w:rPr>
                <w:sz w:val="18"/>
                <w:szCs w:val="18"/>
                <w:color w:val="auto"/>
              </w:rPr>
            </w:pPr>
          </w:p>
        </w:tc>
      </w:tr>
      <w:tr>
        <w:trPr>
          <w:trHeight w:val="230"/>
        </w:trPr>
        <w:tc>
          <w:tcPr>
            <w:tcW w:w="680" w:type="dxa"/>
            <w:vAlign w:val="bottom"/>
            <w:tcBorders>
              <w:left w:val="single" w:sz="8" w:color="auto"/>
              <w:bottom w:val="single" w:sz="8" w:color="auto"/>
              <w:right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36107)</w:t>
            </w:r>
          </w:p>
        </w:tc>
        <w:tc>
          <w:tcPr>
            <w:tcW w:w="780" w:type="dxa"/>
            <w:vAlign w:val="bottom"/>
            <w:tcBorders>
              <w:bottom w:val="single" w:sz="8" w:color="auto"/>
              <w:right w:val="single" w:sz="8" w:color="auto"/>
            </w:tcBorders>
          </w:tcPr>
          <w:p>
            <w:pPr>
              <w:spacing w:after="0"/>
              <w:rPr>
                <w:sz w:val="20"/>
                <w:szCs w:val="20"/>
                <w:color w:val="auto"/>
              </w:rPr>
            </w:pPr>
          </w:p>
        </w:tc>
      </w:tr>
      <w:tr>
        <w:trPr>
          <w:trHeight w:val="169"/>
        </w:trPr>
        <w:tc>
          <w:tcPr>
            <w:tcW w:w="680" w:type="dxa"/>
            <w:vAlign w:val="bottom"/>
            <w:tcBorders>
              <w:left w:val="single" w:sz="8" w:color="auto"/>
              <w:right w:val="single" w:sz="8" w:color="auto"/>
            </w:tcBorders>
          </w:tcPr>
          <w:p>
            <w:pPr>
              <w:spacing w:after="0" w:line="170" w:lineRule="exact"/>
              <w:rPr>
                <w:sz w:val="20"/>
                <w:szCs w:val="20"/>
                <w:color w:val="auto"/>
              </w:rPr>
            </w:pPr>
            <w:r>
              <w:rPr>
                <w:rFonts w:ascii="Arial" w:cs="Arial" w:eastAsia="Arial" w:hAnsi="Arial"/>
                <w:sz w:val="18"/>
                <w:szCs w:val="18"/>
                <w:color w:val="auto"/>
              </w:rPr>
              <w:t>10.38+</w:t>
            </w:r>
          </w:p>
        </w:tc>
        <w:tc>
          <w:tcPr>
            <w:tcW w:w="6160" w:type="dxa"/>
            <w:vAlign w:val="bottom"/>
            <w:tcBorders>
              <w:bottom w:val="single" w:sz="8" w:color="0000EE"/>
            </w:tcBorders>
            <w:gridSpan w:val="16"/>
          </w:tcPr>
          <w:p>
            <w:pPr>
              <w:spacing w:after="0" w:line="170" w:lineRule="exact"/>
              <w:rPr>
                <w:rFonts w:ascii="Arial" w:cs="Arial" w:eastAsia="Arial" w:hAnsi="Arial"/>
                <w:sz w:val="18"/>
                <w:szCs w:val="18"/>
                <w:color w:val="0000EE"/>
                <w:w w:val="91"/>
              </w:rPr>
            </w:pPr>
            <w:hyperlink r:id="rId194">
              <w:r>
                <w:rPr>
                  <w:rFonts w:ascii="Arial" w:cs="Arial" w:eastAsia="Arial" w:hAnsi="Arial"/>
                  <w:sz w:val="18"/>
                  <w:szCs w:val="18"/>
                  <w:color w:val="0000EE"/>
                  <w:w w:val="91"/>
                </w:rPr>
                <w:t>Form of Non-Qualified Stock Option Agreement between Burlington Stores, Inc. and</w:t>
              </w:r>
            </w:hyperlink>
          </w:p>
        </w:tc>
        <w:tc>
          <w:tcPr>
            <w:tcW w:w="240" w:type="dxa"/>
            <w:vAlign w:val="bottom"/>
            <w:tcBorders>
              <w:right w:val="single" w:sz="8" w:color="auto"/>
            </w:tcBorders>
            <w:gridSpan w:val="4"/>
          </w:tcPr>
          <w:p>
            <w:pPr>
              <w:spacing w:after="0"/>
              <w:rPr>
                <w:sz w:val="14"/>
                <w:szCs w:val="14"/>
                <w:color w:val="auto"/>
              </w:rPr>
            </w:pPr>
          </w:p>
        </w:tc>
        <w:tc>
          <w:tcPr>
            <w:tcW w:w="760" w:type="dxa"/>
            <w:vAlign w:val="bottom"/>
            <w:tcBorders>
              <w:right w:val="single" w:sz="8" w:color="auto"/>
            </w:tcBorders>
          </w:tcPr>
          <w:p>
            <w:pPr>
              <w:spacing w:after="0" w:line="170" w:lineRule="exact"/>
              <w:rPr>
                <w:sz w:val="20"/>
                <w:szCs w:val="20"/>
                <w:color w:val="auto"/>
              </w:rPr>
            </w:pPr>
            <w:r>
              <w:rPr>
                <w:rFonts w:ascii="Arial" w:cs="Arial" w:eastAsia="Arial" w:hAnsi="Arial"/>
                <w:sz w:val="18"/>
                <w:szCs w:val="18"/>
                <w:color w:val="auto"/>
              </w:rPr>
              <w:t>Annual</w:t>
            </w:r>
          </w:p>
        </w:tc>
        <w:tc>
          <w:tcPr>
            <w:tcW w:w="780" w:type="dxa"/>
            <w:vAlign w:val="bottom"/>
            <w:tcBorders>
              <w:right w:val="single" w:sz="8" w:color="auto"/>
            </w:tcBorders>
          </w:tcPr>
          <w:p>
            <w:pPr>
              <w:spacing w:after="0" w:line="170" w:lineRule="exact"/>
              <w:rPr>
                <w:sz w:val="20"/>
                <w:szCs w:val="20"/>
                <w:color w:val="auto"/>
              </w:rPr>
            </w:pPr>
            <w:r>
              <w:rPr>
                <w:rFonts w:ascii="Arial" w:cs="Arial" w:eastAsia="Arial" w:hAnsi="Arial"/>
                <w:sz w:val="18"/>
                <w:szCs w:val="18"/>
                <w:color w:val="auto"/>
                <w:w w:val="92"/>
              </w:rPr>
              <w:t>March 15,</w:t>
            </w:r>
          </w:p>
        </w:tc>
      </w:tr>
      <w:tr>
        <w:trPr>
          <w:trHeight w:val="196"/>
        </w:trPr>
        <w:tc>
          <w:tcPr>
            <w:tcW w:w="680" w:type="dxa"/>
            <w:vAlign w:val="bottom"/>
            <w:tcBorders>
              <w:left w:val="single" w:sz="8" w:color="auto"/>
              <w:right w:val="single" w:sz="8" w:color="auto"/>
            </w:tcBorders>
          </w:tcPr>
          <w:p>
            <w:pPr>
              <w:spacing w:after="0"/>
              <w:rPr>
                <w:sz w:val="17"/>
                <w:szCs w:val="17"/>
                <w:color w:val="auto"/>
              </w:rPr>
            </w:pPr>
          </w:p>
        </w:tc>
        <w:tc>
          <w:tcPr>
            <w:tcW w:w="6400" w:type="dxa"/>
            <w:vAlign w:val="bottom"/>
            <w:tcBorders>
              <w:right w:val="single" w:sz="8" w:color="auto"/>
            </w:tcBorders>
            <w:gridSpan w:val="20"/>
          </w:tcPr>
          <w:p>
            <w:pPr>
              <w:spacing w:after="0" w:line="196" w:lineRule="exact"/>
              <w:rPr>
                <w:rFonts w:ascii="Arial" w:cs="Arial" w:eastAsia="Arial" w:hAnsi="Arial"/>
                <w:sz w:val="18"/>
                <w:szCs w:val="18"/>
                <w:color w:val="0000EE"/>
                <w:w w:val="94"/>
              </w:rPr>
            </w:pPr>
            <w:hyperlink r:id="rId194">
              <w:r>
                <w:rPr>
                  <w:rFonts w:ascii="Arial" w:cs="Arial" w:eastAsia="Arial" w:hAnsi="Arial"/>
                  <w:sz w:val="18"/>
                  <w:szCs w:val="18"/>
                  <w:color w:val="0000EE"/>
                  <w:w w:val="94"/>
                </w:rPr>
                <w:t>Employees with Employment Agreements pursuant to Burlington Holdings, Inc. 2006</w:t>
              </w:r>
            </w:hyperlink>
          </w:p>
        </w:tc>
        <w:tc>
          <w:tcPr>
            <w:tcW w:w="76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w w:val="91"/>
              </w:rPr>
              <w:t>Report on</w:t>
            </w:r>
          </w:p>
        </w:tc>
        <w:tc>
          <w:tcPr>
            <w:tcW w:w="78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2016</w:t>
            </w:r>
          </w:p>
        </w:tc>
      </w:tr>
      <w:tr>
        <w:trPr>
          <w:trHeight w:val="196"/>
        </w:trPr>
        <w:tc>
          <w:tcPr>
            <w:tcW w:w="680" w:type="dxa"/>
            <w:vAlign w:val="bottom"/>
            <w:tcBorders>
              <w:left w:val="single" w:sz="8" w:color="auto"/>
              <w:right w:val="single" w:sz="8" w:color="auto"/>
            </w:tcBorders>
          </w:tcPr>
          <w:p>
            <w:pPr>
              <w:spacing w:after="0"/>
              <w:rPr>
                <w:sz w:val="17"/>
                <w:szCs w:val="17"/>
                <w:color w:val="auto"/>
              </w:rPr>
            </w:pPr>
          </w:p>
        </w:tc>
        <w:tc>
          <w:tcPr>
            <w:tcW w:w="6180" w:type="dxa"/>
            <w:vAlign w:val="bottom"/>
            <w:tcBorders>
              <w:top w:val="single" w:sz="8" w:color="0000EE"/>
            </w:tcBorders>
            <w:gridSpan w:val="17"/>
          </w:tcPr>
          <w:p>
            <w:pPr>
              <w:spacing w:after="0" w:line="196" w:lineRule="exact"/>
              <w:rPr>
                <w:rFonts w:ascii="Arial" w:cs="Arial" w:eastAsia="Arial" w:hAnsi="Arial"/>
                <w:sz w:val="18"/>
                <w:szCs w:val="18"/>
                <w:color w:val="0000EE"/>
                <w:w w:val="93"/>
              </w:rPr>
            </w:pPr>
            <w:hyperlink r:id="rId194">
              <w:r>
                <w:rPr>
                  <w:rFonts w:ascii="Arial" w:cs="Arial" w:eastAsia="Arial" w:hAnsi="Arial"/>
                  <w:sz w:val="18"/>
                  <w:szCs w:val="18"/>
                  <w:color w:val="0000EE"/>
                  <w:w w:val="93"/>
                </w:rPr>
                <w:t>Management Incentive Plan (for grants made after from and after December 2015).</w:t>
              </w:r>
            </w:hyperlink>
          </w:p>
        </w:tc>
        <w:tc>
          <w:tcPr>
            <w:tcW w:w="220" w:type="dxa"/>
            <w:vAlign w:val="bottom"/>
            <w:tcBorders>
              <w:right w:val="single" w:sz="8" w:color="auto"/>
            </w:tcBorders>
            <w:gridSpan w:val="3"/>
          </w:tcPr>
          <w:p>
            <w:pPr>
              <w:spacing w:after="0"/>
              <w:rPr>
                <w:sz w:val="17"/>
                <w:szCs w:val="17"/>
                <w:color w:val="auto"/>
              </w:rPr>
            </w:pPr>
          </w:p>
        </w:tc>
        <w:tc>
          <w:tcPr>
            <w:tcW w:w="76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w w:val="98"/>
              </w:rPr>
              <w:t>Form 10-</w:t>
            </w:r>
          </w:p>
        </w:tc>
        <w:tc>
          <w:tcPr>
            <w:tcW w:w="780" w:type="dxa"/>
            <w:vAlign w:val="bottom"/>
            <w:tcBorders>
              <w:right w:val="single" w:sz="8" w:color="auto"/>
            </w:tcBorders>
          </w:tcPr>
          <w:p>
            <w:pPr>
              <w:spacing w:after="0"/>
              <w:rPr>
                <w:sz w:val="17"/>
                <w:szCs w:val="17"/>
                <w:color w:val="auto"/>
              </w:rPr>
            </w:pPr>
          </w:p>
        </w:tc>
      </w:tr>
      <w:tr>
        <w:trPr>
          <w:trHeight w:val="222"/>
        </w:trPr>
        <w:tc>
          <w:tcPr>
            <w:tcW w:w="680" w:type="dxa"/>
            <w:vAlign w:val="bottom"/>
            <w:tcBorders>
              <w:left w:val="single" w:sz="8" w:color="auto"/>
              <w:right w:val="single" w:sz="8" w:color="auto"/>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1320" w:type="dxa"/>
            <w:vAlign w:val="bottom"/>
            <w:tcBorders>
              <w:top w:val="single" w:sz="8" w:color="0000EE"/>
            </w:tcBorders>
          </w:tcPr>
          <w:p>
            <w:pPr>
              <w:spacing w:after="0"/>
              <w:rPr>
                <w:sz w:val="19"/>
                <w:szCs w:val="19"/>
                <w:color w:val="auto"/>
              </w:rPr>
            </w:pPr>
          </w:p>
        </w:tc>
        <w:tc>
          <w:tcPr>
            <w:tcW w:w="3340" w:type="dxa"/>
            <w:vAlign w:val="bottom"/>
            <w:tcBorders>
              <w:top w:val="single" w:sz="8" w:color="0000EE"/>
            </w:tcBorders>
          </w:tcPr>
          <w:p>
            <w:pPr>
              <w:spacing w:after="0"/>
              <w:rPr>
                <w:sz w:val="19"/>
                <w:szCs w:val="19"/>
                <w:color w:val="auto"/>
              </w:rPr>
            </w:pPr>
          </w:p>
        </w:tc>
        <w:tc>
          <w:tcPr>
            <w:tcW w:w="6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K</w:t>
            </w:r>
          </w:p>
        </w:tc>
        <w:tc>
          <w:tcPr>
            <w:tcW w:w="780" w:type="dxa"/>
            <w:vAlign w:val="bottom"/>
            <w:tcBorders>
              <w:right w:val="single" w:sz="8" w:color="auto"/>
            </w:tcBorders>
          </w:tcPr>
          <w:p>
            <w:pPr>
              <w:spacing w:after="0"/>
              <w:rPr>
                <w:sz w:val="19"/>
                <w:szCs w:val="19"/>
                <w:color w:val="auto"/>
              </w:rPr>
            </w:pPr>
          </w:p>
        </w:tc>
      </w:tr>
      <w:tr>
        <w:trPr>
          <w:trHeight w:val="216"/>
        </w:trPr>
        <w:tc>
          <w:tcPr>
            <w:tcW w:w="680" w:type="dxa"/>
            <w:vAlign w:val="bottom"/>
            <w:tcBorders>
              <w:left w:val="single" w:sz="8" w:color="auto"/>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(File No.</w:t>
            </w:r>
          </w:p>
        </w:tc>
        <w:tc>
          <w:tcPr>
            <w:tcW w:w="780" w:type="dxa"/>
            <w:vAlign w:val="bottom"/>
            <w:tcBorders>
              <w:right w:val="single" w:sz="8" w:color="auto"/>
            </w:tcBorders>
          </w:tcPr>
          <w:p>
            <w:pPr>
              <w:spacing w:after="0"/>
              <w:rPr>
                <w:sz w:val="18"/>
                <w:szCs w:val="18"/>
                <w:color w:val="auto"/>
              </w:rPr>
            </w:pPr>
          </w:p>
        </w:tc>
      </w:tr>
      <w:tr>
        <w:trPr>
          <w:trHeight w:val="216"/>
        </w:trPr>
        <w:tc>
          <w:tcPr>
            <w:tcW w:w="680" w:type="dxa"/>
            <w:vAlign w:val="bottom"/>
            <w:tcBorders>
              <w:left w:val="single" w:sz="8" w:color="auto"/>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001-</w:t>
            </w:r>
          </w:p>
        </w:tc>
        <w:tc>
          <w:tcPr>
            <w:tcW w:w="780" w:type="dxa"/>
            <w:vAlign w:val="bottom"/>
            <w:tcBorders>
              <w:right w:val="single" w:sz="8" w:color="auto"/>
            </w:tcBorders>
          </w:tcPr>
          <w:p>
            <w:pPr>
              <w:spacing w:after="0"/>
              <w:rPr>
                <w:sz w:val="18"/>
                <w:szCs w:val="18"/>
                <w:color w:val="auto"/>
              </w:rPr>
            </w:pPr>
          </w:p>
        </w:tc>
      </w:tr>
      <w:tr>
        <w:trPr>
          <w:trHeight w:val="230"/>
        </w:trPr>
        <w:tc>
          <w:tcPr>
            <w:tcW w:w="680" w:type="dxa"/>
            <w:vAlign w:val="bottom"/>
            <w:tcBorders>
              <w:left w:val="single" w:sz="8" w:color="auto"/>
              <w:bottom w:val="single" w:sz="8" w:color="auto"/>
              <w:right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36107)</w:t>
            </w:r>
          </w:p>
        </w:tc>
        <w:tc>
          <w:tcPr>
            <w:tcW w:w="780" w:type="dxa"/>
            <w:vAlign w:val="bottom"/>
            <w:tcBorders>
              <w:bottom w:val="single" w:sz="8" w:color="auto"/>
              <w:right w:val="single" w:sz="8" w:color="auto"/>
            </w:tcBorders>
          </w:tcPr>
          <w:p>
            <w:pPr>
              <w:spacing w:after="0"/>
              <w:rPr>
                <w:sz w:val="20"/>
                <w:szCs w:val="20"/>
                <w:color w:val="auto"/>
              </w:rPr>
            </w:pPr>
          </w:p>
        </w:tc>
      </w:tr>
      <w:tr>
        <w:trPr>
          <w:trHeight w:val="169"/>
        </w:trPr>
        <w:tc>
          <w:tcPr>
            <w:tcW w:w="680" w:type="dxa"/>
            <w:vAlign w:val="bottom"/>
            <w:tcBorders>
              <w:left w:val="single" w:sz="8" w:color="auto"/>
              <w:right w:val="single" w:sz="8" w:color="auto"/>
            </w:tcBorders>
          </w:tcPr>
          <w:p>
            <w:pPr>
              <w:spacing w:after="0" w:line="170" w:lineRule="exact"/>
              <w:rPr>
                <w:sz w:val="20"/>
                <w:szCs w:val="20"/>
                <w:color w:val="auto"/>
              </w:rPr>
            </w:pPr>
            <w:r>
              <w:rPr>
                <w:rFonts w:ascii="Arial" w:cs="Arial" w:eastAsia="Arial" w:hAnsi="Arial"/>
                <w:sz w:val="18"/>
                <w:szCs w:val="18"/>
                <w:color w:val="auto"/>
              </w:rPr>
              <w:t>10.39+</w:t>
            </w:r>
          </w:p>
        </w:tc>
        <w:tc>
          <w:tcPr>
            <w:tcW w:w="6140" w:type="dxa"/>
            <w:vAlign w:val="bottom"/>
            <w:tcBorders>
              <w:bottom w:val="single" w:sz="8" w:color="0000EE"/>
            </w:tcBorders>
            <w:gridSpan w:val="15"/>
          </w:tcPr>
          <w:p>
            <w:pPr>
              <w:spacing w:after="0" w:line="170" w:lineRule="exact"/>
              <w:rPr>
                <w:rFonts w:ascii="Arial" w:cs="Arial" w:eastAsia="Arial" w:hAnsi="Arial"/>
                <w:sz w:val="18"/>
                <w:szCs w:val="18"/>
                <w:color w:val="0000EE"/>
                <w:w w:val="91"/>
              </w:rPr>
            </w:pPr>
            <w:hyperlink r:id="rId195">
              <w:r>
                <w:rPr>
                  <w:rFonts w:ascii="Arial" w:cs="Arial" w:eastAsia="Arial" w:hAnsi="Arial"/>
                  <w:sz w:val="18"/>
                  <w:szCs w:val="18"/>
                  <w:color w:val="0000EE"/>
                  <w:w w:val="91"/>
                </w:rPr>
                <w:t>Form of Non-Qualified Stock Option Agreement between Burlington Stores, Inc. and</w:t>
              </w:r>
            </w:hyperlink>
          </w:p>
        </w:tc>
        <w:tc>
          <w:tcPr>
            <w:tcW w:w="260" w:type="dxa"/>
            <w:vAlign w:val="bottom"/>
            <w:tcBorders>
              <w:right w:val="single" w:sz="8" w:color="auto"/>
            </w:tcBorders>
            <w:gridSpan w:val="5"/>
          </w:tcPr>
          <w:p>
            <w:pPr>
              <w:spacing w:after="0"/>
              <w:rPr>
                <w:sz w:val="14"/>
                <w:szCs w:val="14"/>
                <w:color w:val="auto"/>
              </w:rPr>
            </w:pPr>
          </w:p>
        </w:tc>
        <w:tc>
          <w:tcPr>
            <w:tcW w:w="760" w:type="dxa"/>
            <w:vAlign w:val="bottom"/>
            <w:tcBorders>
              <w:right w:val="single" w:sz="8" w:color="auto"/>
            </w:tcBorders>
          </w:tcPr>
          <w:p>
            <w:pPr>
              <w:spacing w:after="0" w:line="170" w:lineRule="exact"/>
              <w:rPr>
                <w:sz w:val="20"/>
                <w:szCs w:val="20"/>
                <w:color w:val="auto"/>
              </w:rPr>
            </w:pPr>
            <w:r>
              <w:rPr>
                <w:rFonts w:ascii="Arial" w:cs="Arial" w:eastAsia="Arial" w:hAnsi="Arial"/>
                <w:sz w:val="18"/>
                <w:szCs w:val="18"/>
                <w:color w:val="auto"/>
              </w:rPr>
              <w:t>Annual</w:t>
            </w:r>
          </w:p>
        </w:tc>
        <w:tc>
          <w:tcPr>
            <w:tcW w:w="780" w:type="dxa"/>
            <w:vAlign w:val="bottom"/>
            <w:tcBorders>
              <w:right w:val="single" w:sz="8" w:color="auto"/>
            </w:tcBorders>
          </w:tcPr>
          <w:p>
            <w:pPr>
              <w:spacing w:after="0" w:line="170" w:lineRule="exact"/>
              <w:rPr>
                <w:sz w:val="20"/>
                <w:szCs w:val="20"/>
                <w:color w:val="auto"/>
              </w:rPr>
            </w:pPr>
            <w:r>
              <w:rPr>
                <w:rFonts w:ascii="Arial" w:cs="Arial" w:eastAsia="Arial" w:hAnsi="Arial"/>
                <w:sz w:val="18"/>
                <w:szCs w:val="18"/>
                <w:color w:val="auto"/>
                <w:w w:val="92"/>
              </w:rPr>
              <w:t>March 15,</w:t>
            </w:r>
          </w:p>
        </w:tc>
      </w:tr>
      <w:tr>
        <w:trPr>
          <w:trHeight w:val="196"/>
        </w:trPr>
        <w:tc>
          <w:tcPr>
            <w:tcW w:w="680" w:type="dxa"/>
            <w:vAlign w:val="bottom"/>
            <w:tcBorders>
              <w:left w:val="single" w:sz="8" w:color="auto"/>
              <w:right w:val="single" w:sz="8" w:color="auto"/>
            </w:tcBorders>
          </w:tcPr>
          <w:p>
            <w:pPr>
              <w:spacing w:after="0"/>
              <w:rPr>
                <w:sz w:val="17"/>
                <w:szCs w:val="17"/>
                <w:color w:val="auto"/>
              </w:rPr>
            </w:pPr>
          </w:p>
        </w:tc>
        <w:tc>
          <w:tcPr>
            <w:tcW w:w="602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r:id="rId195">
              <w:r>
                <w:rPr>
                  <w:rFonts w:ascii="Arial" w:cs="Arial" w:eastAsia="Arial" w:hAnsi="Arial"/>
                  <w:sz w:val="18"/>
                  <w:szCs w:val="18"/>
                  <w:color w:val="0000EE"/>
                  <w:w w:val="91"/>
                </w:rPr>
                <w:t>Employees without Employment Agreements pursuant to Burlington Holdings, Inc.</w:t>
              </w:r>
            </w:hyperlink>
          </w:p>
        </w:tc>
        <w:tc>
          <w:tcPr>
            <w:tcW w:w="380" w:type="dxa"/>
            <w:vAlign w:val="bottom"/>
            <w:tcBorders>
              <w:right w:val="single" w:sz="8" w:color="auto"/>
            </w:tcBorders>
            <w:gridSpan w:val="9"/>
          </w:tcPr>
          <w:p>
            <w:pPr>
              <w:spacing w:after="0"/>
              <w:rPr>
                <w:sz w:val="17"/>
                <w:szCs w:val="17"/>
                <w:color w:val="auto"/>
              </w:rPr>
            </w:pPr>
          </w:p>
        </w:tc>
        <w:tc>
          <w:tcPr>
            <w:tcW w:w="76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w w:val="91"/>
              </w:rPr>
              <w:t>Report on</w:t>
            </w:r>
          </w:p>
        </w:tc>
        <w:tc>
          <w:tcPr>
            <w:tcW w:w="78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2016</w:t>
            </w:r>
          </w:p>
        </w:tc>
      </w:tr>
      <w:tr>
        <w:trPr>
          <w:trHeight w:val="196"/>
        </w:trPr>
        <w:tc>
          <w:tcPr>
            <w:tcW w:w="680" w:type="dxa"/>
            <w:vAlign w:val="bottom"/>
            <w:tcBorders>
              <w:left w:val="single" w:sz="8" w:color="auto"/>
              <w:right w:val="single" w:sz="8" w:color="auto"/>
            </w:tcBorders>
          </w:tcPr>
          <w:p>
            <w:pPr>
              <w:spacing w:after="0"/>
              <w:rPr>
                <w:sz w:val="17"/>
                <w:szCs w:val="17"/>
                <w:color w:val="auto"/>
              </w:rPr>
            </w:pPr>
          </w:p>
        </w:tc>
        <w:tc>
          <w:tcPr>
            <w:tcW w:w="6400" w:type="dxa"/>
            <w:vAlign w:val="bottom"/>
            <w:tcBorders>
              <w:right w:val="single" w:sz="8" w:color="auto"/>
            </w:tcBorders>
            <w:gridSpan w:val="20"/>
          </w:tcPr>
          <w:p>
            <w:pPr>
              <w:spacing w:after="0" w:line="196" w:lineRule="exact"/>
              <w:rPr>
                <w:rFonts w:ascii="Arial" w:cs="Arial" w:eastAsia="Arial" w:hAnsi="Arial"/>
                <w:sz w:val="18"/>
                <w:szCs w:val="18"/>
                <w:color w:val="0000EE"/>
                <w:w w:val="97"/>
              </w:rPr>
            </w:pPr>
            <w:hyperlink r:id="rId195">
              <w:r>
                <w:rPr>
                  <w:rFonts w:ascii="Arial" w:cs="Arial" w:eastAsia="Arial" w:hAnsi="Arial"/>
                  <w:sz w:val="18"/>
                  <w:szCs w:val="18"/>
                  <w:color w:val="0000EE"/>
                  <w:w w:val="97"/>
                </w:rPr>
                <w:t>2006 Management Incentive Plan (for grants made after from and after December</w:t>
              </w:r>
            </w:hyperlink>
          </w:p>
        </w:tc>
        <w:tc>
          <w:tcPr>
            <w:tcW w:w="76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w w:val="98"/>
              </w:rPr>
              <w:t>Form 10-</w:t>
            </w:r>
          </w:p>
        </w:tc>
        <w:tc>
          <w:tcPr>
            <w:tcW w:w="780" w:type="dxa"/>
            <w:vAlign w:val="bottom"/>
            <w:tcBorders>
              <w:right w:val="single" w:sz="8" w:color="auto"/>
            </w:tcBorders>
          </w:tcPr>
          <w:p>
            <w:pPr>
              <w:spacing w:after="0"/>
              <w:rPr>
                <w:sz w:val="17"/>
                <w:szCs w:val="17"/>
                <w:color w:val="auto"/>
              </w:rPr>
            </w:pPr>
          </w:p>
        </w:tc>
      </w:tr>
      <w:tr>
        <w:trPr>
          <w:trHeight w:val="196"/>
        </w:trPr>
        <w:tc>
          <w:tcPr>
            <w:tcW w:w="680" w:type="dxa"/>
            <w:vAlign w:val="bottom"/>
            <w:tcBorders>
              <w:left w:val="single" w:sz="8" w:color="auto"/>
              <w:right w:val="single" w:sz="8" w:color="auto"/>
            </w:tcBorders>
          </w:tcPr>
          <w:p>
            <w:pPr>
              <w:spacing w:after="0"/>
              <w:rPr>
                <w:sz w:val="17"/>
                <w:szCs w:val="17"/>
                <w:color w:val="auto"/>
              </w:rPr>
            </w:pPr>
          </w:p>
        </w:tc>
        <w:tc>
          <w:tcPr>
            <w:tcW w:w="176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r:id="rId195">
              <w:r>
                <w:rPr>
                  <w:rFonts w:ascii="Arial" w:cs="Arial" w:eastAsia="Arial" w:hAnsi="Arial"/>
                  <w:sz w:val="18"/>
                  <w:szCs w:val="18"/>
                  <w:color w:val="0000EE"/>
                </w:rPr>
                <w:t>2015).</w:t>
              </w:r>
            </w:hyperlink>
          </w:p>
        </w:tc>
        <w:tc>
          <w:tcPr>
            <w:tcW w:w="334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K</w:t>
            </w:r>
          </w:p>
        </w:tc>
        <w:tc>
          <w:tcPr>
            <w:tcW w:w="780" w:type="dxa"/>
            <w:vAlign w:val="bottom"/>
            <w:tcBorders>
              <w:right w:val="single" w:sz="8" w:color="auto"/>
            </w:tcBorders>
          </w:tcPr>
          <w:p>
            <w:pPr>
              <w:spacing w:after="0"/>
              <w:rPr>
                <w:sz w:val="17"/>
                <w:szCs w:val="17"/>
                <w:color w:val="auto"/>
              </w:rPr>
            </w:pPr>
          </w:p>
        </w:tc>
      </w:tr>
      <w:tr>
        <w:trPr>
          <w:trHeight w:val="222"/>
        </w:trPr>
        <w:tc>
          <w:tcPr>
            <w:tcW w:w="680" w:type="dxa"/>
            <w:vAlign w:val="bottom"/>
            <w:tcBorders>
              <w:left w:val="single" w:sz="8" w:color="auto"/>
              <w:right w:val="single" w:sz="8" w:color="auto"/>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132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(File No.</w:t>
            </w:r>
          </w:p>
        </w:tc>
        <w:tc>
          <w:tcPr>
            <w:tcW w:w="780" w:type="dxa"/>
            <w:vAlign w:val="bottom"/>
            <w:tcBorders>
              <w:right w:val="single" w:sz="8" w:color="auto"/>
            </w:tcBorders>
          </w:tcPr>
          <w:p>
            <w:pPr>
              <w:spacing w:after="0"/>
              <w:rPr>
                <w:sz w:val="19"/>
                <w:szCs w:val="19"/>
                <w:color w:val="auto"/>
              </w:rPr>
            </w:pPr>
          </w:p>
        </w:tc>
      </w:tr>
      <w:tr>
        <w:trPr>
          <w:trHeight w:val="216"/>
        </w:trPr>
        <w:tc>
          <w:tcPr>
            <w:tcW w:w="680" w:type="dxa"/>
            <w:vAlign w:val="bottom"/>
            <w:tcBorders>
              <w:left w:val="single" w:sz="8" w:color="auto"/>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001-</w:t>
            </w:r>
          </w:p>
        </w:tc>
        <w:tc>
          <w:tcPr>
            <w:tcW w:w="780" w:type="dxa"/>
            <w:vAlign w:val="bottom"/>
            <w:tcBorders>
              <w:right w:val="single" w:sz="8" w:color="auto"/>
            </w:tcBorders>
          </w:tcPr>
          <w:p>
            <w:pPr>
              <w:spacing w:after="0"/>
              <w:rPr>
                <w:sz w:val="18"/>
                <w:szCs w:val="18"/>
                <w:color w:val="auto"/>
              </w:rPr>
            </w:pPr>
          </w:p>
        </w:tc>
      </w:tr>
      <w:tr>
        <w:trPr>
          <w:trHeight w:val="230"/>
        </w:trPr>
        <w:tc>
          <w:tcPr>
            <w:tcW w:w="680" w:type="dxa"/>
            <w:vAlign w:val="bottom"/>
            <w:tcBorders>
              <w:left w:val="single" w:sz="8" w:color="auto"/>
              <w:bottom w:val="single" w:sz="8" w:color="auto"/>
              <w:right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36107)</w:t>
            </w:r>
          </w:p>
        </w:tc>
        <w:tc>
          <w:tcPr>
            <w:tcW w:w="780" w:type="dxa"/>
            <w:vAlign w:val="bottom"/>
            <w:tcBorders>
              <w:bottom w:val="single" w:sz="8" w:color="auto"/>
              <w:right w:val="single" w:sz="8" w:color="auto"/>
            </w:tcBorders>
          </w:tcPr>
          <w:p>
            <w:pPr>
              <w:spacing w:after="0"/>
              <w:rPr>
                <w:sz w:val="20"/>
                <w:szCs w:val="20"/>
                <w:color w:val="auto"/>
              </w:rPr>
            </w:pPr>
          </w:p>
        </w:tc>
      </w:tr>
      <w:tr>
        <w:trPr>
          <w:trHeight w:val="169"/>
        </w:trPr>
        <w:tc>
          <w:tcPr>
            <w:tcW w:w="680" w:type="dxa"/>
            <w:vAlign w:val="bottom"/>
            <w:tcBorders>
              <w:left w:val="single" w:sz="8" w:color="auto"/>
              <w:right w:val="single" w:sz="8" w:color="auto"/>
            </w:tcBorders>
          </w:tcPr>
          <w:p>
            <w:pPr>
              <w:spacing w:after="0" w:line="170" w:lineRule="exact"/>
              <w:rPr>
                <w:sz w:val="20"/>
                <w:szCs w:val="20"/>
                <w:color w:val="auto"/>
              </w:rPr>
            </w:pPr>
            <w:r>
              <w:rPr>
                <w:rFonts w:ascii="Arial" w:cs="Arial" w:eastAsia="Arial" w:hAnsi="Arial"/>
                <w:sz w:val="18"/>
                <w:szCs w:val="18"/>
                <w:color w:val="auto"/>
              </w:rPr>
              <w:t>10.40+</w:t>
            </w:r>
          </w:p>
        </w:tc>
        <w:tc>
          <w:tcPr>
            <w:tcW w:w="5740" w:type="dxa"/>
            <w:vAlign w:val="bottom"/>
            <w:tcBorders>
              <w:bottom w:val="single" w:sz="8" w:color="0000EE"/>
            </w:tcBorders>
            <w:gridSpan w:val="6"/>
          </w:tcPr>
          <w:p>
            <w:pPr>
              <w:spacing w:after="0" w:line="170" w:lineRule="exact"/>
              <w:rPr>
                <w:rFonts w:ascii="Arial" w:cs="Arial" w:eastAsia="Arial" w:hAnsi="Arial"/>
                <w:sz w:val="18"/>
                <w:szCs w:val="18"/>
                <w:color w:val="0000EE"/>
                <w:w w:val="90"/>
              </w:rPr>
            </w:pPr>
            <w:hyperlink r:id="rId196">
              <w:r>
                <w:rPr>
                  <w:rFonts w:ascii="Arial" w:cs="Arial" w:eastAsia="Arial" w:hAnsi="Arial"/>
                  <w:sz w:val="18"/>
                  <w:szCs w:val="18"/>
                  <w:color w:val="0000EE"/>
                  <w:w w:val="90"/>
                </w:rPr>
                <w:t>Form of Restricted Stock Grant Agreement between Burlington Stores, Inc. and</w:t>
              </w:r>
            </w:hyperlink>
          </w:p>
        </w:tc>
        <w:tc>
          <w:tcPr>
            <w:tcW w:w="660" w:type="dxa"/>
            <w:vAlign w:val="bottom"/>
            <w:tcBorders>
              <w:right w:val="single" w:sz="8" w:color="auto"/>
            </w:tcBorders>
            <w:gridSpan w:val="14"/>
          </w:tcPr>
          <w:p>
            <w:pPr>
              <w:spacing w:after="0"/>
              <w:rPr>
                <w:sz w:val="14"/>
                <w:szCs w:val="14"/>
                <w:color w:val="auto"/>
              </w:rPr>
            </w:pPr>
          </w:p>
        </w:tc>
        <w:tc>
          <w:tcPr>
            <w:tcW w:w="760" w:type="dxa"/>
            <w:vAlign w:val="bottom"/>
            <w:tcBorders>
              <w:right w:val="single" w:sz="8" w:color="auto"/>
            </w:tcBorders>
          </w:tcPr>
          <w:p>
            <w:pPr>
              <w:spacing w:after="0" w:line="170" w:lineRule="exact"/>
              <w:rPr>
                <w:sz w:val="20"/>
                <w:szCs w:val="20"/>
                <w:color w:val="auto"/>
              </w:rPr>
            </w:pPr>
            <w:r>
              <w:rPr>
                <w:rFonts w:ascii="Arial" w:cs="Arial" w:eastAsia="Arial" w:hAnsi="Arial"/>
                <w:sz w:val="18"/>
                <w:szCs w:val="18"/>
                <w:color w:val="auto"/>
              </w:rPr>
              <w:t>Annual</w:t>
            </w:r>
          </w:p>
        </w:tc>
        <w:tc>
          <w:tcPr>
            <w:tcW w:w="780" w:type="dxa"/>
            <w:vAlign w:val="bottom"/>
            <w:tcBorders>
              <w:right w:val="single" w:sz="8" w:color="auto"/>
            </w:tcBorders>
          </w:tcPr>
          <w:p>
            <w:pPr>
              <w:spacing w:after="0" w:line="170" w:lineRule="exact"/>
              <w:rPr>
                <w:sz w:val="20"/>
                <w:szCs w:val="20"/>
                <w:color w:val="auto"/>
              </w:rPr>
            </w:pPr>
            <w:r>
              <w:rPr>
                <w:rFonts w:ascii="Arial" w:cs="Arial" w:eastAsia="Arial" w:hAnsi="Arial"/>
                <w:sz w:val="18"/>
                <w:szCs w:val="18"/>
                <w:color w:val="auto"/>
                <w:w w:val="92"/>
              </w:rPr>
              <w:t>March 15,</w:t>
            </w:r>
          </w:p>
        </w:tc>
      </w:tr>
      <w:tr>
        <w:trPr>
          <w:trHeight w:val="196"/>
        </w:trPr>
        <w:tc>
          <w:tcPr>
            <w:tcW w:w="680" w:type="dxa"/>
            <w:vAlign w:val="bottom"/>
            <w:tcBorders>
              <w:left w:val="single" w:sz="8" w:color="auto"/>
              <w:right w:val="single" w:sz="8" w:color="auto"/>
            </w:tcBorders>
          </w:tcPr>
          <w:p>
            <w:pPr>
              <w:spacing w:after="0"/>
              <w:rPr>
                <w:sz w:val="17"/>
                <w:szCs w:val="17"/>
                <w:color w:val="auto"/>
              </w:rPr>
            </w:pPr>
          </w:p>
        </w:tc>
        <w:tc>
          <w:tcPr>
            <w:tcW w:w="6400" w:type="dxa"/>
            <w:vAlign w:val="bottom"/>
            <w:tcBorders>
              <w:right w:val="single" w:sz="8" w:color="auto"/>
            </w:tcBorders>
            <w:gridSpan w:val="20"/>
          </w:tcPr>
          <w:p>
            <w:pPr>
              <w:spacing w:after="0" w:line="196" w:lineRule="exact"/>
              <w:rPr>
                <w:rFonts w:ascii="Arial" w:cs="Arial" w:eastAsia="Arial" w:hAnsi="Arial"/>
                <w:sz w:val="18"/>
                <w:szCs w:val="18"/>
                <w:color w:val="0000EE"/>
                <w:w w:val="94"/>
              </w:rPr>
            </w:pPr>
            <w:hyperlink r:id="rId196">
              <w:r>
                <w:rPr>
                  <w:rFonts w:ascii="Arial" w:cs="Arial" w:eastAsia="Arial" w:hAnsi="Arial"/>
                  <w:sz w:val="18"/>
                  <w:szCs w:val="18"/>
                  <w:color w:val="0000EE"/>
                  <w:w w:val="94"/>
                </w:rPr>
                <w:t>Employees with Employment Agreements pursuant to Burlington Holdings, Inc. 2006</w:t>
              </w:r>
            </w:hyperlink>
          </w:p>
        </w:tc>
        <w:tc>
          <w:tcPr>
            <w:tcW w:w="76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w w:val="91"/>
              </w:rPr>
              <w:t>Report on</w:t>
            </w:r>
          </w:p>
        </w:tc>
        <w:tc>
          <w:tcPr>
            <w:tcW w:w="78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2016</w:t>
            </w:r>
          </w:p>
        </w:tc>
      </w:tr>
      <w:tr>
        <w:trPr>
          <w:trHeight w:val="196"/>
        </w:trPr>
        <w:tc>
          <w:tcPr>
            <w:tcW w:w="680" w:type="dxa"/>
            <w:vAlign w:val="bottom"/>
            <w:tcBorders>
              <w:left w:val="single" w:sz="8" w:color="auto"/>
              <w:right w:val="single" w:sz="8" w:color="auto"/>
            </w:tcBorders>
          </w:tcPr>
          <w:p>
            <w:pPr>
              <w:spacing w:after="0"/>
              <w:rPr>
                <w:sz w:val="17"/>
                <w:szCs w:val="17"/>
                <w:color w:val="auto"/>
              </w:rPr>
            </w:pPr>
          </w:p>
        </w:tc>
        <w:tc>
          <w:tcPr>
            <w:tcW w:w="6180" w:type="dxa"/>
            <w:vAlign w:val="bottom"/>
            <w:tcBorders>
              <w:top w:val="single" w:sz="8" w:color="0000EE"/>
            </w:tcBorders>
            <w:gridSpan w:val="17"/>
          </w:tcPr>
          <w:p>
            <w:pPr>
              <w:spacing w:after="0" w:line="196" w:lineRule="exact"/>
              <w:rPr>
                <w:rFonts w:ascii="Arial" w:cs="Arial" w:eastAsia="Arial" w:hAnsi="Arial"/>
                <w:sz w:val="18"/>
                <w:szCs w:val="18"/>
                <w:color w:val="0000EE"/>
                <w:w w:val="93"/>
              </w:rPr>
            </w:pPr>
            <w:hyperlink r:id="rId196">
              <w:r>
                <w:rPr>
                  <w:rFonts w:ascii="Arial" w:cs="Arial" w:eastAsia="Arial" w:hAnsi="Arial"/>
                  <w:sz w:val="18"/>
                  <w:szCs w:val="18"/>
                  <w:color w:val="0000EE"/>
                  <w:w w:val="93"/>
                </w:rPr>
                <w:t>Management Incentive Plan (for grants made after from and after December 2015).</w:t>
              </w:r>
            </w:hyperlink>
          </w:p>
        </w:tc>
        <w:tc>
          <w:tcPr>
            <w:tcW w:w="220" w:type="dxa"/>
            <w:vAlign w:val="bottom"/>
            <w:tcBorders>
              <w:right w:val="single" w:sz="8" w:color="auto"/>
            </w:tcBorders>
            <w:gridSpan w:val="3"/>
          </w:tcPr>
          <w:p>
            <w:pPr>
              <w:spacing w:after="0"/>
              <w:rPr>
                <w:sz w:val="17"/>
                <w:szCs w:val="17"/>
                <w:color w:val="auto"/>
              </w:rPr>
            </w:pPr>
          </w:p>
        </w:tc>
        <w:tc>
          <w:tcPr>
            <w:tcW w:w="76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w w:val="98"/>
              </w:rPr>
              <w:t>Form 10-</w:t>
            </w:r>
          </w:p>
        </w:tc>
        <w:tc>
          <w:tcPr>
            <w:tcW w:w="780" w:type="dxa"/>
            <w:vAlign w:val="bottom"/>
            <w:tcBorders>
              <w:right w:val="single" w:sz="8" w:color="auto"/>
            </w:tcBorders>
          </w:tcPr>
          <w:p>
            <w:pPr>
              <w:spacing w:after="0"/>
              <w:rPr>
                <w:sz w:val="17"/>
                <w:szCs w:val="17"/>
                <w:color w:val="auto"/>
              </w:rPr>
            </w:pPr>
          </w:p>
        </w:tc>
      </w:tr>
      <w:tr>
        <w:trPr>
          <w:trHeight w:val="222"/>
        </w:trPr>
        <w:tc>
          <w:tcPr>
            <w:tcW w:w="680" w:type="dxa"/>
            <w:vAlign w:val="bottom"/>
            <w:tcBorders>
              <w:left w:val="single" w:sz="8" w:color="auto"/>
              <w:right w:val="single" w:sz="8" w:color="auto"/>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1320" w:type="dxa"/>
            <w:vAlign w:val="bottom"/>
            <w:tcBorders>
              <w:top w:val="single" w:sz="8" w:color="0000EE"/>
            </w:tcBorders>
          </w:tcPr>
          <w:p>
            <w:pPr>
              <w:spacing w:after="0"/>
              <w:rPr>
                <w:sz w:val="19"/>
                <w:szCs w:val="19"/>
                <w:color w:val="auto"/>
              </w:rPr>
            </w:pPr>
          </w:p>
        </w:tc>
        <w:tc>
          <w:tcPr>
            <w:tcW w:w="3340" w:type="dxa"/>
            <w:vAlign w:val="bottom"/>
            <w:tcBorders>
              <w:top w:val="single" w:sz="8" w:color="0000EE"/>
            </w:tcBorders>
          </w:tcPr>
          <w:p>
            <w:pPr>
              <w:spacing w:after="0"/>
              <w:rPr>
                <w:sz w:val="19"/>
                <w:szCs w:val="19"/>
                <w:color w:val="auto"/>
              </w:rPr>
            </w:pPr>
          </w:p>
        </w:tc>
        <w:tc>
          <w:tcPr>
            <w:tcW w:w="6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K</w:t>
            </w:r>
          </w:p>
        </w:tc>
        <w:tc>
          <w:tcPr>
            <w:tcW w:w="780" w:type="dxa"/>
            <w:vAlign w:val="bottom"/>
            <w:tcBorders>
              <w:right w:val="single" w:sz="8" w:color="auto"/>
            </w:tcBorders>
          </w:tcPr>
          <w:p>
            <w:pPr>
              <w:spacing w:after="0"/>
              <w:rPr>
                <w:sz w:val="19"/>
                <w:szCs w:val="19"/>
                <w:color w:val="auto"/>
              </w:rPr>
            </w:pPr>
          </w:p>
        </w:tc>
      </w:tr>
      <w:tr>
        <w:trPr>
          <w:trHeight w:val="216"/>
        </w:trPr>
        <w:tc>
          <w:tcPr>
            <w:tcW w:w="680" w:type="dxa"/>
            <w:vAlign w:val="bottom"/>
            <w:tcBorders>
              <w:left w:val="single" w:sz="8" w:color="auto"/>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(File No.</w:t>
            </w:r>
          </w:p>
        </w:tc>
        <w:tc>
          <w:tcPr>
            <w:tcW w:w="780" w:type="dxa"/>
            <w:vAlign w:val="bottom"/>
            <w:tcBorders>
              <w:right w:val="single" w:sz="8" w:color="auto"/>
            </w:tcBorders>
          </w:tcPr>
          <w:p>
            <w:pPr>
              <w:spacing w:after="0"/>
              <w:rPr>
                <w:sz w:val="18"/>
                <w:szCs w:val="18"/>
                <w:color w:val="auto"/>
              </w:rPr>
            </w:pPr>
          </w:p>
        </w:tc>
      </w:tr>
      <w:tr>
        <w:trPr>
          <w:trHeight w:val="216"/>
        </w:trPr>
        <w:tc>
          <w:tcPr>
            <w:tcW w:w="680" w:type="dxa"/>
            <w:vAlign w:val="bottom"/>
            <w:tcBorders>
              <w:left w:val="single" w:sz="8" w:color="auto"/>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001-</w:t>
            </w:r>
          </w:p>
        </w:tc>
        <w:tc>
          <w:tcPr>
            <w:tcW w:w="780" w:type="dxa"/>
            <w:vAlign w:val="bottom"/>
            <w:tcBorders>
              <w:right w:val="single" w:sz="8" w:color="auto"/>
            </w:tcBorders>
          </w:tcPr>
          <w:p>
            <w:pPr>
              <w:spacing w:after="0"/>
              <w:rPr>
                <w:sz w:val="18"/>
                <w:szCs w:val="18"/>
                <w:color w:val="auto"/>
              </w:rPr>
            </w:pPr>
          </w:p>
        </w:tc>
      </w:tr>
      <w:tr>
        <w:trPr>
          <w:trHeight w:val="230"/>
        </w:trPr>
        <w:tc>
          <w:tcPr>
            <w:tcW w:w="680" w:type="dxa"/>
            <w:vAlign w:val="bottom"/>
            <w:tcBorders>
              <w:left w:val="single" w:sz="8" w:color="auto"/>
              <w:bottom w:val="single" w:sz="8" w:color="auto"/>
              <w:right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36107)</w:t>
            </w:r>
          </w:p>
        </w:tc>
        <w:tc>
          <w:tcPr>
            <w:tcW w:w="780" w:type="dxa"/>
            <w:vAlign w:val="bottom"/>
            <w:tcBorders>
              <w:bottom w:val="single" w:sz="8" w:color="auto"/>
              <w:right w:val="single" w:sz="8" w:color="auto"/>
            </w:tcBorders>
          </w:tcPr>
          <w:p>
            <w:pPr>
              <w:spacing w:after="0"/>
              <w:rPr>
                <w:sz w:val="20"/>
                <w:szCs w:val="20"/>
                <w:color w:val="auto"/>
              </w:rPr>
            </w:pPr>
          </w:p>
        </w:tc>
      </w:tr>
      <w:tr>
        <w:trPr>
          <w:trHeight w:val="169"/>
        </w:trPr>
        <w:tc>
          <w:tcPr>
            <w:tcW w:w="680" w:type="dxa"/>
            <w:vAlign w:val="bottom"/>
            <w:tcBorders>
              <w:left w:val="single" w:sz="8" w:color="auto"/>
              <w:right w:val="single" w:sz="8" w:color="auto"/>
            </w:tcBorders>
          </w:tcPr>
          <w:p>
            <w:pPr>
              <w:spacing w:after="0" w:line="170" w:lineRule="exact"/>
              <w:rPr>
                <w:sz w:val="20"/>
                <w:szCs w:val="20"/>
                <w:color w:val="auto"/>
              </w:rPr>
            </w:pPr>
            <w:r>
              <w:rPr>
                <w:rFonts w:ascii="Arial" w:cs="Arial" w:eastAsia="Arial" w:hAnsi="Arial"/>
                <w:sz w:val="18"/>
                <w:szCs w:val="18"/>
                <w:color w:val="auto"/>
              </w:rPr>
              <w:t>10.41+</w:t>
            </w:r>
          </w:p>
        </w:tc>
        <w:tc>
          <w:tcPr>
            <w:tcW w:w="6400" w:type="dxa"/>
            <w:vAlign w:val="bottom"/>
            <w:tcBorders>
              <w:right w:val="single" w:sz="8" w:color="auto"/>
            </w:tcBorders>
            <w:gridSpan w:val="20"/>
          </w:tcPr>
          <w:p>
            <w:pPr>
              <w:spacing w:after="0" w:line="170" w:lineRule="exact"/>
              <w:rPr>
                <w:rFonts w:ascii="Arial" w:cs="Arial" w:eastAsia="Arial" w:hAnsi="Arial"/>
                <w:sz w:val="18"/>
                <w:szCs w:val="18"/>
                <w:color w:val="0000EE"/>
              </w:rPr>
            </w:pPr>
            <w:hyperlink r:id="rId197">
              <w:r>
                <w:rPr>
                  <w:rFonts w:ascii="Arial" w:cs="Arial" w:eastAsia="Arial" w:hAnsi="Arial"/>
                  <w:sz w:val="18"/>
                  <w:szCs w:val="18"/>
                  <w:color w:val="0000EE"/>
                </w:rPr>
                <w:t>Form of Restricted Stock Grant Agreement between Burlington Stores, Inc. and</w:t>
              </w:r>
            </w:hyperlink>
          </w:p>
        </w:tc>
        <w:tc>
          <w:tcPr>
            <w:tcW w:w="760" w:type="dxa"/>
            <w:vAlign w:val="bottom"/>
            <w:tcBorders>
              <w:right w:val="single" w:sz="8" w:color="auto"/>
            </w:tcBorders>
          </w:tcPr>
          <w:p>
            <w:pPr>
              <w:spacing w:after="0" w:line="170" w:lineRule="exact"/>
              <w:rPr>
                <w:sz w:val="20"/>
                <w:szCs w:val="20"/>
                <w:color w:val="auto"/>
              </w:rPr>
            </w:pPr>
            <w:r>
              <w:rPr>
                <w:rFonts w:ascii="Arial" w:cs="Arial" w:eastAsia="Arial" w:hAnsi="Arial"/>
                <w:sz w:val="18"/>
                <w:szCs w:val="18"/>
                <w:color w:val="auto"/>
              </w:rPr>
              <w:t>Annual</w:t>
            </w:r>
          </w:p>
        </w:tc>
        <w:tc>
          <w:tcPr>
            <w:tcW w:w="780" w:type="dxa"/>
            <w:vAlign w:val="bottom"/>
            <w:tcBorders>
              <w:right w:val="single" w:sz="8" w:color="auto"/>
            </w:tcBorders>
          </w:tcPr>
          <w:p>
            <w:pPr>
              <w:spacing w:after="0" w:line="170" w:lineRule="exact"/>
              <w:rPr>
                <w:sz w:val="20"/>
                <w:szCs w:val="20"/>
                <w:color w:val="auto"/>
              </w:rPr>
            </w:pPr>
            <w:r>
              <w:rPr>
                <w:rFonts w:ascii="Arial" w:cs="Arial" w:eastAsia="Arial" w:hAnsi="Arial"/>
                <w:sz w:val="18"/>
                <w:szCs w:val="18"/>
                <w:color w:val="auto"/>
                <w:w w:val="92"/>
              </w:rPr>
              <w:t>March 15,</w:t>
            </w:r>
          </w:p>
        </w:tc>
      </w:tr>
      <w:tr>
        <w:trPr>
          <w:trHeight w:val="20"/>
        </w:trPr>
        <w:tc>
          <w:tcPr>
            <w:tcW w:w="680" w:type="dxa"/>
            <w:vAlign w:val="bottom"/>
            <w:tcBorders>
              <w:left w:val="single" w:sz="8" w:color="auto"/>
              <w:right w:val="single" w:sz="8" w:color="auto"/>
            </w:tcBorders>
          </w:tcPr>
          <w:p>
            <w:pPr>
              <w:spacing w:after="0" w:line="20" w:lineRule="exact"/>
              <w:rPr>
                <w:sz w:val="1"/>
                <w:szCs w:val="1"/>
                <w:color w:val="auto"/>
              </w:rPr>
            </w:pPr>
          </w:p>
        </w:tc>
        <w:tc>
          <w:tcPr>
            <w:tcW w:w="1760" w:type="dxa"/>
            <w:vAlign w:val="bottom"/>
            <w:gridSpan w:val="3"/>
            <w:shd w:val="clear" w:color="auto" w:fill="0000EE"/>
          </w:tcPr>
          <w:p>
            <w:pPr>
              <w:spacing w:after="0" w:line="20" w:lineRule="exact"/>
              <w:rPr>
                <w:sz w:val="1"/>
                <w:szCs w:val="1"/>
                <w:color w:val="auto"/>
              </w:rPr>
            </w:pPr>
          </w:p>
        </w:tc>
        <w:tc>
          <w:tcPr>
            <w:tcW w:w="3960" w:type="dxa"/>
            <w:vAlign w:val="bottom"/>
            <w:gridSpan w:val="2"/>
            <w:shd w:val="clear" w:color="auto" w:fill="0000EE"/>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20" w:type="dxa"/>
            <w:vAlign w:val="bottom"/>
            <w:gridSpan w:val="9"/>
          </w:tcPr>
          <w:p>
            <w:pPr>
              <w:spacing w:after="0" w:line="20" w:lineRule="exact"/>
              <w:rPr>
                <w:sz w:val="1"/>
                <w:szCs w:val="1"/>
                <w:color w:val="auto"/>
              </w:rPr>
            </w:pPr>
          </w:p>
        </w:tc>
        <w:tc>
          <w:tcPr>
            <w:tcW w:w="200" w:type="dxa"/>
            <w:vAlign w:val="bottom"/>
            <w:tcBorders>
              <w:right w:val="single" w:sz="8" w:color="auto"/>
            </w:tcBorders>
            <w:gridSpan w:val="2"/>
          </w:tcPr>
          <w:p>
            <w:pPr>
              <w:spacing w:after="0" w:line="20" w:lineRule="exact"/>
              <w:rPr>
                <w:sz w:val="1"/>
                <w:szCs w:val="1"/>
                <w:color w:val="auto"/>
              </w:rPr>
            </w:pPr>
          </w:p>
        </w:tc>
        <w:tc>
          <w:tcPr>
            <w:tcW w:w="760" w:type="dxa"/>
            <w:vAlign w:val="bottom"/>
            <w:tcBorders>
              <w:right w:val="single" w:sz="8" w:color="auto"/>
            </w:tcBorders>
          </w:tcPr>
          <w:p>
            <w:pPr>
              <w:spacing w:after="0" w:line="20" w:lineRule="exact"/>
              <w:rPr>
                <w:sz w:val="1"/>
                <w:szCs w:val="1"/>
                <w:color w:val="auto"/>
              </w:rPr>
            </w:pPr>
          </w:p>
        </w:tc>
        <w:tc>
          <w:tcPr>
            <w:tcW w:w="780" w:type="dxa"/>
            <w:vAlign w:val="bottom"/>
            <w:tcBorders>
              <w:right w:val="single" w:sz="8" w:color="auto"/>
            </w:tcBorders>
          </w:tcPr>
          <w:p>
            <w:pPr>
              <w:spacing w:after="0" w:line="20" w:lineRule="exact"/>
              <w:rPr>
                <w:sz w:val="1"/>
                <w:szCs w:val="1"/>
                <w:color w:val="auto"/>
              </w:rPr>
            </w:pPr>
          </w:p>
        </w:tc>
      </w:tr>
      <w:tr>
        <w:trPr>
          <w:trHeight w:val="196"/>
        </w:trPr>
        <w:tc>
          <w:tcPr>
            <w:tcW w:w="680" w:type="dxa"/>
            <w:vAlign w:val="bottom"/>
            <w:tcBorders>
              <w:left w:val="single" w:sz="8" w:color="auto"/>
              <w:right w:val="single" w:sz="8" w:color="auto"/>
            </w:tcBorders>
          </w:tcPr>
          <w:p>
            <w:pPr>
              <w:spacing w:after="0"/>
              <w:rPr>
                <w:sz w:val="17"/>
                <w:szCs w:val="17"/>
                <w:color w:val="auto"/>
              </w:rPr>
            </w:pPr>
          </w:p>
        </w:tc>
        <w:tc>
          <w:tcPr>
            <w:tcW w:w="602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r:id="rId197">
              <w:r>
                <w:rPr>
                  <w:rFonts w:ascii="Arial" w:cs="Arial" w:eastAsia="Arial" w:hAnsi="Arial"/>
                  <w:sz w:val="18"/>
                  <w:szCs w:val="18"/>
                  <w:color w:val="0000EE"/>
                  <w:w w:val="91"/>
                </w:rPr>
                <w:t>Employees without Employment Agreements pursuant to Burlington Holdings, Inc.</w:t>
              </w:r>
            </w:hyperlink>
          </w:p>
        </w:tc>
        <w:tc>
          <w:tcPr>
            <w:tcW w:w="380" w:type="dxa"/>
            <w:vAlign w:val="bottom"/>
            <w:tcBorders>
              <w:right w:val="single" w:sz="8" w:color="auto"/>
            </w:tcBorders>
            <w:gridSpan w:val="9"/>
          </w:tcPr>
          <w:p>
            <w:pPr>
              <w:spacing w:after="0"/>
              <w:rPr>
                <w:sz w:val="17"/>
                <w:szCs w:val="17"/>
                <w:color w:val="auto"/>
              </w:rPr>
            </w:pPr>
          </w:p>
        </w:tc>
        <w:tc>
          <w:tcPr>
            <w:tcW w:w="76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w w:val="91"/>
              </w:rPr>
              <w:t>Report on</w:t>
            </w:r>
          </w:p>
        </w:tc>
        <w:tc>
          <w:tcPr>
            <w:tcW w:w="78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2016</w:t>
            </w:r>
          </w:p>
        </w:tc>
      </w:tr>
      <w:tr>
        <w:trPr>
          <w:trHeight w:val="196"/>
        </w:trPr>
        <w:tc>
          <w:tcPr>
            <w:tcW w:w="680" w:type="dxa"/>
            <w:vAlign w:val="bottom"/>
            <w:tcBorders>
              <w:left w:val="single" w:sz="8" w:color="auto"/>
              <w:right w:val="single" w:sz="8" w:color="auto"/>
            </w:tcBorders>
          </w:tcPr>
          <w:p>
            <w:pPr>
              <w:spacing w:after="0"/>
              <w:rPr>
                <w:sz w:val="17"/>
                <w:szCs w:val="17"/>
                <w:color w:val="auto"/>
              </w:rPr>
            </w:pPr>
          </w:p>
        </w:tc>
        <w:tc>
          <w:tcPr>
            <w:tcW w:w="6400" w:type="dxa"/>
            <w:vAlign w:val="bottom"/>
            <w:tcBorders>
              <w:right w:val="single" w:sz="8" w:color="auto"/>
            </w:tcBorders>
            <w:gridSpan w:val="20"/>
          </w:tcPr>
          <w:p>
            <w:pPr>
              <w:spacing w:after="0" w:line="196" w:lineRule="exact"/>
              <w:rPr>
                <w:rFonts w:ascii="Arial" w:cs="Arial" w:eastAsia="Arial" w:hAnsi="Arial"/>
                <w:sz w:val="18"/>
                <w:szCs w:val="18"/>
                <w:color w:val="0000EE"/>
                <w:w w:val="97"/>
              </w:rPr>
            </w:pPr>
            <w:hyperlink r:id="rId197">
              <w:r>
                <w:rPr>
                  <w:rFonts w:ascii="Arial" w:cs="Arial" w:eastAsia="Arial" w:hAnsi="Arial"/>
                  <w:sz w:val="18"/>
                  <w:szCs w:val="18"/>
                  <w:color w:val="0000EE"/>
                  <w:w w:val="97"/>
                </w:rPr>
                <w:t>2006 Management Incentive Plan (for grants made after from and after December</w:t>
              </w:r>
            </w:hyperlink>
          </w:p>
        </w:tc>
        <w:tc>
          <w:tcPr>
            <w:tcW w:w="76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w w:val="98"/>
              </w:rPr>
              <w:t>Form 10-</w:t>
            </w:r>
          </w:p>
        </w:tc>
        <w:tc>
          <w:tcPr>
            <w:tcW w:w="780" w:type="dxa"/>
            <w:vAlign w:val="bottom"/>
            <w:tcBorders>
              <w:right w:val="single" w:sz="8" w:color="auto"/>
            </w:tcBorders>
          </w:tcPr>
          <w:p>
            <w:pPr>
              <w:spacing w:after="0"/>
              <w:rPr>
                <w:sz w:val="17"/>
                <w:szCs w:val="17"/>
                <w:color w:val="auto"/>
              </w:rPr>
            </w:pPr>
          </w:p>
        </w:tc>
      </w:tr>
      <w:tr>
        <w:trPr>
          <w:trHeight w:val="196"/>
        </w:trPr>
        <w:tc>
          <w:tcPr>
            <w:tcW w:w="680" w:type="dxa"/>
            <w:vAlign w:val="bottom"/>
            <w:tcBorders>
              <w:left w:val="single" w:sz="8" w:color="auto"/>
              <w:right w:val="single" w:sz="8" w:color="auto"/>
            </w:tcBorders>
          </w:tcPr>
          <w:p>
            <w:pPr>
              <w:spacing w:after="0"/>
              <w:rPr>
                <w:sz w:val="17"/>
                <w:szCs w:val="17"/>
                <w:color w:val="auto"/>
              </w:rPr>
            </w:pPr>
          </w:p>
        </w:tc>
        <w:tc>
          <w:tcPr>
            <w:tcW w:w="176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r:id="rId197">
              <w:r>
                <w:rPr>
                  <w:rFonts w:ascii="Arial" w:cs="Arial" w:eastAsia="Arial" w:hAnsi="Arial"/>
                  <w:sz w:val="18"/>
                  <w:szCs w:val="18"/>
                  <w:color w:val="0000EE"/>
                </w:rPr>
                <w:t>2015).</w:t>
              </w:r>
            </w:hyperlink>
          </w:p>
        </w:tc>
        <w:tc>
          <w:tcPr>
            <w:tcW w:w="334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K</w:t>
            </w:r>
          </w:p>
        </w:tc>
        <w:tc>
          <w:tcPr>
            <w:tcW w:w="780" w:type="dxa"/>
            <w:vAlign w:val="bottom"/>
            <w:tcBorders>
              <w:right w:val="single" w:sz="8" w:color="auto"/>
            </w:tcBorders>
          </w:tcPr>
          <w:p>
            <w:pPr>
              <w:spacing w:after="0"/>
              <w:rPr>
                <w:sz w:val="17"/>
                <w:szCs w:val="17"/>
                <w:color w:val="auto"/>
              </w:rPr>
            </w:pPr>
          </w:p>
        </w:tc>
      </w:tr>
      <w:tr>
        <w:trPr>
          <w:trHeight w:val="222"/>
        </w:trPr>
        <w:tc>
          <w:tcPr>
            <w:tcW w:w="680" w:type="dxa"/>
            <w:vAlign w:val="bottom"/>
            <w:tcBorders>
              <w:left w:val="single" w:sz="8" w:color="auto"/>
              <w:right w:val="single" w:sz="8" w:color="auto"/>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132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(File No.</w:t>
            </w:r>
          </w:p>
        </w:tc>
        <w:tc>
          <w:tcPr>
            <w:tcW w:w="780" w:type="dxa"/>
            <w:vAlign w:val="bottom"/>
            <w:tcBorders>
              <w:right w:val="single" w:sz="8" w:color="auto"/>
            </w:tcBorders>
          </w:tcPr>
          <w:p>
            <w:pPr>
              <w:spacing w:after="0"/>
              <w:rPr>
                <w:sz w:val="19"/>
                <w:szCs w:val="19"/>
                <w:color w:val="auto"/>
              </w:rPr>
            </w:pPr>
          </w:p>
        </w:tc>
      </w:tr>
      <w:tr>
        <w:trPr>
          <w:trHeight w:val="216"/>
        </w:trPr>
        <w:tc>
          <w:tcPr>
            <w:tcW w:w="680" w:type="dxa"/>
            <w:vAlign w:val="bottom"/>
            <w:tcBorders>
              <w:left w:val="single" w:sz="8" w:color="auto"/>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001-</w:t>
            </w:r>
          </w:p>
        </w:tc>
        <w:tc>
          <w:tcPr>
            <w:tcW w:w="780" w:type="dxa"/>
            <w:vAlign w:val="bottom"/>
            <w:tcBorders>
              <w:right w:val="single" w:sz="8" w:color="auto"/>
            </w:tcBorders>
          </w:tcPr>
          <w:p>
            <w:pPr>
              <w:spacing w:after="0"/>
              <w:rPr>
                <w:sz w:val="18"/>
                <w:szCs w:val="18"/>
                <w:color w:val="auto"/>
              </w:rPr>
            </w:pPr>
          </w:p>
        </w:tc>
      </w:tr>
      <w:tr>
        <w:trPr>
          <w:trHeight w:val="230"/>
        </w:trPr>
        <w:tc>
          <w:tcPr>
            <w:tcW w:w="680" w:type="dxa"/>
            <w:vAlign w:val="bottom"/>
            <w:tcBorders>
              <w:left w:val="single" w:sz="8" w:color="auto"/>
              <w:bottom w:val="single" w:sz="8" w:color="auto"/>
              <w:right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36107)</w:t>
            </w:r>
          </w:p>
        </w:tc>
        <w:tc>
          <w:tcPr>
            <w:tcW w:w="780" w:type="dxa"/>
            <w:vAlign w:val="bottom"/>
            <w:tcBorders>
              <w:bottom w:val="single" w:sz="8" w:color="auto"/>
              <w:right w:val="single" w:sz="8" w:color="auto"/>
            </w:tcBorders>
          </w:tcPr>
          <w:p>
            <w:pPr>
              <w:spacing w:after="0"/>
              <w:rPr>
                <w:sz w:val="20"/>
                <w:szCs w:val="20"/>
                <w:color w:val="auto"/>
              </w:rPr>
            </w:pPr>
          </w:p>
        </w:tc>
      </w:tr>
      <w:tr>
        <w:trPr>
          <w:trHeight w:val="169"/>
        </w:trPr>
        <w:tc>
          <w:tcPr>
            <w:tcW w:w="680" w:type="dxa"/>
            <w:vAlign w:val="bottom"/>
            <w:tcBorders>
              <w:left w:val="single" w:sz="8" w:color="auto"/>
              <w:right w:val="single" w:sz="8" w:color="auto"/>
            </w:tcBorders>
          </w:tcPr>
          <w:p>
            <w:pPr>
              <w:spacing w:after="0" w:line="170" w:lineRule="exact"/>
              <w:rPr>
                <w:sz w:val="20"/>
                <w:szCs w:val="20"/>
                <w:color w:val="auto"/>
              </w:rPr>
            </w:pPr>
            <w:r>
              <w:rPr>
                <w:rFonts w:ascii="Arial" w:cs="Arial" w:eastAsia="Arial" w:hAnsi="Arial"/>
                <w:sz w:val="18"/>
                <w:szCs w:val="18"/>
                <w:color w:val="auto"/>
              </w:rPr>
              <w:t>10.42+</w:t>
            </w:r>
          </w:p>
        </w:tc>
        <w:tc>
          <w:tcPr>
            <w:tcW w:w="6140" w:type="dxa"/>
            <w:vAlign w:val="bottom"/>
            <w:tcBorders>
              <w:bottom w:val="single" w:sz="8" w:color="0000EE"/>
            </w:tcBorders>
            <w:gridSpan w:val="15"/>
          </w:tcPr>
          <w:p>
            <w:pPr>
              <w:spacing w:after="0" w:line="170" w:lineRule="exact"/>
              <w:rPr>
                <w:rFonts w:ascii="Arial" w:cs="Arial" w:eastAsia="Arial" w:hAnsi="Arial"/>
                <w:sz w:val="18"/>
                <w:szCs w:val="18"/>
                <w:color w:val="0000EE"/>
                <w:w w:val="91"/>
              </w:rPr>
            </w:pPr>
            <w:hyperlink r:id="rId198">
              <w:r>
                <w:rPr>
                  <w:rFonts w:ascii="Arial" w:cs="Arial" w:eastAsia="Arial" w:hAnsi="Arial"/>
                  <w:sz w:val="18"/>
                  <w:szCs w:val="18"/>
                  <w:color w:val="0000EE"/>
                  <w:w w:val="91"/>
                </w:rPr>
                <w:t>Form of Non-Qualified Stock Option Agreement between Burlington Stores, Inc. and</w:t>
              </w:r>
            </w:hyperlink>
          </w:p>
        </w:tc>
        <w:tc>
          <w:tcPr>
            <w:tcW w:w="260" w:type="dxa"/>
            <w:vAlign w:val="bottom"/>
            <w:tcBorders>
              <w:right w:val="single" w:sz="8" w:color="auto"/>
            </w:tcBorders>
            <w:gridSpan w:val="5"/>
          </w:tcPr>
          <w:p>
            <w:pPr>
              <w:spacing w:after="0"/>
              <w:rPr>
                <w:sz w:val="14"/>
                <w:szCs w:val="14"/>
                <w:color w:val="auto"/>
              </w:rPr>
            </w:pPr>
          </w:p>
        </w:tc>
        <w:tc>
          <w:tcPr>
            <w:tcW w:w="760" w:type="dxa"/>
            <w:vAlign w:val="bottom"/>
            <w:tcBorders>
              <w:right w:val="single" w:sz="8" w:color="auto"/>
            </w:tcBorders>
          </w:tcPr>
          <w:p>
            <w:pPr>
              <w:spacing w:after="0" w:line="170" w:lineRule="exact"/>
              <w:rPr>
                <w:sz w:val="20"/>
                <w:szCs w:val="20"/>
                <w:color w:val="auto"/>
              </w:rPr>
            </w:pPr>
            <w:r>
              <w:rPr>
                <w:rFonts w:ascii="Arial" w:cs="Arial" w:eastAsia="Arial" w:hAnsi="Arial"/>
                <w:sz w:val="18"/>
                <w:szCs w:val="18"/>
                <w:color w:val="auto"/>
                <w:w w:val="97"/>
              </w:rPr>
              <w:t>Quarterly</w:t>
            </w:r>
          </w:p>
        </w:tc>
        <w:tc>
          <w:tcPr>
            <w:tcW w:w="780" w:type="dxa"/>
            <w:vAlign w:val="bottom"/>
            <w:tcBorders>
              <w:right w:val="single" w:sz="8" w:color="auto"/>
            </w:tcBorders>
          </w:tcPr>
          <w:p>
            <w:pPr>
              <w:spacing w:after="0" w:line="170" w:lineRule="exact"/>
              <w:rPr>
                <w:sz w:val="20"/>
                <w:szCs w:val="20"/>
                <w:color w:val="auto"/>
              </w:rPr>
            </w:pPr>
            <w:r>
              <w:rPr>
                <w:rFonts w:ascii="Arial" w:cs="Arial" w:eastAsia="Arial" w:hAnsi="Arial"/>
                <w:sz w:val="18"/>
                <w:szCs w:val="18"/>
                <w:color w:val="auto"/>
                <w:w w:val="89"/>
              </w:rPr>
              <w:t>November</w:t>
            </w:r>
          </w:p>
        </w:tc>
      </w:tr>
      <w:tr>
        <w:trPr>
          <w:trHeight w:val="196"/>
        </w:trPr>
        <w:tc>
          <w:tcPr>
            <w:tcW w:w="680" w:type="dxa"/>
            <w:vAlign w:val="bottom"/>
            <w:tcBorders>
              <w:left w:val="single" w:sz="8" w:color="auto"/>
              <w:right w:val="single" w:sz="8" w:color="auto"/>
            </w:tcBorders>
          </w:tcPr>
          <w:p>
            <w:pPr>
              <w:spacing w:after="0"/>
              <w:rPr>
                <w:sz w:val="17"/>
                <w:szCs w:val="17"/>
                <w:color w:val="auto"/>
              </w:rPr>
            </w:pPr>
          </w:p>
        </w:tc>
        <w:tc>
          <w:tcPr>
            <w:tcW w:w="598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r:id="rId198">
              <w:r>
                <w:rPr>
                  <w:rFonts w:ascii="Arial" w:cs="Arial" w:eastAsia="Arial" w:hAnsi="Arial"/>
                  <w:sz w:val="18"/>
                  <w:szCs w:val="18"/>
                  <w:color w:val="0000EE"/>
                  <w:w w:val="90"/>
                </w:rPr>
                <w:t>Employees with Employment Agreements pursuant to Burlington Stores, Inc. 2013</w:t>
              </w:r>
            </w:hyperlink>
          </w:p>
        </w:tc>
        <w:tc>
          <w:tcPr>
            <w:tcW w:w="420" w:type="dxa"/>
            <w:vAlign w:val="bottom"/>
            <w:tcBorders>
              <w:right w:val="single" w:sz="8" w:color="auto"/>
            </w:tcBorders>
            <w:gridSpan w:val="11"/>
          </w:tcPr>
          <w:p>
            <w:pPr>
              <w:spacing w:after="0"/>
              <w:rPr>
                <w:sz w:val="17"/>
                <w:szCs w:val="17"/>
                <w:color w:val="auto"/>
              </w:rPr>
            </w:pPr>
          </w:p>
        </w:tc>
        <w:tc>
          <w:tcPr>
            <w:tcW w:w="76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w w:val="91"/>
              </w:rPr>
              <w:t>Report on</w:t>
            </w:r>
          </w:p>
        </w:tc>
        <w:tc>
          <w:tcPr>
            <w:tcW w:w="78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23, 2016</w:t>
            </w:r>
          </w:p>
        </w:tc>
      </w:tr>
      <w:tr>
        <w:trPr>
          <w:trHeight w:val="196"/>
        </w:trPr>
        <w:tc>
          <w:tcPr>
            <w:tcW w:w="680" w:type="dxa"/>
            <w:vAlign w:val="bottom"/>
            <w:tcBorders>
              <w:left w:val="single" w:sz="8" w:color="auto"/>
              <w:right w:val="single" w:sz="8" w:color="auto"/>
            </w:tcBorders>
          </w:tcPr>
          <w:p>
            <w:pPr>
              <w:spacing w:after="0"/>
              <w:rPr>
                <w:sz w:val="17"/>
                <w:szCs w:val="17"/>
                <w:color w:val="auto"/>
              </w:rPr>
            </w:pPr>
          </w:p>
        </w:tc>
        <w:tc>
          <w:tcPr>
            <w:tcW w:w="6400" w:type="dxa"/>
            <w:vAlign w:val="bottom"/>
            <w:tcBorders>
              <w:right w:val="single" w:sz="8" w:color="auto"/>
            </w:tcBorders>
            <w:gridSpan w:val="20"/>
          </w:tcPr>
          <w:p>
            <w:pPr>
              <w:spacing w:after="0" w:line="196" w:lineRule="exact"/>
              <w:rPr>
                <w:rFonts w:ascii="Arial" w:cs="Arial" w:eastAsia="Arial" w:hAnsi="Arial"/>
                <w:sz w:val="18"/>
                <w:szCs w:val="18"/>
                <w:color w:val="0000EE"/>
              </w:rPr>
            </w:pPr>
            <w:hyperlink r:id="rId198">
              <w:r>
                <w:rPr>
                  <w:rFonts w:ascii="Arial" w:cs="Arial" w:eastAsia="Arial" w:hAnsi="Arial"/>
                  <w:sz w:val="18"/>
                  <w:szCs w:val="18"/>
                  <w:color w:val="0000EE"/>
                </w:rPr>
                <w:t>Omnibus Incentive Plan.</w:t>
              </w:r>
            </w:hyperlink>
          </w:p>
        </w:tc>
        <w:tc>
          <w:tcPr>
            <w:tcW w:w="76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w w:val="98"/>
              </w:rPr>
              <w:t>Form 10-</w:t>
            </w:r>
          </w:p>
        </w:tc>
        <w:tc>
          <w:tcPr>
            <w:tcW w:w="780" w:type="dxa"/>
            <w:vAlign w:val="bottom"/>
            <w:tcBorders>
              <w:right w:val="single" w:sz="8" w:color="auto"/>
            </w:tcBorders>
          </w:tcPr>
          <w:p>
            <w:pPr>
              <w:spacing w:after="0"/>
              <w:rPr>
                <w:sz w:val="17"/>
                <w:szCs w:val="17"/>
                <w:color w:val="auto"/>
              </w:rPr>
            </w:pPr>
          </w:p>
        </w:tc>
      </w:tr>
      <w:tr>
        <w:trPr>
          <w:trHeight w:val="222"/>
        </w:trPr>
        <w:tc>
          <w:tcPr>
            <w:tcW w:w="680" w:type="dxa"/>
            <w:vAlign w:val="bottom"/>
            <w:tcBorders>
              <w:left w:val="single" w:sz="8" w:color="auto"/>
              <w:right w:val="single" w:sz="8" w:color="auto"/>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1320" w:type="dxa"/>
            <w:vAlign w:val="bottom"/>
            <w:tcBorders>
              <w:top w:val="single" w:sz="8" w:color="0000EE"/>
            </w:tcBorders>
          </w:tcPr>
          <w:p>
            <w:pPr>
              <w:spacing w:after="0"/>
              <w:rPr>
                <w:sz w:val="19"/>
                <w:szCs w:val="19"/>
                <w:color w:val="auto"/>
              </w:rPr>
            </w:pPr>
          </w:p>
        </w:tc>
        <w:tc>
          <w:tcPr>
            <w:tcW w:w="3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Q</w:t>
            </w:r>
          </w:p>
        </w:tc>
        <w:tc>
          <w:tcPr>
            <w:tcW w:w="780" w:type="dxa"/>
            <w:vAlign w:val="bottom"/>
            <w:tcBorders>
              <w:right w:val="single" w:sz="8" w:color="auto"/>
            </w:tcBorders>
          </w:tcPr>
          <w:p>
            <w:pPr>
              <w:spacing w:after="0"/>
              <w:rPr>
                <w:sz w:val="19"/>
                <w:szCs w:val="19"/>
                <w:color w:val="auto"/>
              </w:rPr>
            </w:pPr>
          </w:p>
        </w:tc>
      </w:tr>
      <w:tr>
        <w:trPr>
          <w:trHeight w:val="216"/>
        </w:trPr>
        <w:tc>
          <w:tcPr>
            <w:tcW w:w="680" w:type="dxa"/>
            <w:vAlign w:val="bottom"/>
            <w:tcBorders>
              <w:left w:val="single" w:sz="8" w:color="auto"/>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(File No.</w:t>
            </w:r>
          </w:p>
        </w:tc>
        <w:tc>
          <w:tcPr>
            <w:tcW w:w="780" w:type="dxa"/>
            <w:vAlign w:val="bottom"/>
            <w:tcBorders>
              <w:right w:val="single" w:sz="8" w:color="auto"/>
            </w:tcBorders>
          </w:tcPr>
          <w:p>
            <w:pPr>
              <w:spacing w:after="0"/>
              <w:rPr>
                <w:sz w:val="18"/>
                <w:szCs w:val="18"/>
                <w:color w:val="auto"/>
              </w:rPr>
            </w:pPr>
          </w:p>
        </w:tc>
      </w:tr>
      <w:tr>
        <w:trPr>
          <w:trHeight w:val="216"/>
        </w:trPr>
        <w:tc>
          <w:tcPr>
            <w:tcW w:w="680" w:type="dxa"/>
            <w:vAlign w:val="bottom"/>
            <w:tcBorders>
              <w:left w:val="single" w:sz="8" w:color="auto"/>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001-</w:t>
            </w:r>
          </w:p>
        </w:tc>
        <w:tc>
          <w:tcPr>
            <w:tcW w:w="780" w:type="dxa"/>
            <w:vAlign w:val="bottom"/>
            <w:tcBorders>
              <w:right w:val="single" w:sz="8" w:color="auto"/>
            </w:tcBorders>
          </w:tcPr>
          <w:p>
            <w:pPr>
              <w:spacing w:after="0"/>
              <w:rPr>
                <w:sz w:val="18"/>
                <w:szCs w:val="18"/>
                <w:color w:val="auto"/>
              </w:rPr>
            </w:pPr>
          </w:p>
        </w:tc>
      </w:tr>
      <w:tr>
        <w:trPr>
          <w:trHeight w:val="230"/>
        </w:trPr>
        <w:tc>
          <w:tcPr>
            <w:tcW w:w="680" w:type="dxa"/>
            <w:vAlign w:val="bottom"/>
            <w:tcBorders>
              <w:left w:val="single" w:sz="8" w:color="auto"/>
              <w:bottom w:val="single" w:sz="8" w:color="auto"/>
              <w:right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36107)</w:t>
            </w:r>
          </w:p>
        </w:tc>
        <w:tc>
          <w:tcPr>
            <w:tcW w:w="780" w:type="dxa"/>
            <w:vAlign w:val="bottom"/>
            <w:tcBorders>
              <w:bottom w:val="single" w:sz="8" w:color="auto"/>
              <w:right w:val="single" w:sz="8" w:color="auto"/>
            </w:tcBorders>
          </w:tcPr>
          <w:p>
            <w:pPr>
              <w:spacing w:after="0"/>
              <w:rPr>
                <w:sz w:val="20"/>
                <w:szCs w:val="20"/>
                <w:color w:val="auto"/>
              </w:rPr>
            </w:pPr>
          </w:p>
        </w:tc>
      </w:tr>
      <w:tr>
        <w:trPr>
          <w:trHeight w:val="169"/>
        </w:trPr>
        <w:tc>
          <w:tcPr>
            <w:tcW w:w="680" w:type="dxa"/>
            <w:vAlign w:val="bottom"/>
            <w:tcBorders>
              <w:left w:val="single" w:sz="8" w:color="auto"/>
              <w:right w:val="single" w:sz="8" w:color="auto"/>
            </w:tcBorders>
          </w:tcPr>
          <w:p>
            <w:pPr>
              <w:spacing w:after="0" w:line="170" w:lineRule="exact"/>
              <w:rPr>
                <w:sz w:val="20"/>
                <w:szCs w:val="20"/>
                <w:color w:val="auto"/>
              </w:rPr>
            </w:pPr>
            <w:r>
              <w:rPr>
                <w:rFonts w:ascii="Arial" w:cs="Arial" w:eastAsia="Arial" w:hAnsi="Arial"/>
                <w:sz w:val="18"/>
                <w:szCs w:val="18"/>
                <w:color w:val="auto"/>
              </w:rPr>
              <w:t>10.43+</w:t>
            </w:r>
          </w:p>
        </w:tc>
        <w:tc>
          <w:tcPr>
            <w:tcW w:w="6160" w:type="dxa"/>
            <w:vAlign w:val="bottom"/>
            <w:tcBorders>
              <w:bottom w:val="single" w:sz="8" w:color="0000EE"/>
            </w:tcBorders>
            <w:gridSpan w:val="16"/>
          </w:tcPr>
          <w:p>
            <w:pPr>
              <w:spacing w:after="0" w:line="170" w:lineRule="exact"/>
              <w:rPr>
                <w:rFonts w:ascii="Arial" w:cs="Arial" w:eastAsia="Arial" w:hAnsi="Arial"/>
                <w:sz w:val="18"/>
                <w:szCs w:val="18"/>
                <w:color w:val="0000EE"/>
                <w:w w:val="91"/>
              </w:rPr>
            </w:pPr>
            <w:hyperlink r:id="rId199">
              <w:r>
                <w:rPr>
                  <w:rFonts w:ascii="Arial" w:cs="Arial" w:eastAsia="Arial" w:hAnsi="Arial"/>
                  <w:sz w:val="18"/>
                  <w:szCs w:val="18"/>
                  <w:color w:val="0000EE"/>
                  <w:w w:val="91"/>
                </w:rPr>
                <w:t>Form of Non-Qualified Stock Option Agreement between Burlington Stores, Inc. and</w:t>
              </w:r>
            </w:hyperlink>
          </w:p>
        </w:tc>
        <w:tc>
          <w:tcPr>
            <w:tcW w:w="240" w:type="dxa"/>
            <w:vAlign w:val="bottom"/>
            <w:tcBorders>
              <w:right w:val="single" w:sz="8" w:color="auto"/>
            </w:tcBorders>
            <w:gridSpan w:val="4"/>
          </w:tcPr>
          <w:p>
            <w:pPr>
              <w:spacing w:after="0"/>
              <w:rPr>
                <w:sz w:val="14"/>
                <w:szCs w:val="14"/>
                <w:color w:val="auto"/>
              </w:rPr>
            </w:pPr>
          </w:p>
        </w:tc>
        <w:tc>
          <w:tcPr>
            <w:tcW w:w="760" w:type="dxa"/>
            <w:vAlign w:val="bottom"/>
            <w:tcBorders>
              <w:right w:val="single" w:sz="8" w:color="auto"/>
            </w:tcBorders>
          </w:tcPr>
          <w:p>
            <w:pPr>
              <w:spacing w:after="0" w:line="170" w:lineRule="exact"/>
              <w:rPr>
                <w:sz w:val="20"/>
                <w:szCs w:val="20"/>
                <w:color w:val="auto"/>
              </w:rPr>
            </w:pPr>
            <w:r>
              <w:rPr>
                <w:rFonts w:ascii="Arial" w:cs="Arial" w:eastAsia="Arial" w:hAnsi="Arial"/>
                <w:sz w:val="18"/>
                <w:szCs w:val="18"/>
                <w:color w:val="auto"/>
                <w:w w:val="97"/>
              </w:rPr>
              <w:t>Quarterly</w:t>
            </w:r>
          </w:p>
        </w:tc>
        <w:tc>
          <w:tcPr>
            <w:tcW w:w="780" w:type="dxa"/>
            <w:vAlign w:val="bottom"/>
            <w:tcBorders>
              <w:right w:val="single" w:sz="8" w:color="auto"/>
            </w:tcBorders>
          </w:tcPr>
          <w:p>
            <w:pPr>
              <w:spacing w:after="0" w:line="170" w:lineRule="exact"/>
              <w:rPr>
                <w:sz w:val="20"/>
                <w:szCs w:val="20"/>
                <w:color w:val="auto"/>
              </w:rPr>
            </w:pPr>
            <w:r>
              <w:rPr>
                <w:rFonts w:ascii="Arial" w:cs="Arial" w:eastAsia="Arial" w:hAnsi="Arial"/>
                <w:sz w:val="18"/>
                <w:szCs w:val="18"/>
                <w:color w:val="auto"/>
                <w:w w:val="89"/>
              </w:rPr>
              <w:t>November</w:t>
            </w:r>
          </w:p>
        </w:tc>
      </w:tr>
      <w:tr>
        <w:trPr>
          <w:trHeight w:val="196"/>
        </w:trPr>
        <w:tc>
          <w:tcPr>
            <w:tcW w:w="680" w:type="dxa"/>
            <w:vAlign w:val="bottom"/>
            <w:tcBorders>
              <w:left w:val="single" w:sz="8" w:color="auto"/>
              <w:right w:val="single" w:sz="8" w:color="auto"/>
            </w:tcBorders>
          </w:tcPr>
          <w:p>
            <w:pPr>
              <w:spacing w:after="0"/>
              <w:rPr>
                <w:sz w:val="17"/>
                <w:szCs w:val="17"/>
                <w:color w:val="auto"/>
              </w:rPr>
            </w:pPr>
          </w:p>
        </w:tc>
        <w:tc>
          <w:tcPr>
            <w:tcW w:w="6400" w:type="dxa"/>
            <w:vAlign w:val="bottom"/>
            <w:tcBorders>
              <w:right w:val="single" w:sz="8" w:color="auto"/>
            </w:tcBorders>
            <w:gridSpan w:val="20"/>
          </w:tcPr>
          <w:p>
            <w:pPr>
              <w:spacing w:after="0" w:line="196" w:lineRule="exact"/>
              <w:rPr>
                <w:rFonts w:ascii="Arial" w:cs="Arial" w:eastAsia="Arial" w:hAnsi="Arial"/>
                <w:sz w:val="18"/>
                <w:szCs w:val="18"/>
                <w:color w:val="0000EE"/>
                <w:w w:val="93"/>
              </w:rPr>
            </w:pPr>
            <w:hyperlink r:id="rId199">
              <w:r>
                <w:rPr>
                  <w:rFonts w:ascii="Arial" w:cs="Arial" w:eastAsia="Arial" w:hAnsi="Arial"/>
                  <w:sz w:val="18"/>
                  <w:szCs w:val="18"/>
                  <w:color w:val="0000EE"/>
                  <w:w w:val="93"/>
                </w:rPr>
                <w:t>Employees without Employment Agreements pursuant to Burlington Stores, Inc. 2013</w:t>
              </w:r>
            </w:hyperlink>
          </w:p>
        </w:tc>
        <w:tc>
          <w:tcPr>
            <w:tcW w:w="76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w w:val="91"/>
              </w:rPr>
              <w:t>Report on</w:t>
            </w:r>
          </w:p>
        </w:tc>
        <w:tc>
          <w:tcPr>
            <w:tcW w:w="78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23, 2016</w:t>
            </w:r>
          </w:p>
        </w:tc>
      </w:tr>
      <w:tr>
        <w:trPr>
          <w:trHeight w:val="196"/>
        </w:trPr>
        <w:tc>
          <w:tcPr>
            <w:tcW w:w="680" w:type="dxa"/>
            <w:vAlign w:val="bottom"/>
            <w:tcBorders>
              <w:left w:val="single" w:sz="8" w:color="auto"/>
              <w:right w:val="single" w:sz="8" w:color="auto"/>
            </w:tcBorders>
          </w:tcPr>
          <w:p>
            <w:pPr>
              <w:spacing w:after="0"/>
              <w:rPr>
                <w:sz w:val="17"/>
                <w:szCs w:val="17"/>
                <w:color w:val="auto"/>
              </w:rPr>
            </w:pPr>
          </w:p>
        </w:tc>
        <w:tc>
          <w:tcPr>
            <w:tcW w:w="620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r:id="rId199">
              <w:r>
                <w:rPr>
                  <w:rFonts w:ascii="Arial" w:cs="Arial" w:eastAsia="Arial" w:hAnsi="Arial"/>
                  <w:sz w:val="18"/>
                  <w:szCs w:val="18"/>
                  <w:color w:val="0000EE"/>
                </w:rPr>
                <w:t>Omnibus Incentive Plan.</w:t>
              </w:r>
            </w:hyperlink>
          </w:p>
        </w:tc>
        <w:tc>
          <w:tcPr>
            <w:tcW w:w="200" w:type="dxa"/>
            <w:vAlign w:val="bottom"/>
            <w:tcBorders>
              <w:right w:val="single" w:sz="8" w:color="auto"/>
            </w:tcBorders>
            <w:gridSpan w:val="2"/>
          </w:tcPr>
          <w:p>
            <w:pPr>
              <w:spacing w:after="0"/>
              <w:rPr>
                <w:sz w:val="17"/>
                <w:szCs w:val="17"/>
                <w:color w:val="auto"/>
              </w:rPr>
            </w:pPr>
          </w:p>
        </w:tc>
        <w:tc>
          <w:tcPr>
            <w:tcW w:w="76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w w:val="98"/>
              </w:rPr>
              <w:t>Form 10-</w:t>
            </w:r>
          </w:p>
        </w:tc>
        <w:tc>
          <w:tcPr>
            <w:tcW w:w="780" w:type="dxa"/>
            <w:vAlign w:val="bottom"/>
            <w:tcBorders>
              <w:right w:val="single" w:sz="8" w:color="auto"/>
            </w:tcBorders>
          </w:tcPr>
          <w:p>
            <w:pPr>
              <w:spacing w:after="0"/>
              <w:rPr>
                <w:sz w:val="17"/>
                <w:szCs w:val="17"/>
                <w:color w:val="auto"/>
              </w:rPr>
            </w:pPr>
          </w:p>
        </w:tc>
      </w:tr>
      <w:tr>
        <w:trPr>
          <w:trHeight w:val="222"/>
        </w:trPr>
        <w:tc>
          <w:tcPr>
            <w:tcW w:w="680" w:type="dxa"/>
            <w:vAlign w:val="bottom"/>
            <w:tcBorders>
              <w:left w:val="single" w:sz="8" w:color="auto"/>
              <w:right w:val="single" w:sz="8" w:color="auto"/>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1320" w:type="dxa"/>
            <w:vAlign w:val="bottom"/>
            <w:tcBorders>
              <w:top w:val="single" w:sz="8" w:color="0000EE"/>
            </w:tcBorders>
          </w:tcPr>
          <w:p>
            <w:pPr>
              <w:spacing w:after="0"/>
              <w:rPr>
                <w:sz w:val="19"/>
                <w:szCs w:val="19"/>
                <w:color w:val="auto"/>
              </w:rPr>
            </w:pPr>
          </w:p>
        </w:tc>
        <w:tc>
          <w:tcPr>
            <w:tcW w:w="3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Q</w:t>
            </w:r>
          </w:p>
        </w:tc>
        <w:tc>
          <w:tcPr>
            <w:tcW w:w="780" w:type="dxa"/>
            <w:vAlign w:val="bottom"/>
            <w:tcBorders>
              <w:right w:val="single" w:sz="8" w:color="auto"/>
            </w:tcBorders>
          </w:tcPr>
          <w:p>
            <w:pPr>
              <w:spacing w:after="0"/>
              <w:rPr>
                <w:sz w:val="19"/>
                <w:szCs w:val="19"/>
                <w:color w:val="auto"/>
              </w:rPr>
            </w:pPr>
          </w:p>
        </w:tc>
      </w:tr>
      <w:tr>
        <w:trPr>
          <w:trHeight w:val="216"/>
        </w:trPr>
        <w:tc>
          <w:tcPr>
            <w:tcW w:w="680" w:type="dxa"/>
            <w:vAlign w:val="bottom"/>
            <w:tcBorders>
              <w:left w:val="single" w:sz="8" w:color="auto"/>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(File No.</w:t>
            </w:r>
          </w:p>
        </w:tc>
        <w:tc>
          <w:tcPr>
            <w:tcW w:w="780" w:type="dxa"/>
            <w:vAlign w:val="bottom"/>
            <w:tcBorders>
              <w:right w:val="single" w:sz="8" w:color="auto"/>
            </w:tcBorders>
          </w:tcPr>
          <w:p>
            <w:pPr>
              <w:spacing w:after="0"/>
              <w:rPr>
                <w:sz w:val="18"/>
                <w:szCs w:val="18"/>
                <w:color w:val="auto"/>
              </w:rPr>
            </w:pPr>
          </w:p>
        </w:tc>
      </w:tr>
      <w:tr>
        <w:trPr>
          <w:trHeight w:val="216"/>
        </w:trPr>
        <w:tc>
          <w:tcPr>
            <w:tcW w:w="680" w:type="dxa"/>
            <w:vAlign w:val="bottom"/>
            <w:tcBorders>
              <w:left w:val="single" w:sz="8" w:color="auto"/>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001-</w:t>
            </w:r>
          </w:p>
        </w:tc>
        <w:tc>
          <w:tcPr>
            <w:tcW w:w="780" w:type="dxa"/>
            <w:vAlign w:val="bottom"/>
            <w:tcBorders>
              <w:right w:val="single" w:sz="8" w:color="auto"/>
            </w:tcBorders>
          </w:tcPr>
          <w:p>
            <w:pPr>
              <w:spacing w:after="0"/>
              <w:rPr>
                <w:sz w:val="18"/>
                <w:szCs w:val="18"/>
                <w:color w:val="auto"/>
              </w:rPr>
            </w:pPr>
          </w:p>
        </w:tc>
      </w:tr>
      <w:tr>
        <w:trPr>
          <w:trHeight w:val="230"/>
        </w:trPr>
        <w:tc>
          <w:tcPr>
            <w:tcW w:w="680" w:type="dxa"/>
            <w:vAlign w:val="bottom"/>
            <w:tcBorders>
              <w:left w:val="single" w:sz="8" w:color="auto"/>
              <w:bottom w:val="single" w:sz="8" w:color="auto"/>
              <w:right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36107)</w:t>
            </w:r>
          </w:p>
        </w:tc>
        <w:tc>
          <w:tcPr>
            <w:tcW w:w="780" w:type="dxa"/>
            <w:vAlign w:val="bottom"/>
            <w:tcBorders>
              <w:bottom w:val="single" w:sz="8" w:color="auto"/>
              <w:right w:val="single" w:sz="8" w:color="auto"/>
            </w:tcBorders>
          </w:tcPr>
          <w:p>
            <w:pPr>
              <w:spacing w:after="0"/>
              <w:rPr>
                <w:sz w:val="20"/>
                <w:szCs w:val="20"/>
                <w:color w:val="auto"/>
              </w:rPr>
            </w:pPr>
          </w:p>
        </w:tc>
      </w:tr>
      <w:tr>
        <w:trPr>
          <w:trHeight w:val="169"/>
        </w:trPr>
        <w:tc>
          <w:tcPr>
            <w:tcW w:w="680" w:type="dxa"/>
            <w:vAlign w:val="bottom"/>
            <w:tcBorders>
              <w:left w:val="single" w:sz="8" w:color="auto"/>
              <w:right w:val="single" w:sz="8" w:color="auto"/>
            </w:tcBorders>
          </w:tcPr>
          <w:p>
            <w:pPr>
              <w:spacing w:after="0" w:line="170" w:lineRule="exact"/>
              <w:rPr>
                <w:sz w:val="20"/>
                <w:szCs w:val="20"/>
                <w:color w:val="auto"/>
              </w:rPr>
            </w:pPr>
            <w:r>
              <w:rPr>
                <w:rFonts w:ascii="Arial" w:cs="Arial" w:eastAsia="Arial" w:hAnsi="Arial"/>
                <w:sz w:val="18"/>
                <w:szCs w:val="18"/>
                <w:color w:val="auto"/>
              </w:rPr>
              <w:t>10.44+</w:t>
            </w:r>
          </w:p>
        </w:tc>
        <w:tc>
          <w:tcPr>
            <w:tcW w:w="5740" w:type="dxa"/>
            <w:vAlign w:val="bottom"/>
            <w:tcBorders>
              <w:bottom w:val="single" w:sz="8" w:color="0000EE"/>
            </w:tcBorders>
            <w:gridSpan w:val="6"/>
          </w:tcPr>
          <w:p>
            <w:pPr>
              <w:spacing w:after="0" w:line="170" w:lineRule="exact"/>
              <w:rPr>
                <w:rFonts w:ascii="Arial" w:cs="Arial" w:eastAsia="Arial" w:hAnsi="Arial"/>
                <w:sz w:val="18"/>
                <w:szCs w:val="18"/>
                <w:color w:val="0000EE"/>
                <w:w w:val="90"/>
              </w:rPr>
            </w:pPr>
            <w:hyperlink r:id="rId200">
              <w:r>
                <w:rPr>
                  <w:rFonts w:ascii="Arial" w:cs="Arial" w:eastAsia="Arial" w:hAnsi="Arial"/>
                  <w:sz w:val="18"/>
                  <w:szCs w:val="18"/>
                  <w:color w:val="0000EE"/>
                  <w:w w:val="90"/>
                </w:rPr>
                <w:t>Form of Restricted Stock Grant Agreement between Burlington Stores, Inc. and</w:t>
              </w:r>
            </w:hyperlink>
          </w:p>
        </w:tc>
        <w:tc>
          <w:tcPr>
            <w:tcW w:w="660" w:type="dxa"/>
            <w:vAlign w:val="bottom"/>
            <w:tcBorders>
              <w:right w:val="single" w:sz="8" w:color="auto"/>
            </w:tcBorders>
            <w:gridSpan w:val="14"/>
          </w:tcPr>
          <w:p>
            <w:pPr>
              <w:spacing w:after="0"/>
              <w:rPr>
                <w:sz w:val="14"/>
                <w:szCs w:val="14"/>
                <w:color w:val="auto"/>
              </w:rPr>
            </w:pPr>
          </w:p>
        </w:tc>
        <w:tc>
          <w:tcPr>
            <w:tcW w:w="760" w:type="dxa"/>
            <w:vAlign w:val="bottom"/>
            <w:tcBorders>
              <w:right w:val="single" w:sz="8" w:color="auto"/>
            </w:tcBorders>
          </w:tcPr>
          <w:p>
            <w:pPr>
              <w:spacing w:after="0" w:line="170" w:lineRule="exact"/>
              <w:rPr>
                <w:sz w:val="20"/>
                <w:szCs w:val="20"/>
                <w:color w:val="auto"/>
              </w:rPr>
            </w:pPr>
            <w:r>
              <w:rPr>
                <w:rFonts w:ascii="Arial" w:cs="Arial" w:eastAsia="Arial" w:hAnsi="Arial"/>
                <w:sz w:val="18"/>
                <w:szCs w:val="18"/>
                <w:color w:val="auto"/>
                <w:w w:val="97"/>
              </w:rPr>
              <w:t>Quarterly</w:t>
            </w:r>
          </w:p>
        </w:tc>
        <w:tc>
          <w:tcPr>
            <w:tcW w:w="780" w:type="dxa"/>
            <w:vAlign w:val="bottom"/>
            <w:tcBorders>
              <w:right w:val="single" w:sz="8" w:color="auto"/>
            </w:tcBorders>
          </w:tcPr>
          <w:p>
            <w:pPr>
              <w:spacing w:after="0" w:line="170" w:lineRule="exact"/>
              <w:rPr>
                <w:sz w:val="20"/>
                <w:szCs w:val="20"/>
                <w:color w:val="auto"/>
              </w:rPr>
            </w:pPr>
            <w:r>
              <w:rPr>
                <w:rFonts w:ascii="Arial" w:cs="Arial" w:eastAsia="Arial" w:hAnsi="Arial"/>
                <w:sz w:val="18"/>
                <w:szCs w:val="18"/>
                <w:color w:val="auto"/>
                <w:w w:val="89"/>
              </w:rPr>
              <w:t>November</w:t>
            </w:r>
          </w:p>
        </w:tc>
      </w:tr>
      <w:tr>
        <w:trPr>
          <w:trHeight w:val="196"/>
        </w:trPr>
        <w:tc>
          <w:tcPr>
            <w:tcW w:w="680" w:type="dxa"/>
            <w:vAlign w:val="bottom"/>
            <w:tcBorders>
              <w:left w:val="single" w:sz="8" w:color="auto"/>
              <w:right w:val="single" w:sz="8" w:color="auto"/>
            </w:tcBorders>
          </w:tcPr>
          <w:p>
            <w:pPr>
              <w:spacing w:after="0"/>
              <w:rPr>
                <w:sz w:val="17"/>
                <w:szCs w:val="17"/>
                <w:color w:val="auto"/>
              </w:rPr>
            </w:pPr>
          </w:p>
        </w:tc>
        <w:tc>
          <w:tcPr>
            <w:tcW w:w="598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r:id="rId200">
              <w:r>
                <w:rPr>
                  <w:rFonts w:ascii="Arial" w:cs="Arial" w:eastAsia="Arial" w:hAnsi="Arial"/>
                  <w:sz w:val="18"/>
                  <w:szCs w:val="18"/>
                  <w:color w:val="0000EE"/>
                  <w:w w:val="90"/>
                </w:rPr>
                <w:t>Employees with Employment Agreements pursuant to Burlington Stores, Inc. 2013</w:t>
              </w:r>
            </w:hyperlink>
          </w:p>
        </w:tc>
        <w:tc>
          <w:tcPr>
            <w:tcW w:w="420" w:type="dxa"/>
            <w:vAlign w:val="bottom"/>
            <w:tcBorders>
              <w:right w:val="single" w:sz="8" w:color="auto"/>
            </w:tcBorders>
            <w:gridSpan w:val="11"/>
          </w:tcPr>
          <w:p>
            <w:pPr>
              <w:spacing w:after="0"/>
              <w:rPr>
                <w:sz w:val="17"/>
                <w:szCs w:val="17"/>
                <w:color w:val="auto"/>
              </w:rPr>
            </w:pPr>
          </w:p>
        </w:tc>
        <w:tc>
          <w:tcPr>
            <w:tcW w:w="76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w w:val="91"/>
              </w:rPr>
              <w:t>Report on</w:t>
            </w:r>
          </w:p>
        </w:tc>
        <w:tc>
          <w:tcPr>
            <w:tcW w:w="78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23, 2016</w:t>
            </w:r>
          </w:p>
        </w:tc>
      </w:tr>
      <w:tr>
        <w:trPr>
          <w:trHeight w:val="196"/>
        </w:trPr>
        <w:tc>
          <w:tcPr>
            <w:tcW w:w="680" w:type="dxa"/>
            <w:vAlign w:val="bottom"/>
            <w:tcBorders>
              <w:left w:val="single" w:sz="8" w:color="auto"/>
              <w:right w:val="single" w:sz="8" w:color="auto"/>
            </w:tcBorders>
          </w:tcPr>
          <w:p>
            <w:pPr>
              <w:spacing w:after="0"/>
              <w:rPr>
                <w:sz w:val="17"/>
                <w:szCs w:val="17"/>
                <w:color w:val="auto"/>
              </w:rPr>
            </w:pPr>
          </w:p>
        </w:tc>
        <w:tc>
          <w:tcPr>
            <w:tcW w:w="6400" w:type="dxa"/>
            <w:vAlign w:val="bottom"/>
            <w:tcBorders>
              <w:right w:val="single" w:sz="8" w:color="auto"/>
            </w:tcBorders>
            <w:gridSpan w:val="20"/>
          </w:tcPr>
          <w:p>
            <w:pPr>
              <w:spacing w:after="0" w:line="196" w:lineRule="exact"/>
              <w:rPr>
                <w:rFonts w:ascii="Arial" w:cs="Arial" w:eastAsia="Arial" w:hAnsi="Arial"/>
                <w:sz w:val="18"/>
                <w:szCs w:val="18"/>
                <w:color w:val="0000EE"/>
              </w:rPr>
            </w:pPr>
            <w:hyperlink r:id="rId200">
              <w:r>
                <w:rPr>
                  <w:rFonts w:ascii="Arial" w:cs="Arial" w:eastAsia="Arial" w:hAnsi="Arial"/>
                  <w:sz w:val="18"/>
                  <w:szCs w:val="18"/>
                  <w:color w:val="0000EE"/>
                </w:rPr>
                <w:t>Omnibus Incentive Plan.</w:t>
              </w:r>
            </w:hyperlink>
          </w:p>
        </w:tc>
        <w:tc>
          <w:tcPr>
            <w:tcW w:w="76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w w:val="98"/>
              </w:rPr>
              <w:t>Form 10-</w:t>
            </w:r>
          </w:p>
        </w:tc>
        <w:tc>
          <w:tcPr>
            <w:tcW w:w="780" w:type="dxa"/>
            <w:vAlign w:val="bottom"/>
            <w:tcBorders>
              <w:right w:val="single" w:sz="8" w:color="auto"/>
            </w:tcBorders>
          </w:tcPr>
          <w:p>
            <w:pPr>
              <w:spacing w:after="0"/>
              <w:rPr>
                <w:sz w:val="17"/>
                <w:szCs w:val="17"/>
                <w:color w:val="auto"/>
              </w:rPr>
            </w:pPr>
          </w:p>
        </w:tc>
      </w:tr>
      <w:tr>
        <w:trPr>
          <w:trHeight w:val="222"/>
        </w:trPr>
        <w:tc>
          <w:tcPr>
            <w:tcW w:w="680" w:type="dxa"/>
            <w:vAlign w:val="bottom"/>
            <w:tcBorders>
              <w:left w:val="single" w:sz="8" w:color="auto"/>
              <w:right w:val="single" w:sz="8" w:color="auto"/>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1320" w:type="dxa"/>
            <w:vAlign w:val="bottom"/>
            <w:tcBorders>
              <w:top w:val="single" w:sz="8" w:color="0000EE"/>
            </w:tcBorders>
          </w:tcPr>
          <w:p>
            <w:pPr>
              <w:spacing w:after="0"/>
              <w:rPr>
                <w:sz w:val="19"/>
                <w:szCs w:val="19"/>
                <w:color w:val="auto"/>
              </w:rPr>
            </w:pPr>
          </w:p>
        </w:tc>
        <w:tc>
          <w:tcPr>
            <w:tcW w:w="3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Q</w:t>
            </w:r>
          </w:p>
        </w:tc>
        <w:tc>
          <w:tcPr>
            <w:tcW w:w="780" w:type="dxa"/>
            <w:vAlign w:val="bottom"/>
            <w:tcBorders>
              <w:right w:val="single" w:sz="8" w:color="auto"/>
            </w:tcBorders>
          </w:tcPr>
          <w:p>
            <w:pPr>
              <w:spacing w:after="0"/>
              <w:rPr>
                <w:sz w:val="19"/>
                <w:szCs w:val="19"/>
                <w:color w:val="auto"/>
              </w:rPr>
            </w:pPr>
          </w:p>
        </w:tc>
      </w:tr>
      <w:tr>
        <w:trPr>
          <w:trHeight w:val="216"/>
        </w:trPr>
        <w:tc>
          <w:tcPr>
            <w:tcW w:w="680" w:type="dxa"/>
            <w:vAlign w:val="bottom"/>
            <w:tcBorders>
              <w:left w:val="single" w:sz="8" w:color="auto"/>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(File No.</w:t>
            </w:r>
          </w:p>
        </w:tc>
        <w:tc>
          <w:tcPr>
            <w:tcW w:w="780" w:type="dxa"/>
            <w:vAlign w:val="bottom"/>
            <w:tcBorders>
              <w:right w:val="single" w:sz="8" w:color="auto"/>
            </w:tcBorders>
          </w:tcPr>
          <w:p>
            <w:pPr>
              <w:spacing w:after="0"/>
              <w:rPr>
                <w:sz w:val="18"/>
                <w:szCs w:val="18"/>
                <w:color w:val="auto"/>
              </w:rPr>
            </w:pPr>
          </w:p>
        </w:tc>
      </w:tr>
      <w:tr>
        <w:trPr>
          <w:trHeight w:val="216"/>
        </w:trPr>
        <w:tc>
          <w:tcPr>
            <w:tcW w:w="680" w:type="dxa"/>
            <w:vAlign w:val="bottom"/>
            <w:tcBorders>
              <w:left w:val="single" w:sz="8" w:color="auto"/>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001-</w:t>
            </w:r>
          </w:p>
        </w:tc>
        <w:tc>
          <w:tcPr>
            <w:tcW w:w="780" w:type="dxa"/>
            <w:vAlign w:val="bottom"/>
            <w:tcBorders>
              <w:right w:val="single" w:sz="8" w:color="auto"/>
            </w:tcBorders>
          </w:tcPr>
          <w:p>
            <w:pPr>
              <w:spacing w:after="0"/>
              <w:rPr>
                <w:sz w:val="18"/>
                <w:szCs w:val="18"/>
                <w:color w:val="auto"/>
              </w:rPr>
            </w:pPr>
          </w:p>
        </w:tc>
      </w:tr>
      <w:tr>
        <w:trPr>
          <w:trHeight w:val="230"/>
        </w:trPr>
        <w:tc>
          <w:tcPr>
            <w:tcW w:w="680" w:type="dxa"/>
            <w:vAlign w:val="bottom"/>
            <w:tcBorders>
              <w:left w:val="single" w:sz="8" w:color="auto"/>
              <w:bottom w:val="single" w:sz="8" w:color="auto"/>
              <w:right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36107)</w:t>
            </w:r>
          </w:p>
        </w:tc>
        <w:tc>
          <w:tcPr>
            <w:tcW w:w="780" w:type="dxa"/>
            <w:vAlign w:val="bottom"/>
            <w:tcBorders>
              <w:bottom w:val="single" w:sz="8" w:color="auto"/>
              <w:right w:val="single" w:sz="8" w:color="auto"/>
            </w:tcBorders>
          </w:tcPr>
          <w:p>
            <w:pPr>
              <w:spacing w:after="0"/>
              <w:rPr>
                <w:sz w:val="20"/>
                <w:szCs w:val="20"/>
                <w:color w:val="auto"/>
              </w:rPr>
            </w:pPr>
          </w:p>
        </w:tc>
      </w:tr>
      <w:tr>
        <w:trPr>
          <w:trHeight w:val="172"/>
        </w:trPr>
        <w:tc>
          <w:tcPr>
            <w:tcW w:w="680" w:type="dxa"/>
            <w:vAlign w:val="bottom"/>
            <w:tcBorders>
              <w:left w:val="single" w:sz="8" w:color="auto"/>
              <w:right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r>
    </w:tbl>
    <w:p>
      <w:pPr>
        <w:sectPr>
          <w:pgSz w:w="11900" w:h="16900" w:orient="portrait"/>
          <w:cols w:equalWidth="0" w:num="1">
            <w:col w:w="9019"/>
          </w:cols>
          <w:pgMar w:left="1440" w:top="335" w:right="1440" w:bottom="0" w:gutter="0" w:footer="0" w:header="0"/>
        </w:sectPr>
      </w:pPr>
    </w:p>
    <w:bookmarkStart w:id="99" w:name="page100"/>
    <w:bookmarkEnd w:id="9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color w:val="auto"/>
                <w:w w:val="82"/>
              </w:rPr>
              <w:t>10.45+</w:t>
            </w:r>
          </w:p>
        </w:tc>
        <w:tc>
          <w:tcPr>
            <w:tcW w:w="6400" w:type="dxa"/>
            <w:vAlign w:val="bottom"/>
            <w:tcBorders>
              <w:right w:val="single" w:sz="8" w:color="auto"/>
            </w:tcBorders>
            <w:gridSpan w:val="9"/>
          </w:tcPr>
          <w:p>
            <w:pPr>
              <w:spacing w:after="0"/>
              <w:rPr>
                <w:rFonts w:ascii="Arial" w:cs="Arial" w:eastAsia="Arial" w:hAnsi="Arial"/>
                <w:sz w:val="18"/>
                <w:szCs w:val="18"/>
                <w:color w:val="0000EE"/>
              </w:rPr>
            </w:pPr>
            <w:hyperlink r:id="rId201">
              <w:r>
                <w:rPr>
                  <w:rFonts w:ascii="Arial" w:cs="Arial" w:eastAsia="Arial" w:hAnsi="Arial"/>
                  <w:sz w:val="18"/>
                  <w:szCs w:val="18"/>
                  <w:color w:val="0000EE"/>
                </w:rPr>
                <w:t>Form of Restricted Stock Grant Agreement between Burlington Stores, Inc. and</w:t>
              </w:r>
            </w:hyperlink>
          </w:p>
        </w:tc>
        <w:tc>
          <w:tcPr>
            <w:tcW w:w="7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7"/>
              </w:rPr>
              <w:t>Quarterly</w:t>
            </w:r>
          </w:p>
        </w:tc>
        <w:tc>
          <w:tcPr>
            <w:tcW w:w="7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89"/>
              </w:rPr>
              <w:t>November</w:t>
            </w:r>
          </w:p>
        </w:tc>
        <w:tc>
          <w:tcPr>
            <w:tcW w:w="1400" w:type="dxa"/>
            <w:vAlign w:val="bottom"/>
          </w:tcPr>
          <w:p>
            <w:pPr>
              <w:spacing w:after="0"/>
              <w:rPr>
                <w:sz w:val="17"/>
                <w:szCs w:val="17"/>
                <w:color w:val="auto"/>
              </w:rPr>
            </w:pPr>
          </w:p>
        </w:tc>
      </w:tr>
      <w:tr>
        <w:trPr>
          <w:trHeight w:val="20"/>
        </w:trPr>
        <w:tc>
          <w:tcPr>
            <w:tcW w:w="1440" w:type="dxa"/>
            <w:vAlign w:val="bottom"/>
            <w:tcBorders>
              <w:right w:val="single" w:sz="8" w:color="auto"/>
            </w:tcBorders>
          </w:tcPr>
          <w:p>
            <w:pPr>
              <w:spacing w:after="0" w:line="20" w:lineRule="exact"/>
              <w:rPr>
                <w:sz w:val="1"/>
                <w:szCs w:val="1"/>
                <w:color w:val="auto"/>
              </w:rPr>
            </w:pPr>
          </w:p>
        </w:tc>
        <w:tc>
          <w:tcPr>
            <w:tcW w:w="660" w:type="dxa"/>
            <w:vAlign w:val="bottom"/>
            <w:tcBorders>
              <w:right w:val="single" w:sz="8" w:color="auto"/>
            </w:tcBorders>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21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760" w:type="dxa"/>
            <w:vAlign w:val="bottom"/>
            <w:tcBorders>
              <w:right w:val="single" w:sz="8" w:color="auto"/>
            </w:tcBorders>
          </w:tcPr>
          <w:p>
            <w:pPr>
              <w:spacing w:after="0" w:line="20" w:lineRule="exact"/>
              <w:rPr>
                <w:sz w:val="1"/>
                <w:szCs w:val="1"/>
                <w:color w:val="auto"/>
              </w:rPr>
            </w:pPr>
          </w:p>
        </w:tc>
        <w:tc>
          <w:tcPr>
            <w:tcW w:w="780" w:type="dxa"/>
            <w:vAlign w:val="bottom"/>
            <w:tcBorders>
              <w:right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96"/>
        </w:trPr>
        <w:tc>
          <w:tcPr>
            <w:tcW w:w="14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400" w:type="dxa"/>
            <w:vAlign w:val="bottom"/>
            <w:tcBorders>
              <w:right w:val="single" w:sz="8" w:color="auto"/>
            </w:tcBorders>
            <w:gridSpan w:val="9"/>
          </w:tcPr>
          <w:p>
            <w:pPr>
              <w:spacing w:after="0" w:line="196" w:lineRule="exact"/>
              <w:rPr>
                <w:rFonts w:ascii="Arial" w:cs="Arial" w:eastAsia="Arial" w:hAnsi="Arial"/>
                <w:sz w:val="18"/>
                <w:szCs w:val="18"/>
                <w:color w:val="0000EE"/>
                <w:w w:val="93"/>
              </w:rPr>
            </w:pPr>
            <w:hyperlink r:id="rId201">
              <w:r>
                <w:rPr>
                  <w:rFonts w:ascii="Arial" w:cs="Arial" w:eastAsia="Arial" w:hAnsi="Arial"/>
                  <w:sz w:val="18"/>
                  <w:szCs w:val="18"/>
                  <w:color w:val="0000EE"/>
                  <w:w w:val="93"/>
                </w:rPr>
                <w:t>Employees without Employment Agreements pursuant to Burlington Stores, Inc. 2013</w:t>
              </w:r>
            </w:hyperlink>
          </w:p>
        </w:tc>
        <w:tc>
          <w:tcPr>
            <w:tcW w:w="76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w w:val="91"/>
              </w:rPr>
              <w:t>Report on</w:t>
            </w:r>
          </w:p>
        </w:tc>
        <w:tc>
          <w:tcPr>
            <w:tcW w:w="78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23, 2016</w:t>
            </w:r>
          </w:p>
        </w:tc>
        <w:tc>
          <w:tcPr>
            <w:tcW w:w="1400" w:type="dxa"/>
            <w:vAlign w:val="bottom"/>
          </w:tcPr>
          <w:p>
            <w:pPr>
              <w:spacing w:after="0"/>
              <w:rPr>
                <w:sz w:val="17"/>
                <w:szCs w:val="17"/>
                <w:color w:val="auto"/>
              </w:rPr>
            </w:pPr>
          </w:p>
        </w:tc>
      </w:tr>
      <w:tr>
        <w:trPr>
          <w:trHeight w:val="196"/>
        </w:trPr>
        <w:tc>
          <w:tcPr>
            <w:tcW w:w="14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20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r:id="rId201">
              <w:r>
                <w:rPr>
                  <w:rFonts w:ascii="Arial" w:cs="Arial" w:eastAsia="Arial" w:hAnsi="Arial"/>
                  <w:sz w:val="18"/>
                  <w:szCs w:val="18"/>
                  <w:color w:val="0000EE"/>
                </w:rPr>
                <w:t>Omnibus Incentive Plan.</w:t>
              </w:r>
            </w:hyperlink>
          </w:p>
        </w:tc>
        <w:tc>
          <w:tcPr>
            <w:tcW w:w="20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w w:val="98"/>
              </w:rPr>
              <w:t>Form 10-</w:t>
            </w:r>
          </w:p>
        </w:tc>
        <w:tc>
          <w:tcPr>
            <w:tcW w:w="780" w:type="dxa"/>
            <w:vAlign w:val="bottom"/>
            <w:tcBorders>
              <w:right w:val="single" w:sz="8" w:color="auto"/>
            </w:tcBorders>
          </w:tcPr>
          <w:p>
            <w:pPr>
              <w:spacing w:after="0"/>
              <w:rPr>
                <w:sz w:val="17"/>
                <w:szCs w:val="17"/>
                <w:color w:val="auto"/>
              </w:rPr>
            </w:pPr>
          </w:p>
        </w:tc>
        <w:tc>
          <w:tcPr>
            <w:tcW w:w="1400" w:type="dxa"/>
            <w:vAlign w:val="bottom"/>
          </w:tcPr>
          <w:p>
            <w:pPr>
              <w:spacing w:after="0"/>
              <w:rPr>
                <w:sz w:val="17"/>
                <w:szCs w:val="17"/>
                <w:color w:val="auto"/>
              </w:rPr>
            </w:pPr>
          </w:p>
        </w:tc>
      </w:tr>
      <w:tr>
        <w:trPr>
          <w:trHeight w:val="222"/>
        </w:trPr>
        <w:tc>
          <w:tcPr>
            <w:tcW w:w="1440" w:type="dxa"/>
            <w:vAlign w:val="bottom"/>
            <w:tcBorders>
              <w:right w:val="single" w:sz="8" w:color="auto"/>
            </w:tcBorders>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164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178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Q</w:t>
            </w:r>
          </w:p>
        </w:tc>
        <w:tc>
          <w:tcPr>
            <w:tcW w:w="780" w:type="dxa"/>
            <w:vAlign w:val="bottom"/>
            <w:tcBorders>
              <w:right w:val="single" w:sz="8" w:color="auto"/>
            </w:tcBorders>
          </w:tcPr>
          <w:p>
            <w:pPr>
              <w:spacing w:after="0"/>
              <w:rPr>
                <w:sz w:val="19"/>
                <w:szCs w:val="19"/>
                <w:color w:val="auto"/>
              </w:rPr>
            </w:pPr>
          </w:p>
        </w:tc>
        <w:tc>
          <w:tcPr>
            <w:tcW w:w="1400" w:type="dxa"/>
            <w:vAlign w:val="bottom"/>
          </w:tcPr>
          <w:p>
            <w:pPr>
              <w:spacing w:after="0"/>
              <w:rPr>
                <w:sz w:val="19"/>
                <w:szCs w:val="19"/>
                <w:color w:val="auto"/>
              </w:rPr>
            </w:pPr>
          </w:p>
        </w:tc>
      </w:tr>
      <w:tr>
        <w:trPr>
          <w:trHeight w:val="216"/>
        </w:trPr>
        <w:tc>
          <w:tcPr>
            <w:tcW w:w="144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(File No.</w:t>
            </w:r>
          </w:p>
        </w:tc>
        <w:tc>
          <w:tcPr>
            <w:tcW w:w="780" w:type="dxa"/>
            <w:vAlign w:val="bottom"/>
            <w:tcBorders>
              <w:right w:val="single" w:sz="8" w:color="auto"/>
            </w:tcBorders>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144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001-</w:t>
            </w:r>
          </w:p>
        </w:tc>
        <w:tc>
          <w:tcPr>
            <w:tcW w:w="780" w:type="dxa"/>
            <w:vAlign w:val="bottom"/>
            <w:tcBorders>
              <w:right w:val="single" w:sz="8" w:color="auto"/>
            </w:tcBorders>
          </w:tcPr>
          <w:p>
            <w:pPr>
              <w:spacing w:after="0"/>
              <w:rPr>
                <w:sz w:val="18"/>
                <w:szCs w:val="18"/>
                <w:color w:val="auto"/>
              </w:rPr>
            </w:pPr>
          </w:p>
        </w:tc>
        <w:tc>
          <w:tcPr>
            <w:tcW w:w="1400" w:type="dxa"/>
            <w:vAlign w:val="bottom"/>
          </w:tcPr>
          <w:p>
            <w:pPr>
              <w:spacing w:after="0"/>
              <w:rPr>
                <w:sz w:val="18"/>
                <w:szCs w:val="18"/>
                <w:color w:val="auto"/>
              </w:rPr>
            </w:pPr>
          </w:p>
        </w:tc>
      </w:tr>
      <w:tr>
        <w:trPr>
          <w:trHeight w:val="230"/>
        </w:trPr>
        <w:tc>
          <w:tcPr>
            <w:tcW w:w="1440" w:type="dxa"/>
            <w:vAlign w:val="bottom"/>
            <w:tcBorders>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36107)</w:t>
            </w:r>
          </w:p>
        </w:tc>
        <w:tc>
          <w:tcPr>
            <w:tcW w:w="780" w:type="dxa"/>
            <w:vAlign w:val="bottom"/>
            <w:tcBorders>
              <w:bottom w:val="single" w:sz="8" w:color="auto"/>
              <w:right w:val="single" w:sz="8" w:color="auto"/>
            </w:tcBorders>
          </w:tcPr>
          <w:p>
            <w:pPr>
              <w:spacing w:after="0"/>
              <w:rPr>
                <w:sz w:val="20"/>
                <w:szCs w:val="20"/>
                <w:color w:val="auto"/>
              </w:rPr>
            </w:pPr>
          </w:p>
        </w:tc>
        <w:tc>
          <w:tcPr>
            <w:tcW w:w="1400" w:type="dxa"/>
            <w:vAlign w:val="bottom"/>
          </w:tcPr>
          <w:p>
            <w:pPr>
              <w:spacing w:after="0"/>
              <w:rPr>
                <w:sz w:val="20"/>
                <w:szCs w:val="20"/>
                <w:color w:val="auto"/>
              </w:rPr>
            </w:pPr>
          </w:p>
        </w:tc>
      </w:tr>
      <w:tr>
        <w:trPr>
          <w:trHeight w:val="169"/>
        </w:trPr>
        <w:tc>
          <w:tcPr>
            <w:tcW w:w="1440" w:type="dxa"/>
            <w:vAlign w:val="bottom"/>
            <w:tcBorders>
              <w:right w:val="single" w:sz="8" w:color="auto"/>
            </w:tcBorders>
          </w:tcPr>
          <w:p>
            <w:pPr>
              <w:spacing w:after="0"/>
              <w:rPr>
                <w:sz w:val="14"/>
                <w:szCs w:val="14"/>
                <w:color w:val="auto"/>
              </w:rPr>
            </w:pPr>
          </w:p>
        </w:tc>
        <w:tc>
          <w:tcPr>
            <w:tcW w:w="660" w:type="dxa"/>
            <w:vAlign w:val="bottom"/>
            <w:tcBorders>
              <w:right w:val="single" w:sz="8" w:color="auto"/>
            </w:tcBorders>
          </w:tcPr>
          <w:p>
            <w:pPr>
              <w:jc w:val="right"/>
              <w:ind w:right="90"/>
              <w:spacing w:after="0" w:line="170" w:lineRule="exact"/>
              <w:rPr>
                <w:sz w:val="20"/>
                <w:szCs w:val="20"/>
                <w:color w:val="auto"/>
              </w:rPr>
            </w:pPr>
            <w:r>
              <w:rPr>
                <w:rFonts w:ascii="Arial" w:cs="Arial" w:eastAsia="Arial" w:hAnsi="Arial"/>
                <w:sz w:val="18"/>
                <w:szCs w:val="18"/>
                <w:color w:val="auto"/>
                <w:w w:val="82"/>
              </w:rPr>
              <w:t>10.46+</w:t>
            </w:r>
          </w:p>
        </w:tc>
        <w:tc>
          <w:tcPr>
            <w:tcW w:w="6400" w:type="dxa"/>
            <w:vAlign w:val="bottom"/>
            <w:tcBorders>
              <w:right w:val="single" w:sz="8" w:color="auto"/>
            </w:tcBorders>
            <w:gridSpan w:val="9"/>
          </w:tcPr>
          <w:p>
            <w:pPr>
              <w:spacing w:after="0" w:line="170" w:lineRule="exact"/>
              <w:rPr>
                <w:rFonts w:ascii="Arial" w:cs="Arial" w:eastAsia="Arial" w:hAnsi="Arial"/>
                <w:sz w:val="18"/>
                <w:szCs w:val="18"/>
                <w:color w:val="0000EE"/>
              </w:rPr>
            </w:pPr>
            <w:hyperlink r:id="rId202">
              <w:r>
                <w:rPr>
                  <w:rFonts w:ascii="Arial" w:cs="Arial" w:eastAsia="Arial" w:hAnsi="Arial"/>
                  <w:sz w:val="18"/>
                  <w:szCs w:val="18"/>
                  <w:color w:val="0000EE"/>
                </w:rPr>
                <w:t>Burlington Stores, Inc. Executive Severance Plan</w:t>
              </w:r>
            </w:hyperlink>
          </w:p>
        </w:tc>
        <w:tc>
          <w:tcPr>
            <w:tcW w:w="760" w:type="dxa"/>
            <w:vAlign w:val="bottom"/>
            <w:tcBorders>
              <w:right w:val="single" w:sz="8" w:color="auto"/>
            </w:tcBorders>
          </w:tcPr>
          <w:p>
            <w:pPr>
              <w:spacing w:after="0" w:line="170" w:lineRule="exact"/>
              <w:rPr>
                <w:sz w:val="20"/>
                <w:szCs w:val="20"/>
                <w:color w:val="auto"/>
              </w:rPr>
            </w:pPr>
            <w:r>
              <w:rPr>
                <w:rFonts w:ascii="Arial" w:cs="Arial" w:eastAsia="Arial" w:hAnsi="Arial"/>
                <w:sz w:val="18"/>
                <w:szCs w:val="18"/>
                <w:color w:val="auto"/>
              </w:rPr>
              <w:t>Current</w:t>
            </w:r>
          </w:p>
        </w:tc>
        <w:tc>
          <w:tcPr>
            <w:tcW w:w="780" w:type="dxa"/>
            <w:vAlign w:val="bottom"/>
            <w:tcBorders>
              <w:right w:val="single" w:sz="8" w:color="auto"/>
            </w:tcBorders>
          </w:tcPr>
          <w:p>
            <w:pPr>
              <w:spacing w:after="0" w:line="170" w:lineRule="exact"/>
              <w:rPr>
                <w:sz w:val="20"/>
                <w:szCs w:val="20"/>
                <w:color w:val="auto"/>
              </w:rPr>
            </w:pPr>
            <w:r>
              <w:rPr>
                <w:rFonts w:ascii="Arial" w:cs="Arial" w:eastAsia="Arial" w:hAnsi="Arial"/>
                <w:sz w:val="18"/>
                <w:szCs w:val="18"/>
                <w:color w:val="auto"/>
              </w:rPr>
              <w:t>May 22,</w:t>
            </w:r>
          </w:p>
        </w:tc>
        <w:tc>
          <w:tcPr>
            <w:tcW w:w="1400" w:type="dxa"/>
            <w:vAlign w:val="bottom"/>
          </w:tcPr>
          <w:p>
            <w:pPr>
              <w:spacing w:after="0"/>
              <w:rPr>
                <w:sz w:val="14"/>
                <w:szCs w:val="14"/>
                <w:color w:val="auto"/>
              </w:rPr>
            </w:pPr>
          </w:p>
        </w:tc>
      </w:tr>
      <w:tr>
        <w:trPr>
          <w:trHeight w:val="222"/>
        </w:trPr>
        <w:tc>
          <w:tcPr>
            <w:tcW w:w="1440" w:type="dxa"/>
            <w:vAlign w:val="bottom"/>
            <w:tcBorders>
              <w:right w:val="single" w:sz="8" w:color="auto"/>
            </w:tcBorders>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164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1780" w:type="dxa"/>
            <w:vAlign w:val="bottom"/>
            <w:tcBorders>
              <w:top w:val="single" w:sz="8" w:color="0000EE"/>
            </w:tcBorders>
          </w:tcPr>
          <w:p>
            <w:pPr>
              <w:spacing w:after="0"/>
              <w:rPr>
                <w:sz w:val="19"/>
                <w:szCs w:val="19"/>
                <w:color w:val="auto"/>
              </w:rPr>
            </w:pPr>
          </w:p>
        </w:tc>
        <w:tc>
          <w:tcPr>
            <w:tcW w:w="2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1"/>
              </w:rPr>
              <w:t>Report on</w:t>
            </w:r>
          </w:p>
        </w:tc>
        <w:tc>
          <w:tcPr>
            <w:tcW w:w="7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2017</w:t>
            </w:r>
          </w:p>
        </w:tc>
        <w:tc>
          <w:tcPr>
            <w:tcW w:w="1400" w:type="dxa"/>
            <w:vAlign w:val="bottom"/>
          </w:tcPr>
          <w:p>
            <w:pPr>
              <w:spacing w:after="0"/>
              <w:rPr>
                <w:sz w:val="19"/>
                <w:szCs w:val="19"/>
                <w:color w:val="auto"/>
              </w:rPr>
            </w:pPr>
          </w:p>
        </w:tc>
      </w:tr>
      <w:tr>
        <w:trPr>
          <w:trHeight w:val="216"/>
        </w:trPr>
        <w:tc>
          <w:tcPr>
            <w:tcW w:w="144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5"/>
              </w:rPr>
              <w:t>Form 8-K</w:t>
            </w:r>
          </w:p>
        </w:tc>
        <w:tc>
          <w:tcPr>
            <w:tcW w:w="780" w:type="dxa"/>
            <w:vAlign w:val="bottom"/>
            <w:tcBorders>
              <w:right w:val="single" w:sz="8" w:color="auto"/>
            </w:tcBorders>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144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(File No.</w:t>
            </w:r>
          </w:p>
        </w:tc>
        <w:tc>
          <w:tcPr>
            <w:tcW w:w="780" w:type="dxa"/>
            <w:vAlign w:val="bottom"/>
            <w:tcBorders>
              <w:right w:val="single" w:sz="8" w:color="auto"/>
            </w:tcBorders>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144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001-</w:t>
            </w:r>
          </w:p>
        </w:tc>
        <w:tc>
          <w:tcPr>
            <w:tcW w:w="780" w:type="dxa"/>
            <w:vAlign w:val="bottom"/>
            <w:tcBorders>
              <w:right w:val="single" w:sz="8" w:color="auto"/>
            </w:tcBorders>
          </w:tcPr>
          <w:p>
            <w:pPr>
              <w:spacing w:after="0"/>
              <w:rPr>
                <w:sz w:val="18"/>
                <w:szCs w:val="18"/>
                <w:color w:val="auto"/>
              </w:rPr>
            </w:pPr>
          </w:p>
        </w:tc>
        <w:tc>
          <w:tcPr>
            <w:tcW w:w="1400" w:type="dxa"/>
            <w:vAlign w:val="bottom"/>
          </w:tcPr>
          <w:p>
            <w:pPr>
              <w:spacing w:after="0"/>
              <w:rPr>
                <w:sz w:val="18"/>
                <w:szCs w:val="18"/>
                <w:color w:val="auto"/>
              </w:rPr>
            </w:pPr>
          </w:p>
        </w:tc>
      </w:tr>
      <w:tr>
        <w:trPr>
          <w:trHeight w:val="230"/>
        </w:trPr>
        <w:tc>
          <w:tcPr>
            <w:tcW w:w="1440" w:type="dxa"/>
            <w:vAlign w:val="bottom"/>
            <w:tcBorders>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36107)</w:t>
            </w:r>
          </w:p>
        </w:tc>
        <w:tc>
          <w:tcPr>
            <w:tcW w:w="780" w:type="dxa"/>
            <w:vAlign w:val="bottom"/>
            <w:tcBorders>
              <w:bottom w:val="single" w:sz="8" w:color="auto"/>
              <w:right w:val="single" w:sz="8" w:color="auto"/>
            </w:tcBorders>
          </w:tcPr>
          <w:p>
            <w:pPr>
              <w:spacing w:after="0"/>
              <w:rPr>
                <w:sz w:val="20"/>
                <w:szCs w:val="20"/>
                <w:color w:val="auto"/>
              </w:rPr>
            </w:pPr>
          </w:p>
        </w:tc>
        <w:tc>
          <w:tcPr>
            <w:tcW w:w="1400" w:type="dxa"/>
            <w:vAlign w:val="bottom"/>
          </w:tcPr>
          <w:p>
            <w:pPr>
              <w:spacing w:after="0"/>
              <w:rPr>
                <w:sz w:val="20"/>
                <w:szCs w:val="20"/>
                <w:color w:val="auto"/>
              </w:rPr>
            </w:pPr>
          </w:p>
        </w:tc>
      </w:tr>
      <w:tr>
        <w:trPr>
          <w:trHeight w:val="169"/>
        </w:trPr>
        <w:tc>
          <w:tcPr>
            <w:tcW w:w="1440" w:type="dxa"/>
            <w:vAlign w:val="bottom"/>
            <w:tcBorders>
              <w:right w:val="single" w:sz="8" w:color="auto"/>
            </w:tcBorders>
          </w:tcPr>
          <w:p>
            <w:pPr>
              <w:spacing w:after="0"/>
              <w:rPr>
                <w:sz w:val="14"/>
                <w:szCs w:val="14"/>
                <w:color w:val="auto"/>
              </w:rPr>
            </w:pPr>
          </w:p>
        </w:tc>
        <w:tc>
          <w:tcPr>
            <w:tcW w:w="660" w:type="dxa"/>
            <w:vAlign w:val="bottom"/>
            <w:tcBorders>
              <w:right w:val="single" w:sz="8" w:color="auto"/>
            </w:tcBorders>
          </w:tcPr>
          <w:p>
            <w:pPr>
              <w:jc w:val="right"/>
              <w:ind w:right="90"/>
              <w:spacing w:after="0" w:line="170" w:lineRule="exact"/>
              <w:rPr>
                <w:sz w:val="20"/>
                <w:szCs w:val="20"/>
                <w:color w:val="auto"/>
              </w:rPr>
            </w:pPr>
            <w:r>
              <w:rPr>
                <w:rFonts w:ascii="Arial" w:cs="Arial" w:eastAsia="Arial" w:hAnsi="Arial"/>
                <w:sz w:val="18"/>
                <w:szCs w:val="18"/>
                <w:color w:val="auto"/>
                <w:w w:val="82"/>
              </w:rPr>
              <w:t>10.47+</w:t>
            </w:r>
          </w:p>
        </w:tc>
        <w:tc>
          <w:tcPr>
            <w:tcW w:w="6140" w:type="dxa"/>
            <w:vAlign w:val="bottom"/>
            <w:tcBorders>
              <w:bottom w:val="single" w:sz="8" w:color="0000EE"/>
            </w:tcBorders>
            <w:gridSpan w:val="6"/>
          </w:tcPr>
          <w:p>
            <w:pPr>
              <w:spacing w:after="0" w:line="170" w:lineRule="exact"/>
              <w:rPr>
                <w:rFonts w:ascii="Arial" w:cs="Arial" w:eastAsia="Arial" w:hAnsi="Arial"/>
                <w:sz w:val="18"/>
                <w:szCs w:val="18"/>
                <w:color w:val="0000EE"/>
                <w:w w:val="91"/>
              </w:rPr>
            </w:pPr>
            <w:hyperlink r:id="rId203">
              <w:r>
                <w:rPr>
                  <w:rFonts w:ascii="Arial" w:cs="Arial" w:eastAsia="Arial" w:hAnsi="Arial"/>
                  <w:sz w:val="18"/>
                  <w:szCs w:val="18"/>
                  <w:color w:val="0000EE"/>
                  <w:w w:val="91"/>
                </w:rPr>
                <w:t>Form of Non-Qualified Stock Option Agreement between Burlington Stores, Inc. and</w:t>
              </w:r>
            </w:hyperlink>
          </w:p>
        </w:tc>
        <w:tc>
          <w:tcPr>
            <w:tcW w:w="260" w:type="dxa"/>
            <w:vAlign w:val="bottom"/>
            <w:tcBorders>
              <w:right w:val="single" w:sz="8" w:color="auto"/>
            </w:tcBorders>
            <w:gridSpan w:val="3"/>
          </w:tcPr>
          <w:p>
            <w:pPr>
              <w:spacing w:after="0"/>
              <w:rPr>
                <w:sz w:val="14"/>
                <w:szCs w:val="14"/>
                <w:color w:val="auto"/>
              </w:rPr>
            </w:pPr>
          </w:p>
        </w:tc>
        <w:tc>
          <w:tcPr>
            <w:tcW w:w="760" w:type="dxa"/>
            <w:vAlign w:val="bottom"/>
            <w:tcBorders>
              <w:right w:val="single" w:sz="8" w:color="auto"/>
            </w:tcBorders>
          </w:tcPr>
          <w:p>
            <w:pPr>
              <w:spacing w:after="0" w:line="170" w:lineRule="exact"/>
              <w:rPr>
                <w:sz w:val="20"/>
                <w:szCs w:val="20"/>
                <w:color w:val="auto"/>
              </w:rPr>
            </w:pPr>
            <w:r>
              <w:rPr>
                <w:rFonts w:ascii="Arial" w:cs="Arial" w:eastAsia="Arial" w:hAnsi="Arial"/>
                <w:sz w:val="18"/>
                <w:szCs w:val="18"/>
                <w:color w:val="auto"/>
              </w:rPr>
              <w:t>Current</w:t>
            </w:r>
          </w:p>
        </w:tc>
        <w:tc>
          <w:tcPr>
            <w:tcW w:w="780" w:type="dxa"/>
            <w:vAlign w:val="bottom"/>
            <w:tcBorders>
              <w:right w:val="single" w:sz="8" w:color="auto"/>
            </w:tcBorders>
          </w:tcPr>
          <w:p>
            <w:pPr>
              <w:spacing w:after="0" w:line="170" w:lineRule="exact"/>
              <w:rPr>
                <w:sz w:val="20"/>
                <w:szCs w:val="20"/>
                <w:color w:val="auto"/>
              </w:rPr>
            </w:pPr>
            <w:r>
              <w:rPr>
                <w:rFonts w:ascii="Arial" w:cs="Arial" w:eastAsia="Arial" w:hAnsi="Arial"/>
                <w:sz w:val="18"/>
                <w:szCs w:val="18"/>
                <w:color w:val="auto"/>
              </w:rPr>
              <w:t>May 22,</w:t>
            </w:r>
          </w:p>
        </w:tc>
        <w:tc>
          <w:tcPr>
            <w:tcW w:w="1400" w:type="dxa"/>
            <w:vAlign w:val="bottom"/>
          </w:tcPr>
          <w:p>
            <w:pPr>
              <w:spacing w:after="0"/>
              <w:rPr>
                <w:sz w:val="14"/>
                <w:szCs w:val="14"/>
                <w:color w:val="auto"/>
              </w:rPr>
            </w:pPr>
          </w:p>
        </w:tc>
      </w:tr>
      <w:tr>
        <w:trPr>
          <w:trHeight w:val="196"/>
        </w:trPr>
        <w:tc>
          <w:tcPr>
            <w:tcW w:w="14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18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r:id="rId203">
              <w:r>
                <w:rPr>
                  <w:rFonts w:ascii="Arial" w:cs="Arial" w:eastAsia="Arial" w:hAnsi="Arial"/>
                  <w:sz w:val="18"/>
                  <w:szCs w:val="18"/>
                  <w:color w:val="0000EE"/>
                  <w:w w:val="90"/>
                </w:rPr>
                <w:t>Employees with Employment Agreements or Subject to the Executive Severance Plan</w:t>
              </w:r>
            </w:hyperlink>
          </w:p>
        </w:tc>
        <w:tc>
          <w:tcPr>
            <w:tcW w:w="220" w:type="dxa"/>
            <w:vAlign w:val="bottom"/>
            <w:tcBorders>
              <w:right w:val="single" w:sz="8" w:color="auto"/>
            </w:tcBorders>
            <w:gridSpan w:val="2"/>
          </w:tcPr>
          <w:p>
            <w:pPr>
              <w:spacing w:after="0"/>
              <w:rPr>
                <w:sz w:val="17"/>
                <w:szCs w:val="17"/>
                <w:color w:val="auto"/>
              </w:rPr>
            </w:pPr>
          </w:p>
        </w:tc>
        <w:tc>
          <w:tcPr>
            <w:tcW w:w="76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w w:val="91"/>
              </w:rPr>
              <w:t>Report on</w:t>
            </w:r>
          </w:p>
        </w:tc>
        <w:tc>
          <w:tcPr>
            <w:tcW w:w="78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2017</w:t>
            </w:r>
          </w:p>
        </w:tc>
        <w:tc>
          <w:tcPr>
            <w:tcW w:w="1400" w:type="dxa"/>
            <w:vAlign w:val="bottom"/>
          </w:tcPr>
          <w:p>
            <w:pPr>
              <w:spacing w:after="0"/>
              <w:rPr>
                <w:sz w:val="17"/>
                <w:szCs w:val="17"/>
                <w:color w:val="auto"/>
              </w:rPr>
            </w:pPr>
          </w:p>
        </w:tc>
      </w:tr>
      <w:tr>
        <w:trPr>
          <w:trHeight w:val="196"/>
        </w:trPr>
        <w:tc>
          <w:tcPr>
            <w:tcW w:w="14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590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r:id="rId203">
              <w:r>
                <w:rPr>
                  <w:rFonts w:ascii="Arial" w:cs="Arial" w:eastAsia="Arial" w:hAnsi="Arial"/>
                  <w:sz w:val="18"/>
                  <w:szCs w:val="18"/>
                  <w:color w:val="0000EE"/>
                  <w:w w:val="89"/>
                </w:rPr>
                <w:t>pursuant to Burlington Stores, Inc. 2013 Omnibus Incentive Plan, as amended and</w:t>
              </w:r>
            </w:hyperlink>
          </w:p>
        </w:tc>
        <w:tc>
          <w:tcPr>
            <w:tcW w:w="500" w:type="dxa"/>
            <w:vAlign w:val="bottom"/>
            <w:tcBorders>
              <w:right w:val="single" w:sz="8" w:color="auto"/>
            </w:tcBorders>
            <w:gridSpan w:val="4"/>
          </w:tcPr>
          <w:p>
            <w:pPr>
              <w:spacing w:after="0"/>
              <w:rPr>
                <w:sz w:val="17"/>
                <w:szCs w:val="17"/>
                <w:color w:val="auto"/>
              </w:rPr>
            </w:pPr>
          </w:p>
        </w:tc>
        <w:tc>
          <w:tcPr>
            <w:tcW w:w="76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w w:val="95"/>
              </w:rPr>
              <w:t>Form 8-K</w:t>
            </w:r>
          </w:p>
        </w:tc>
        <w:tc>
          <w:tcPr>
            <w:tcW w:w="780" w:type="dxa"/>
            <w:vAlign w:val="bottom"/>
            <w:tcBorders>
              <w:right w:val="single" w:sz="8" w:color="auto"/>
            </w:tcBorders>
          </w:tcPr>
          <w:p>
            <w:pPr>
              <w:spacing w:after="0"/>
              <w:rPr>
                <w:sz w:val="17"/>
                <w:szCs w:val="17"/>
                <w:color w:val="auto"/>
              </w:rPr>
            </w:pPr>
          </w:p>
        </w:tc>
        <w:tc>
          <w:tcPr>
            <w:tcW w:w="1400" w:type="dxa"/>
            <w:vAlign w:val="bottom"/>
          </w:tcPr>
          <w:p>
            <w:pPr>
              <w:spacing w:after="0"/>
              <w:rPr>
                <w:sz w:val="17"/>
                <w:szCs w:val="17"/>
                <w:color w:val="auto"/>
              </w:rPr>
            </w:pPr>
          </w:p>
        </w:tc>
      </w:tr>
      <w:tr>
        <w:trPr>
          <w:trHeight w:val="196"/>
        </w:trPr>
        <w:tc>
          <w:tcPr>
            <w:tcW w:w="14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400" w:type="dxa"/>
            <w:vAlign w:val="bottom"/>
            <w:tcBorders>
              <w:right w:val="single" w:sz="8" w:color="auto"/>
            </w:tcBorders>
            <w:gridSpan w:val="9"/>
          </w:tcPr>
          <w:p>
            <w:pPr>
              <w:spacing w:after="0" w:line="196" w:lineRule="exact"/>
              <w:rPr>
                <w:rFonts w:ascii="Arial" w:cs="Arial" w:eastAsia="Arial" w:hAnsi="Arial"/>
                <w:sz w:val="18"/>
                <w:szCs w:val="18"/>
                <w:color w:val="0000EE"/>
              </w:rPr>
            </w:pPr>
            <w:hyperlink r:id="rId203">
              <w:r>
                <w:rPr>
                  <w:rFonts w:ascii="Arial" w:cs="Arial" w:eastAsia="Arial" w:hAnsi="Arial"/>
                  <w:sz w:val="18"/>
                  <w:szCs w:val="18"/>
                  <w:color w:val="0000EE"/>
                </w:rPr>
                <w:t>restated May 17, 2017.</w:t>
              </w:r>
            </w:hyperlink>
          </w:p>
        </w:tc>
        <w:tc>
          <w:tcPr>
            <w:tcW w:w="76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(File No.</w:t>
            </w:r>
          </w:p>
        </w:tc>
        <w:tc>
          <w:tcPr>
            <w:tcW w:w="780" w:type="dxa"/>
            <w:vAlign w:val="bottom"/>
            <w:tcBorders>
              <w:right w:val="single" w:sz="8" w:color="auto"/>
            </w:tcBorders>
          </w:tcPr>
          <w:p>
            <w:pPr>
              <w:spacing w:after="0"/>
              <w:rPr>
                <w:sz w:val="17"/>
                <w:szCs w:val="17"/>
                <w:color w:val="auto"/>
              </w:rPr>
            </w:pPr>
          </w:p>
        </w:tc>
        <w:tc>
          <w:tcPr>
            <w:tcW w:w="1400" w:type="dxa"/>
            <w:vAlign w:val="bottom"/>
          </w:tcPr>
          <w:p>
            <w:pPr>
              <w:spacing w:after="0"/>
              <w:rPr>
                <w:sz w:val="17"/>
                <w:szCs w:val="17"/>
                <w:color w:val="auto"/>
              </w:rPr>
            </w:pPr>
          </w:p>
        </w:tc>
      </w:tr>
      <w:tr>
        <w:trPr>
          <w:trHeight w:val="222"/>
        </w:trPr>
        <w:tc>
          <w:tcPr>
            <w:tcW w:w="1440" w:type="dxa"/>
            <w:vAlign w:val="bottom"/>
            <w:tcBorders>
              <w:right w:val="single" w:sz="8" w:color="auto"/>
            </w:tcBorders>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1640" w:type="dxa"/>
            <w:vAlign w:val="bottom"/>
            <w:tcBorders>
              <w:top w:val="single" w:sz="8" w:color="0000EE"/>
            </w:tcBorders>
          </w:tcPr>
          <w:p>
            <w:pPr>
              <w:spacing w:after="0"/>
              <w:rPr>
                <w:sz w:val="19"/>
                <w:szCs w:val="19"/>
                <w:color w:val="auto"/>
              </w:rPr>
            </w:pPr>
          </w:p>
        </w:tc>
        <w:tc>
          <w:tcPr>
            <w:tcW w:w="1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001-</w:t>
            </w:r>
          </w:p>
        </w:tc>
        <w:tc>
          <w:tcPr>
            <w:tcW w:w="780" w:type="dxa"/>
            <w:vAlign w:val="bottom"/>
            <w:tcBorders>
              <w:right w:val="single" w:sz="8" w:color="auto"/>
            </w:tcBorders>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1440" w:type="dxa"/>
            <w:vAlign w:val="bottom"/>
            <w:tcBorders>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36107)</w:t>
            </w:r>
          </w:p>
        </w:tc>
        <w:tc>
          <w:tcPr>
            <w:tcW w:w="780" w:type="dxa"/>
            <w:vAlign w:val="bottom"/>
            <w:tcBorders>
              <w:bottom w:val="single" w:sz="8" w:color="auto"/>
              <w:right w:val="single" w:sz="8" w:color="auto"/>
            </w:tcBorders>
          </w:tcPr>
          <w:p>
            <w:pPr>
              <w:spacing w:after="0"/>
              <w:rPr>
                <w:sz w:val="20"/>
                <w:szCs w:val="20"/>
                <w:color w:val="auto"/>
              </w:rPr>
            </w:pPr>
          </w:p>
        </w:tc>
        <w:tc>
          <w:tcPr>
            <w:tcW w:w="1400" w:type="dxa"/>
            <w:vAlign w:val="bottom"/>
          </w:tcPr>
          <w:p>
            <w:pPr>
              <w:spacing w:after="0"/>
              <w:rPr>
                <w:sz w:val="20"/>
                <w:szCs w:val="20"/>
                <w:color w:val="auto"/>
              </w:rPr>
            </w:pPr>
          </w:p>
        </w:tc>
      </w:tr>
      <w:tr>
        <w:trPr>
          <w:trHeight w:val="426"/>
        </w:trPr>
        <w:tc>
          <w:tcPr>
            <w:tcW w:w="1440" w:type="dxa"/>
            <w:vAlign w:val="bottom"/>
          </w:tcPr>
          <w:p>
            <w:pPr>
              <w:spacing w:after="0"/>
              <w:rPr>
                <w:sz w:val="24"/>
                <w:szCs w:val="24"/>
                <w:color w:val="auto"/>
              </w:rPr>
            </w:pPr>
          </w:p>
        </w:tc>
        <w:tc>
          <w:tcPr>
            <w:tcW w:w="6380" w:type="dxa"/>
            <w:vAlign w:val="bottom"/>
            <w:gridSpan w:val="5"/>
          </w:tcPr>
          <w:p>
            <w:pPr>
              <w:jc w:val="right"/>
              <w:ind w:right="2020"/>
              <w:spacing w:after="0"/>
              <w:rPr>
                <w:sz w:val="20"/>
                <w:szCs w:val="20"/>
                <w:color w:val="auto"/>
              </w:rPr>
            </w:pPr>
            <w:r>
              <w:rPr>
                <w:rFonts w:ascii="Arial" w:cs="Arial" w:eastAsia="Arial" w:hAnsi="Arial"/>
                <w:sz w:val="18"/>
                <w:szCs w:val="18"/>
                <w:color w:val="auto"/>
              </w:rPr>
              <w:t>93</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15"/>
        </w:trPr>
        <w:tc>
          <w:tcPr>
            <w:tcW w:w="14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21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20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2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08" w:right="219" w:bottom="1440" w:gutter="0" w:footer="0" w:header="0"/>
        </w:sectPr>
      </w:pPr>
    </w:p>
    <w:bookmarkStart w:id="100" w:name="page101"/>
    <w:bookmarkEnd w:id="100"/>
    <w:tbl>
      <w:tblPr>
        <w:tblLayout w:type="fixed"/>
        <w:tblInd w:w="1430" w:type="dxa"/>
        <w:tblCellMar>
          <w:top w:w="0" w:type="dxa"/>
          <w:left w:w="0" w:type="dxa"/>
          <w:bottom w:w="0" w:type="dxa"/>
          <w:right w:w="0" w:type="dxa"/>
        </w:tblCellMar>
      </w:tblPr>
      <w:tr>
        <w:trPr>
          <w:trHeight w:val="211"/>
        </w:trPr>
        <w:tc>
          <w:tcPr>
            <w:tcW w:w="780" w:type="dxa"/>
            <w:vAlign w:val="bottom"/>
            <w:tcBorders>
              <w:top w:val="single" w:sz="8" w:color="auto"/>
              <w:left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0" w:type="dxa"/>
            <w:vAlign w:val="bottom"/>
            <w:tcBorders>
              <w:top w:val="single" w:sz="8" w:color="auto"/>
              <w:right w:val="single" w:sz="8" w:color="auto"/>
            </w:tcBorders>
          </w:tcPr>
          <w:p>
            <w:pPr>
              <w:spacing w:after="0"/>
              <w:rPr>
                <w:sz w:val="18"/>
                <w:szCs w:val="18"/>
                <w:color w:val="auto"/>
              </w:rPr>
            </w:pPr>
          </w:p>
        </w:tc>
        <w:tc>
          <w:tcPr>
            <w:tcW w:w="1700" w:type="dxa"/>
            <w:vAlign w:val="bottom"/>
            <w:tcBorders>
              <w:top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2"/>
              </w:rPr>
              <w:t>Incorporated by</w:t>
            </w:r>
          </w:p>
        </w:tc>
      </w:tr>
      <w:tr>
        <w:trPr>
          <w:trHeight w:val="234"/>
        </w:trPr>
        <w:tc>
          <w:tcPr>
            <w:tcW w:w="780" w:type="dxa"/>
            <w:vAlign w:val="bottom"/>
            <w:tcBorders>
              <w:lef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Reference</w:t>
            </w:r>
          </w:p>
        </w:tc>
      </w:tr>
      <w:tr>
        <w:trPr>
          <w:trHeight w:val="191"/>
        </w:trPr>
        <w:tc>
          <w:tcPr>
            <w:tcW w:w="780" w:type="dxa"/>
            <w:vAlign w:val="bottom"/>
            <w:tcBorders>
              <w:left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640" w:type="dxa"/>
            <w:vAlign w:val="bottom"/>
            <w:tcBorders>
              <w:right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7"/>
              </w:rPr>
              <w:t>Form</w:t>
            </w:r>
          </w:p>
        </w:tc>
        <w:tc>
          <w:tcPr>
            <w:tcW w:w="1060" w:type="dxa"/>
            <w:vAlign w:val="bottom"/>
            <w:tcBorders>
              <w:right w:val="single" w:sz="8" w:color="auto"/>
            </w:tcBorders>
          </w:tcPr>
          <w:p>
            <w:pPr>
              <w:spacing w:after="0"/>
              <w:rPr>
                <w:sz w:val="16"/>
                <w:szCs w:val="16"/>
                <w:color w:val="auto"/>
              </w:rPr>
            </w:pPr>
          </w:p>
        </w:tc>
      </w:tr>
      <w:tr>
        <w:trPr>
          <w:trHeight w:val="216"/>
        </w:trPr>
        <w:tc>
          <w:tcPr>
            <w:tcW w:w="78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and</w:t>
            </w:r>
          </w:p>
        </w:tc>
        <w:tc>
          <w:tcPr>
            <w:tcW w:w="1060" w:type="dxa"/>
            <w:vAlign w:val="bottom"/>
            <w:tcBorders>
              <w:right w:val="single" w:sz="8" w:color="auto"/>
            </w:tcBorders>
          </w:tcPr>
          <w:p>
            <w:pPr>
              <w:spacing w:after="0"/>
              <w:rPr>
                <w:sz w:val="18"/>
                <w:szCs w:val="18"/>
                <w:color w:val="auto"/>
              </w:rPr>
            </w:pPr>
          </w:p>
        </w:tc>
      </w:tr>
      <w:tr>
        <w:trPr>
          <w:trHeight w:val="216"/>
        </w:trPr>
        <w:tc>
          <w:tcPr>
            <w:tcW w:w="780" w:type="dxa"/>
            <w:vAlign w:val="bottom"/>
            <w:tcBorders>
              <w:left w:val="single" w:sz="8" w:color="auto"/>
            </w:tcBorders>
          </w:tcPr>
          <w:p>
            <w:pPr>
              <w:ind w:left="100"/>
              <w:spacing w:after="0"/>
              <w:rPr>
                <w:sz w:val="20"/>
                <w:szCs w:val="20"/>
                <w:color w:val="auto"/>
              </w:rPr>
            </w:pPr>
            <w:r>
              <w:rPr>
                <w:rFonts w:ascii="Arial" w:cs="Arial" w:eastAsia="Arial" w:hAnsi="Arial"/>
                <w:sz w:val="18"/>
                <w:szCs w:val="18"/>
                <w:b w:val="1"/>
                <w:bCs w:val="1"/>
                <w:color w:val="auto"/>
              </w:rPr>
              <w:t>Exhibit</w:t>
            </w:r>
          </w:p>
        </w:tc>
        <w:tc>
          <w:tcPr>
            <w:tcW w:w="4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w w:val="88"/>
              </w:rPr>
              <w:t>SEC file</w:t>
            </w:r>
          </w:p>
        </w:tc>
        <w:tc>
          <w:tcPr>
            <w:tcW w:w="1060" w:type="dxa"/>
            <w:vAlign w:val="bottom"/>
            <w:tcBorders>
              <w:right w:val="single" w:sz="8" w:color="auto"/>
            </w:tcBorders>
          </w:tcPr>
          <w:p>
            <w:pPr>
              <w:spacing w:after="0"/>
              <w:rPr>
                <w:sz w:val="18"/>
                <w:szCs w:val="18"/>
                <w:color w:val="auto"/>
              </w:rPr>
            </w:pPr>
          </w:p>
        </w:tc>
      </w:tr>
      <w:tr>
        <w:trPr>
          <w:trHeight w:val="234"/>
        </w:trPr>
        <w:tc>
          <w:tcPr>
            <w:tcW w:w="780" w:type="dxa"/>
            <w:vAlign w:val="bottom"/>
            <w:tcBorders>
              <w:left w:val="single" w:sz="8" w:color="auto"/>
              <w:bottom w:val="single" w:sz="8" w:color="auto"/>
            </w:tcBorders>
          </w:tcPr>
          <w:p>
            <w:pPr>
              <w:ind w:left="60"/>
              <w:spacing w:after="0"/>
              <w:rPr>
                <w:sz w:val="20"/>
                <w:szCs w:val="20"/>
                <w:color w:val="auto"/>
              </w:rPr>
            </w:pPr>
            <w:r>
              <w:rPr>
                <w:rFonts w:ascii="Arial" w:cs="Arial" w:eastAsia="Arial" w:hAnsi="Arial"/>
                <w:sz w:val="18"/>
                <w:szCs w:val="18"/>
                <w:b w:val="1"/>
                <w:bCs w:val="1"/>
                <w:color w:val="auto"/>
              </w:rPr>
              <w:t>Number</w:t>
            </w:r>
          </w:p>
        </w:tc>
        <w:tc>
          <w:tcPr>
            <w:tcW w:w="4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860" w:type="dxa"/>
            <w:vAlign w:val="bottom"/>
            <w:tcBorders>
              <w:bottom w:val="single" w:sz="8" w:color="auto"/>
              <w:right w:val="single" w:sz="8" w:color="auto"/>
            </w:tcBorders>
            <w:gridSpan w:val="19"/>
          </w:tcPr>
          <w:p>
            <w:pPr>
              <w:ind w:left="20"/>
              <w:spacing w:after="0"/>
              <w:rPr>
                <w:sz w:val="20"/>
                <w:szCs w:val="20"/>
                <w:color w:val="auto"/>
              </w:rPr>
            </w:pPr>
            <w:r>
              <w:rPr>
                <w:rFonts w:ascii="Arial" w:cs="Arial" w:eastAsia="Arial" w:hAnsi="Arial"/>
                <w:sz w:val="18"/>
                <w:szCs w:val="18"/>
                <w:b w:val="1"/>
                <w:bCs w:val="1"/>
                <w:color w:val="auto"/>
              </w:rPr>
              <w:t>Exhibit Description</w:t>
            </w:r>
          </w:p>
        </w:tc>
        <w:tc>
          <w:tcPr>
            <w:tcW w:w="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No.</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Filing Date</w:t>
            </w:r>
          </w:p>
        </w:tc>
      </w:tr>
      <w:tr>
        <w:trPr>
          <w:trHeight w:val="169"/>
        </w:trPr>
        <w:tc>
          <w:tcPr>
            <w:tcW w:w="780" w:type="dxa"/>
            <w:vAlign w:val="bottom"/>
            <w:tcBorders>
              <w:left w:val="single" w:sz="8" w:color="auto"/>
            </w:tcBorders>
          </w:tcPr>
          <w:p>
            <w:pPr>
              <w:spacing w:after="0" w:line="170" w:lineRule="exact"/>
              <w:rPr>
                <w:sz w:val="20"/>
                <w:szCs w:val="20"/>
                <w:color w:val="auto"/>
              </w:rPr>
            </w:pPr>
            <w:r>
              <w:rPr>
                <w:rFonts w:ascii="Arial" w:cs="Arial" w:eastAsia="Arial" w:hAnsi="Arial"/>
                <w:sz w:val="18"/>
                <w:szCs w:val="18"/>
                <w:color w:val="auto"/>
              </w:rPr>
              <w:t>10.48+</w:t>
            </w:r>
          </w:p>
        </w:tc>
        <w:tc>
          <w:tcPr>
            <w:tcW w:w="5860" w:type="dxa"/>
            <w:vAlign w:val="bottom"/>
            <w:tcBorders>
              <w:bottom w:val="single" w:sz="8" w:color="0000EE"/>
            </w:tcBorders>
            <w:gridSpan w:val="14"/>
          </w:tcPr>
          <w:p>
            <w:pPr>
              <w:spacing w:after="0" w:line="170" w:lineRule="exact"/>
              <w:rPr>
                <w:rFonts w:ascii="Arial" w:cs="Arial" w:eastAsia="Arial" w:hAnsi="Arial"/>
                <w:sz w:val="18"/>
                <w:szCs w:val="18"/>
                <w:color w:val="0000EE"/>
                <w:w w:val="92"/>
              </w:rPr>
            </w:pPr>
            <w:hyperlink r:id="rId206">
              <w:r>
                <w:rPr>
                  <w:rFonts w:ascii="Arial" w:cs="Arial" w:eastAsia="Arial" w:hAnsi="Arial"/>
                  <w:sz w:val="18"/>
                  <w:szCs w:val="18"/>
                  <w:color w:val="0000EE"/>
                  <w:w w:val="92"/>
                </w:rPr>
                <w:t>Form of Non-Qualified Stock Option Agreement between Burlington Stores, Inc.</w:t>
              </w:r>
            </w:hyperlink>
          </w:p>
        </w:tc>
        <w:tc>
          <w:tcPr>
            <w:tcW w:w="280" w:type="dxa"/>
            <w:vAlign w:val="bottom"/>
            <w:tcBorders>
              <w:right w:val="single" w:sz="8" w:color="auto"/>
            </w:tcBorders>
            <w:gridSpan w:val="8"/>
          </w:tcPr>
          <w:p>
            <w:pPr>
              <w:spacing w:after="0"/>
              <w:rPr>
                <w:sz w:val="14"/>
                <w:szCs w:val="14"/>
                <w:color w:val="auto"/>
              </w:rPr>
            </w:pPr>
          </w:p>
        </w:tc>
        <w:tc>
          <w:tcPr>
            <w:tcW w:w="640" w:type="dxa"/>
            <w:vAlign w:val="bottom"/>
            <w:tcBorders>
              <w:right w:val="single" w:sz="8" w:color="auto"/>
            </w:tcBorders>
          </w:tcPr>
          <w:p>
            <w:pPr>
              <w:spacing w:after="0" w:line="170" w:lineRule="exact"/>
              <w:rPr>
                <w:sz w:val="20"/>
                <w:szCs w:val="20"/>
                <w:color w:val="auto"/>
              </w:rPr>
            </w:pPr>
            <w:r>
              <w:rPr>
                <w:rFonts w:ascii="Arial" w:cs="Arial" w:eastAsia="Arial" w:hAnsi="Arial"/>
                <w:sz w:val="18"/>
                <w:szCs w:val="18"/>
                <w:color w:val="auto"/>
                <w:w w:val="99"/>
              </w:rPr>
              <w:t>Current</w:t>
            </w:r>
          </w:p>
        </w:tc>
        <w:tc>
          <w:tcPr>
            <w:tcW w:w="1060" w:type="dxa"/>
            <w:vAlign w:val="bottom"/>
            <w:tcBorders>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91"/>
              </w:rPr>
              <w:t>May 22, 2017</w:t>
            </w:r>
          </w:p>
        </w:tc>
      </w:tr>
      <w:tr>
        <w:trPr>
          <w:trHeight w:val="196"/>
        </w:trPr>
        <w:tc>
          <w:tcPr>
            <w:tcW w:w="780" w:type="dxa"/>
            <w:vAlign w:val="bottom"/>
            <w:tcBorders>
              <w:left w:val="single" w:sz="8" w:color="auto"/>
            </w:tcBorders>
          </w:tcPr>
          <w:p>
            <w:pPr>
              <w:spacing w:after="0"/>
              <w:rPr>
                <w:sz w:val="17"/>
                <w:szCs w:val="17"/>
                <w:color w:val="auto"/>
              </w:rPr>
            </w:pPr>
          </w:p>
        </w:tc>
        <w:tc>
          <w:tcPr>
            <w:tcW w:w="6140" w:type="dxa"/>
            <w:vAlign w:val="bottom"/>
            <w:tcBorders>
              <w:right w:val="single" w:sz="8" w:color="auto"/>
            </w:tcBorders>
            <w:gridSpan w:val="22"/>
          </w:tcPr>
          <w:p>
            <w:pPr>
              <w:spacing w:after="0" w:line="196" w:lineRule="exact"/>
              <w:rPr>
                <w:rFonts w:ascii="Arial" w:cs="Arial" w:eastAsia="Arial" w:hAnsi="Arial"/>
                <w:sz w:val="18"/>
                <w:szCs w:val="18"/>
                <w:color w:val="0000EE"/>
                <w:w w:val="95"/>
              </w:rPr>
            </w:pPr>
            <w:hyperlink r:id="rId206">
              <w:r>
                <w:rPr>
                  <w:rFonts w:ascii="Arial" w:cs="Arial" w:eastAsia="Arial" w:hAnsi="Arial"/>
                  <w:sz w:val="18"/>
                  <w:szCs w:val="18"/>
                  <w:color w:val="0000EE"/>
                  <w:w w:val="95"/>
                </w:rPr>
                <w:t>and Employees without Employment Agreements pursuant to Burlington Stores,</w:t>
              </w:r>
            </w:hyperlink>
          </w:p>
        </w:tc>
        <w:tc>
          <w:tcPr>
            <w:tcW w:w="64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Report</w:t>
            </w:r>
          </w:p>
        </w:tc>
        <w:tc>
          <w:tcPr>
            <w:tcW w:w="1060" w:type="dxa"/>
            <w:vAlign w:val="bottom"/>
            <w:tcBorders>
              <w:right w:val="single" w:sz="8" w:color="auto"/>
            </w:tcBorders>
          </w:tcPr>
          <w:p>
            <w:pPr>
              <w:spacing w:after="0"/>
              <w:rPr>
                <w:sz w:val="17"/>
                <w:szCs w:val="17"/>
                <w:color w:val="auto"/>
              </w:rPr>
            </w:pPr>
          </w:p>
        </w:tc>
      </w:tr>
      <w:tr>
        <w:trPr>
          <w:trHeight w:val="196"/>
        </w:trPr>
        <w:tc>
          <w:tcPr>
            <w:tcW w:w="780" w:type="dxa"/>
            <w:vAlign w:val="bottom"/>
            <w:tcBorders>
              <w:left w:val="single" w:sz="8" w:color="auto"/>
            </w:tcBorders>
          </w:tcPr>
          <w:p>
            <w:pPr>
              <w:spacing w:after="0"/>
              <w:rPr>
                <w:sz w:val="17"/>
                <w:szCs w:val="17"/>
                <w:color w:val="auto"/>
              </w:rPr>
            </w:pPr>
          </w:p>
        </w:tc>
        <w:tc>
          <w:tcPr>
            <w:tcW w:w="5800" w:type="dxa"/>
            <w:vAlign w:val="bottom"/>
            <w:tcBorders>
              <w:top w:val="single" w:sz="8" w:color="0000EE"/>
            </w:tcBorders>
            <w:gridSpan w:val="11"/>
          </w:tcPr>
          <w:p>
            <w:pPr>
              <w:spacing w:after="0" w:line="196" w:lineRule="exact"/>
              <w:rPr>
                <w:rFonts w:ascii="Arial" w:cs="Arial" w:eastAsia="Arial" w:hAnsi="Arial"/>
                <w:sz w:val="18"/>
                <w:szCs w:val="18"/>
                <w:color w:val="0000EE"/>
                <w:w w:val="95"/>
              </w:rPr>
            </w:pPr>
            <w:hyperlink r:id="rId206">
              <w:r>
                <w:rPr>
                  <w:rFonts w:ascii="Arial" w:cs="Arial" w:eastAsia="Arial" w:hAnsi="Arial"/>
                  <w:sz w:val="18"/>
                  <w:szCs w:val="18"/>
                  <w:color w:val="0000EE"/>
                  <w:w w:val="95"/>
                </w:rPr>
                <w:t>Inc. 2013 Omnibus Incentive Plan, as amended and restated May 17, 2017.</w:t>
              </w:r>
            </w:hyperlink>
          </w:p>
        </w:tc>
        <w:tc>
          <w:tcPr>
            <w:tcW w:w="340" w:type="dxa"/>
            <w:vAlign w:val="bottom"/>
            <w:tcBorders>
              <w:right w:val="single" w:sz="8" w:color="auto"/>
            </w:tcBorders>
            <w:gridSpan w:val="11"/>
          </w:tcPr>
          <w:p>
            <w:pPr>
              <w:spacing w:after="0"/>
              <w:rPr>
                <w:sz w:val="17"/>
                <w:szCs w:val="17"/>
                <w:color w:val="auto"/>
              </w:rPr>
            </w:pPr>
          </w:p>
        </w:tc>
        <w:tc>
          <w:tcPr>
            <w:tcW w:w="64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w w:val="89"/>
              </w:rPr>
              <w:t>on Form</w:t>
            </w:r>
          </w:p>
        </w:tc>
        <w:tc>
          <w:tcPr>
            <w:tcW w:w="1060" w:type="dxa"/>
            <w:vAlign w:val="bottom"/>
            <w:tcBorders>
              <w:right w:val="single" w:sz="8" w:color="auto"/>
            </w:tcBorders>
          </w:tcPr>
          <w:p>
            <w:pPr>
              <w:spacing w:after="0"/>
              <w:rPr>
                <w:sz w:val="17"/>
                <w:szCs w:val="17"/>
                <w:color w:val="auto"/>
              </w:rPr>
            </w:pPr>
          </w:p>
        </w:tc>
      </w:tr>
      <w:tr>
        <w:trPr>
          <w:trHeight w:val="222"/>
        </w:trPr>
        <w:tc>
          <w:tcPr>
            <w:tcW w:w="780" w:type="dxa"/>
            <w:vAlign w:val="bottom"/>
            <w:tcBorders>
              <w:left w:val="single" w:sz="8" w:color="auto"/>
            </w:tcBorders>
          </w:tcPr>
          <w:p>
            <w:pPr>
              <w:spacing w:after="0"/>
              <w:rPr>
                <w:sz w:val="19"/>
                <w:szCs w:val="19"/>
                <w:color w:val="auto"/>
              </w:rPr>
            </w:pPr>
          </w:p>
        </w:tc>
        <w:tc>
          <w:tcPr>
            <w:tcW w:w="460" w:type="dxa"/>
            <w:vAlign w:val="bottom"/>
            <w:tcBorders>
              <w:top w:val="single" w:sz="8" w:color="0000EE"/>
            </w:tcBorders>
          </w:tcPr>
          <w:p>
            <w:pPr>
              <w:spacing w:after="0"/>
              <w:rPr>
                <w:sz w:val="19"/>
                <w:szCs w:val="19"/>
                <w:color w:val="auto"/>
              </w:rPr>
            </w:pPr>
          </w:p>
        </w:tc>
        <w:tc>
          <w:tcPr>
            <w:tcW w:w="150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720" w:type="dxa"/>
            <w:vAlign w:val="bottom"/>
            <w:tcBorders>
              <w:top w:val="single" w:sz="8" w:color="0000EE"/>
            </w:tcBorders>
          </w:tcPr>
          <w:p>
            <w:pPr>
              <w:spacing w:after="0"/>
              <w:rPr>
                <w:sz w:val="19"/>
                <w:szCs w:val="19"/>
                <w:color w:val="auto"/>
              </w:rPr>
            </w:pPr>
          </w:p>
        </w:tc>
        <w:tc>
          <w:tcPr>
            <w:tcW w:w="1040" w:type="dxa"/>
            <w:vAlign w:val="bottom"/>
            <w:tcBorders>
              <w:top w:val="single" w:sz="8" w:color="0000EE"/>
            </w:tcBorders>
          </w:tcPr>
          <w:p>
            <w:pPr>
              <w:spacing w:after="0"/>
              <w:rPr>
                <w:sz w:val="19"/>
                <w:szCs w:val="19"/>
                <w:color w:val="auto"/>
              </w:rPr>
            </w:pPr>
          </w:p>
        </w:tc>
        <w:tc>
          <w:tcPr>
            <w:tcW w:w="76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6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8-K</w:t>
            </w:r>
          </w:p>
        </w:tc>
        <w:tc>
          <w:tcPr>
            <w:tcW w:w="1060" w:type="dxa"/>
            <w:vAlign w:val="bottom"/>
            <w:tcBorders>
              <w:right w:val="single" w:sz="8" w:color="auto"/>
            </w:tcBorders>
          </w:tcPr>
          <w:p>
            <w:pPr>
              <w:spacing w:after="0"/>
              <w:rPr>
                <w:sz w:val="19"/>
                <w:szCs w:val="19"/>
                <w:color w:val="auto"/>
              </w:rPr>
            </w:pPr>
          </w:p>
        </w:tc>
      </w:tr>
      <w:tr>
        <w:trPr>
          <w:trHeight w:val="216"/>
        </w:trPr>
        <w:tc>
          <w:tcPr>
            <w:tcW w:w="78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(File</w:t>
            </w:r>
          </w:p>
        </w:tc>
        <w:tc>
          <w:tcPr>
            <w:tcW w:w="1060" w:type="dxa"/>
            <w:vAlign w:val="bottom"/>
            <w:tcBorders>
              <w:right w:val="single" w:sz="8" w:color="auto"/>
            </w:tcBorders>
          </w:tcPr>
          <w:p>
            <w:pPr>
              <w:spacing w:after="0"/>
              <w:rPr>
                <w:sz w:val="18"/>
                <w:szCs w:val="18"/>
                <w:color w:val="auto"/>
              </w:rPr>
            </w:pPr>
          </w:p>
        </w:tc>
      </w:tr>
      <w:tr>
        <w:trPr>
          <w:trHeight w:val="216"/>
        </w:trPr>
        <w:tc>
          <w:tcPr>
            <w:tcW w:w="78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No.</w:t>
            </w:r>
          </w:p>
        </w:tc>
        <w:tc>
          <w:tcPr>
            <w:tcW w:w="1060" w:type="dxa"/>
            <w:vAlign w:val="bottom"/>
            <w:tcBorders>
              <w:right w:val="single" w:sz="8" w:color="auto"/>
            </w:tcBorders>
          </w:tcPr>
          <w:p>
            <w:pPr>
              <w:spacing w:after="0"/>
              <w:rPr>
                <w:sz w:val="18"/>
                <w:szCs w:val="18"/>
                <w:color w:val="auto"/>
              </w:rPr>
            </w:pPr>
          </w:p>
        </w:tc>
      </w:tr>
      <w:tr>
        <w:trPr>
          <w:trHeight w:val="216"/>
        </w:trPr>
        <w:tc>
          <w:tcPr>
            <w:tcW w:w="78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001-</w:t>
            </w:r>
          </w:p>
        </w:tc>
        <w:tc>
          <w:tcPr>
            <w:tcW w:w="1060" w:type="dxa"/>
            <w:vAlign w:val="bottom"/>
            <w:tcBorders>
              <w:right w:val="single" w:sz="8" w:color="auto"/>
            </w:tcBorders>
          </w:tcPr>
          <w:p>
            <w:pPr>
              <w:spacing w:after="0"/>
              <w:rPr>
                <w:sz w:val="18"/>
                <w:szCs w:val="18"/>
                <w:color w:val="auto"/>
              </w:rPr>
            </w:pPr>
          </w:p>
        </w:tc>
      </w:tr>
      <w:tr>
        <w:trPr>
          <w:trHeight w:val="230"/>
        </w:trPr>
        <w:tc>
          <w:tcPr>
            <w:tcW w:w="780" w:type="dxa"/>
            <w:vAlign w:val="bottom"/>
            <w:tcBorders>
              <w:left w:val="single" w:sz="8" w:color="auto"/>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36107)</w:t>
            </w:r>
          </w:p>
        </w:tc>
        <w:tc>
          <w:tcPr>
            <w:tcW w:w="1060" w:type="dxa"/>
            <w:vAlign w:val="bottom"/>
            <w:tcBorders>
              <w:bottom w:val="single" w:sz="8" w:color="auto"/>
              <w:right w:val="single" w:sz="8" w:color="auto"/>
            </w:tcBorders>
          </w:tcPr>
          <w:p>
            <w:pPr>
              <w:spacing w:after="0"/>
              <w:rPr>
                <w:sz w:val="20"/>
                <w:szCs w:val="20"/>
                <w:color w:val="auto"/>
              </w:rPr>
            </w:pPr>
          </w:p>
        </w:tc>
      </w:tr>
      <w:tr>
        <w:trPr>
          <w:trHeight w:val="169"/>
        </w:trPr>
        <w:tc>
          <w:tcPr>
            <w:tcW w:w="780" w:type="dxa"/>
            <w:vAlign w:val="bottom"/>
            <w:tcBorders>
              <w:left w:val="single" w:sz="8" w:color="auto"/>
            </w:tcBorders>
          </w:tcPr>
          <w:p>
            <w:pPr>
              <w:spacing w:after="0" w:line="170" w:lineRule="exact"/>
              <w:rPr>
                <w:sz w:val="20"/>
                <w:szCs w:val="20"/>
                <w:color w:val="auto"/>
              </w:rPr>
            </w:pPr>
            <w:r>
              <w:rPr>
                <w:rFonts w:ascii="Arial" w:cs="Arial" w:eastAsia="Arial" w:hAnsi="Arial"/>
                <w:sz w:val="18"/>
                <w:szCs w:val="18"/>
                <w:color w:val="auto"/>
              </w:rPr>
              <w:t>10.49+</w:t>
            </w:r>
          </w:p>
        </w:tc>
        <w:tc>
          <w:tcPr>
            <w:tcW w:w="5760" w:type="dxa"/>
            <w:vAlign w:val="bottom"/>
            <w:tcBorders>
              <w:bottom w:val="single" w:sz="8" w:color="0000EE"/>
            </w:tcBorders>
            <w:gridSpan w:val="10"/>
          </w:tcPr>
          <w:p>
            <w:pPr>
              <w:spacing w:after="0" w:line="170" w:lineRule="exact"/>
              <w:rPr>
                <w:rFonts w:ascii="Arial" w:cs="Arial" w:eastAsia="Arial" w:hAnsi="Arial"/>
                <w:sz w:val="18"/>
                <w:szCs w:val="18"/>
                <w:color w:val="0000EE"/>
                <w:w w:val="90"/>
              </w:rPr>
            </w:pPr>
            <w:hyperlink r:id="rId207">
              <w:r>
                <w:rPr>
                  <w:rFonts w:ascii="Arial" w:cs="Arial" w:eastAsia="Arial" w:hAnsi="Arial"/>
                  <w:sz w:val="18"/>
                  <w:szCs w:val="18"/>
                  <w:color w:val="0000EE"/>
                  <w:w w:val="90"/>
                </w:rPr>
                <w:t>Form of Restricted Stock Grant Agreement between Burlington Stores, Inc. and</w:t>
              </w:r>
            </w:hyperlink>
          </w:p>
        </w:tc>
        <w:tc>
          <w:tcPr>
            <w:tcW w:w="380" w:type="dxa"/>
            <w:vAlign w:val="bottom"/>
            <w:tcBorders>
              <w:right w:val="single" w:sz="8" w:color="auto"/>
            </w:tcBorders>
            <w:gridSpan w:val="12"/>
          </w:tcPr>
          <w:p>
            <w:pPr>
              <w:spacing w:after="0"/>
              <w:rPr>
                <w:sz w:val="14"/>
                <w:szCs w:val="14"/>
                <w:color w:val="auto"/>
              </w:rPr>
            </w:pPr>
          </w:p>
        </w:tc>
        <w:tc>
          <w:tcPr>
            <w:tcW w:w="640" w:type="dxa"/>
            <w:vAlign w:val="bottom"/>
            <w:tcBorders>
              <w:right w:val="single" w:sz="8" w:color="auto"/>
            </w:tcBorders>
          </w:tcPr>
          <w:p>
            <w:pPr>
              <w:spacing w:after="0" w:line="170" w:lineRule="exact"/>
              <w:rPr>
                <w:sz w:val="20"/>
                <w:szCs w:val="20"/>
                <w:color w:val="auto"/>
              </w:rPr>
            </w:pPr>
            <w:r>
              <w:rPr>
                <w:rFonts w:ascii="Arial" w:cs="Arial" w:eastAsia="Arial" w:hAnsi="Arial"/>
                <w:sz w:val="18"/>
                <w:szCs w:val="18"/>
                <w:color w:val="auto"/>
                <w:w w:val="99"/>
              </w:rPr>
              <w:t>Current</w:t>
            </w:r>
          </w:p>
        </w:tc>
        <w:tc>
          <w:tcPr>
            <w:tcW w:w="1060" w:type="dxa"/>
            <w:vAlign w:val="bottom"/>
            <w:tcBorders>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91"/>
              </w:rPr>
              <w:t>May 22, 2017</w:t>
            </w:r>
          </w:p>
        </w:tc>
      </w:tr>
      <w:tr>
        <w:trPr>
          <w:trHeight w:val="196"/>
        </w:trPr>
        <w:tc>
          <w:tcPr>
            <w:tcW w:w="780" w:type="dxa"/>
            <w:vAlign w:val="bottom"/>
            <w:tcBorders>
              <w:left w:val="single" w:sz="8" w:color="auto"/>
            </w:tcBorders>
          </w:tcPr>
          <w:p>
            <w:pPr>
              <w:spacing w:after="0"/>
              <w:rPr>
                <w:sz w:val="17"/>
                <w:szCs w:val="17"/>
                <w:color w:val="auto"/>
              </w:rPr>
            </w:pPr>
          </w:p>
        </w:tc>
        <w:tc>
          <w:tcPr>
            <w:tcW w:w="584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r:id="rId207">
              <w:r>
                <w:rPr>
                  <w:rFonts w:ascii="Arial" w:cs="Arial" w:eastAsia="Arial" w:hAnsi="Arial"/>
                  <w:sz w:val="18"/>
                  <w:szCs w:val="18"/>
                  <w:color w:val="0000EE"/>
                  <w:w w:val="90"/>
                </w:rPr>
                <w:t>Employees with Employment Agreements or Subject to the Executive Severance</w:t>
              </w:r>
            </w:hyperlink>
          </w:p>
        </w:tc>
        <w:tc>
          <w:tcPr>
            <w:tcW w:w="300" w:type="dxa"/>
            <w:vAlign w:val="bottom"/>
            <w:tcBorders>
              <w:right w:val="single" w:sz="8" w:color="auto"/>
            </w:tcBorders>
            <w:gridSpan w:val="9"/>
          </w:tcPr>
          <w:p>
            <w:pPr>
              <w:spacing w:after="0"/>
              <w:rPr>
                <w:sz w:val="17"/>
                <w:szCs w:val="17"/>
                <w:color w:val="auto"/>
              </w:rPr>
            </w:pPr>
          </w:p>
        </w:tc>
        <w:tc>
          <w:tcPr>
            <w:tcW w:w="64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Report</w:t>
            </w:r>
          </w:p>
        </w:tc>
        <w:tc>
          <w:tcPr>
            <w:tcW w:w="1060" w:type="dxa"/>
            <w:vAlign w:val="bottom"/>
            <w:tcBorders>
              <w:right w:val="single" w:sz="8" w:color="auto"/>
            </w:tcBorders>
          </w:tcPr>
          <w:p>
            <w:pPr>
              <w:spacing w:after="0"/>
              <w:rPr>
                <w:sz w:val="17"/>
                <w:szCs w:val="17"/>
                <w:color w:val="auto"/>
              </w:rPr>
            </w:pPr>
          </w:p>
        </w:tc>
      </w:tr>
      <w:tr>
        <w:trPr>
          <w:trHeight w:val="196"/>
        </w:trPr>
        <w:tc>
          <w:tcPr>
            <w:tcW w:w="780" w:type="dxa"/>
            <w:vAlign w:val="bottom"/>
            <w:tcBorders>
              <w:left w:val="single" w:sz="8" w:color="auto"/>
            </w:tcBorders>
          </w:tcPr>
          <w:p>
            <w:pPr>
              <w:spacing w:after="0"/>
              <w:rPr>
                <w:sz w:val="17"/>
                <w:szCs w:val="17"/>
                <w:color w:val="auto"/>
              </w:rPr>
            </w:pPr>
          </w:p>
        </w:tc>
        <w:tc>
          <w:tcPr>
            <w:tcW w:w="6140" w:type="dxa"/>
            <w:vAlign w:val="bottom"/>
            <w:tcBorders>
              <w:right w:val="single" w:sz="8" w:color="auto"/>
            </w:tcBorders>
            <w:gridSpan w:val="22"/>
          </w:tcPr>
          <w:p>
            <w:pPr>
              <w:spacing w:after="0" w:line="196" w:lineRule="exact"/>
              <w:rPr>
                <w:rFonts w:ascii="Arial" w:cs="Arial" w:eastAsia="Arial" w:hAnsi="Arial"/>
                <w:sz w:val="18"/>
                <w:szCs w:val="18"/>
                <w:color w:val="0000EE"/>
                <w:w w:val="92"/>
              </w:rPr>
            </w:pPr>
            <w:hyperlink r:id="rId207">
              <w:r>
                <w:rPr>
                  <w:rFonts w:ascii="Arial" w:cs="Arial" w:eastAsia="Arial" w:hAnsi="Arial"/>
                  <w:sz w:val="18"/>
                  <w:szCs w:val="18"/>
                  <w:color w:val="0000EE"/>
                  <w:w w:val="92"/>
                </w:rPr>
                <w:t>Plan pursuant to Burlington Stores, Inc. 2013 Omnibus Incentive Plan, as amended</w:t>
              </w:r>
            </w:hyperlink>
          </w:p>
        </w:tc>
        <w:tc>
          <w:tcPr>
            <w:tcW w:w="64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w w:val="89"/>
              </w:rPr>
              <w:t>on Form</w:t>
            </w:r>
          </w:p>
        </w:tc>
        <w:tc>
          <w:tcPr>
            <w:tcW w:w="1060" w:type="dxa"/>
            <w:vAlign w:val="bottom"/>
            <w:tcBorders>
              <w:right w:val="single" w:sz="8" w:color="auto"/>
            </w:tcBorders>
          </w:tcPr>
          <w:p>
            <w:pPr>
              <w:spacing w:after="0"/>
              <w:rPr>
                <w:sz w:val="17"/>
                <w:szCs w:val="17"/>
                <w:color w:val="auto"/>
              </w:rPr>
            </w:pPr>
          </w:p>
        </w:tc>
      </w:tr>
      <w:tr>
        <w:trPr>
          <w:trHeight w:val="196"/>
        </w:trPr>
        <w:tc>
          <w:tcPr>
            <w:tcW w:w="780" w:type="dxa"/>
            <w:vAlign w:val="bottom"/>
            <w:tcBorders>
              <w:left w:val="single" w:sz="8" w:color="auto"/>
            </w:tcBorders>
          </w:tcPr>
          <w:p>
            <w:pPr>
              <w:spacing w:after="0"/>
              <w:rPr>
                <w:sz w:val="17"/>
                <w:szCs w:val="17"/>
                <w:color w:val="auto"/>
              </w:rPr>
            </w:pPr>
          </w:p>
        </w:tc>
        <w:tc>
          <w:tcPr>
            <w:tcW w:w="598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207">
              <w:r>
                <w:rPr>
                  <w:rFonts w:ascii="Arial" w:cs="Arial" w:eastAsia="Arial" w:hAnsi="Arial"/>
                  <w:sz w:val="18"/>
                  <w:szCs w:val="18"/>
                  <w:color w:val="0000EE"/>
                </w:rPr>
                <w:t>and restated May 17, 2017.</w:t>
              </w:r>
            </w:hyperlink>
          </w:p>
        </w:tc>
        <w:tc>
          <w:tcPr>
            <w:tcW w:w="160" w:type="dxa"/>
            <w:vAlign w:val="bottom"/>
            <w:tcBorders>
              <w:right w:val="single" w:sz="8" w:color="auto"/>
            </w:tcBorders>
            <w:gridSpan w:val="5"/>
          </w:tcPr>
          <w:p>
            <w:pPr>
              <w:spacing w:after="0"/>
              <w:rPr>
                <w:sz w:val="17"/>
                <w:szCs w:val="17"/>
                <w:color w:val="auto"/>
              </w:rPr>
            </w:pPr>
          </w:p>
        </w:tc>
        <w:tc>
          <w:tcPr>
            <w:tcW w:w="64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8-K</w:t>
            </w:r>
          </w:p>
        </w:tc>
        <w:tc>
          <w:tcPr>
            <w:tcW w:w="1060" w:type="dxa"/>
            <w:vAlign w:val="bottom"/>
            <w:tcBorders>
              <w:right w:val="single" w:sz="8" w:color="auto"/>
            </w:tcBorders>
          </w:tcPr>
          <w:p>
            <w:pPr>
              <w:spacing w:after="0"/>
              <w:rPr>
                <w:sz w:val="17"/>
                <w:szCs w:val="17"/>
                <w:color w:val="auto"/>
              </w:rPr>
            </w:pPr>
          </w:p>
        </w:tc>
      </w:tr>
      <w:tr>
        <w:trPr>
          <w:trHeight w:val="222"/>
        </w:trPr>
        <w:tc>
          <w:tcPr>
            <w:tcW w:w="780" w:type="dxa"/>
            <w:vAlign w:val="bottom"/>
            <w:tcBorders>
              <w:left w:val="single" w:sz="8" w:color="auto"/>
            </w:tcBorders>
          </w:tcPr>
          <w:p>
            <w:pPr>
              <w:spacing w:after="0"/>
              <w:rPr>
                <w:sz w:val="19"/>
                <w:szCs w:val="19"/>
                <w:color w:val="auto"/>
              </w:rPr>
            </w:pPr>
          </w:p>
        </w:tc>
        <w:tc>
          <w:tcPr>
            <w:tcW w:w="460" w:type="dxa"/>
            <w:vAlign w:val="bottom"/>
            <w:tcBorders>
              <w:top w:val="single" w:sz="8" w:color="0000EE"/>
            </w:tcBorders>
          </w:tcPr>
          <w:p>
            <w:pPr>
              <w:spacing w:after="0"/>
              <w:rPr>
                <w:sz w:val="19"/>
                <w:szCs w:val="19"/>
                <w:color w:val="auto"/>
              </w:rPr>
            </w:pPr>
          </w:p>
        </w:tc>
        <w:tc>
          <w:tcPr>
            <w:tcW w:w="1500" w:type="dxa"/>
            <w:vAlign w:val="bottom"/>
            <w:tcBorders>
              <w:top w:val="single" w:sz="8" w:color="0000EE"/>
            </w:tcBorders>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6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(File</w:t>
            </w:r>
          </w:p>
        </w:tc>
        <w:tc>
          <w:tcPr>
            <w:tcW w:w="1060" w:type="dxa"/>
            <w:vAlign w:val="bottom"/>
            <w:tcBorders>
              <w:right w:val="single" w:sz="8" w:color="auto"/>
            </w:tcBorders>
          </w:tcPr>
          <w:p>
            <w:pPr>
              <w:spacing w:after="0"/>
              <w:rPr>
                <w:sz w:val="19"/>
                <w:szCs w:val="19"/>
                <w:color w:val="auto"/>
              </w:rPr>
            </w:pPr>
          </w:p>
        </w:tc>
      </w:tr>
      <w:tr>
        <w:trPr>
          <w:trHeight w:val="216"/>
        </w:trPr>
        <w:tc>
          <w:tcPr>
            <w:tcW w:w="78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No.</w:t>
            </w:r>
          </w:p>
        </w:tc>
        <w:tc>
          <w:tcPr>
            <w:tcW w:w="1060" w:type="dxa"/>
            <w:vAlign w:val="bottom"/>
            <w:tcBorders>
              <w:right w:val="single" w:sz="8" w:color="auto"/>
            </w:tcBorders>
          </w:tcPr>
          <w:p>
            <w:pPr>
              <w:spacing w:after="0"/>
              <w:rPr>
                <w:sz w:val="18"/>
                <w:szCs w:val="18"/>
                <w:color w:val="auto"/>
              </w:rPr>
            </w:pPr>
          </w:p>
        </w:tc>
      </w:tr>
      <w:tr>
        <w:trPr>
          <w:trHeight w:val="216"/>
        </w:trPr>
        <w:tc>
          <w:tcPr>
            <w:tcW w:w="78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001-</w:t>
            </w:r>
          </w:p>
        </w:tc>
        <w:tc>
          <w:tcPr>
            <w:tcW w:w="1060" w:type="dxa"/>
            <w:vAlign w:val="bottom"/>
            <w:tcBorders>
              <w:right w:val="single" w:sz="8" w:color="auto"/>
            </w:tcBorders>
          </w:tcPr>
          <w:p>
            <w:pPr>
              <w:spacing w:after="0"/>
              <w:rPr>
                <w:sz w:val="18"/>
                <w:szCs w:val="18"/>
                <w:color w:val="auto"/>
              </w:rPr>
            </w:pPr>
          </w:p>
        </w:tc>
      </w:tr>
      <w:tr>
        <w:trPr>
          <w:trHeight w:val="230"/>
        </w:trPr>
        <w:tc>
          <w:tcPr>
            <w:tcW w:w="780" w:type="dxa"/>
            <w:vAlign w:val="bottom"/>
            <w:tcBorders>
              <w:left w:val="single" w:sz="8" w:color="auto"/>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36107)</w:t>
            </w:r>
          </w:p>
        </w:tc>
        <w:tc>
          <w:tcPr>
            <w:tcW w:w="1060" w:type="dxa"/>
            <w:vAlign w:val="bottom"/>
            <w:tcBorders>
              <w:bottom w:val="single" w:sz="8" w:color="auto"/>
              <w:right w:val="single" w:sz="8" w:color="auto"/>
            </w:tcBorders>
          </w:tcPr>
          <w:p>
            <w:pPr>
              <w:spacing w:after="0"/>
              <w:rPr>
                <w:sz w:val="20"/>
                <w:szCs w:val="20"/>
                <w:color w:val="auto"/>
              </w:rPr>
            </w:pPr>
          </w:p>
        </w:tc>
      </w:tr>
      <w:tr>
        <w:trPr>
          <w:trHeight w:val="169"/>
        </w:trPr>
        <w:tc>
          <w:tcPr>
            <w:tcW w:w="780" w:type="dxa"/>
            <w:vAlign w:val="bottom"/>
            <w:tcBorders>
              <w:left w:val="single" w:sz="8" w:color="auto"/>
            </w:tcBorders>
          </w:tcPr>
          <w:p>
            <w:pPr>
              <w:spacing w:after="0" w:line="170" w:lineRule="exact"/>
              <w:rPr>
                <w:sz w:val="20"/>
                <w:szCs w:val="20"/>
                <w:color w:val="auto"/>
              </w:rPr>
            </w:pPr>
            <w:r>
              <w:rPr>
                <w:rFonts w:ascii="Arial" w:cs="Arial" w:eastAsia="Arial" w:hAnsi="Arial"/>
                <w:sz w:val="18"/>
                <w:szCs w:val="18"/>
                <w:color w:val="auto"/>
              </w:rPr>
              <w:t>10.50+</w:t>
            </w:r>
          </w:p>
        </w:tc>
        <w:tc>
          <w:tcPr>
            <w:tcW w:w="5760" w:type="dxa"/>
            <w:vAlign w:val="bottom"/>
            <w:tcBorders>
              <w:bottom w:val="single" w:sz="8" w:color="0000EE"/>
            </w:tcBorders>
            <w:gridSpan w:val="10"/>
          </w:tcPr>
          <w:p>
            <w:pPr>
              <w:spacing w:after="0" w:line="170" w:lineRule="exact"/>
              <w:rPr>
                <w:rFonts w:ascii="Arial" w:cs="Arial" w:eastAsia="Arial" w:hAnsi="Arial"/>
                <w:sz w:val="18"/>
                <w:szCs w:val="18"/>
                <w:color w:val="0000EE"/>
                <w:w w:val="90"/>
              </w:rPr>
            </w:pPr>
            <w:hyperlink r:id="rId208">
              <w:r>
                <w:rPr>
                  <w:rFonts w:ascii="Arial" w:cs="Arial" w:eastAsia="Arial" w:hAnsi="Arial"/>
                  <w:sz w:val="18"/>
                  <w:szCs w:val="18"/>
                  <w:color w:val="0000EE"/>
                  <w:w w:val="90"/>
                </w:rPr>
                <w:t>Form of Restricted Stock Grant Agreement between Burlington Stores, Inc. and</w:t>
              </w:r>
            </w:hyperlink>
          </w:p>
        </w:tc>
        <w:tc>
          <w:tcPr>
            <w:tcW w:w="380" w:type="dxa"/>
            <w:vAlign w:val="bottom"/>
            <w:tcBorders>
              <w:right w:val="single" w:sz="8" w:color="auto"/>
            </w:tcBorders>
            <w:gridSpan w:val="12"/>
          </w:tcPr>
          <w:p>
            <w:pPr>
              <w:spacing w:after="0"/>
              <w:rPr>
                <w:sz w:val="14"/>
                <w:szCs w:val="14"/>
                <w:color w:val="auto"/>
              </w:rPr>
            </w:pPr>
          </w:p>
        </w:tc>
        <w:tc>
          <w:tcPr>
            <w:tcW w:w="640" w:type="dxa"/>
            <w:vAlign w:val="bottom"/>
            <w:tcBorders>
              <w:right w:val="single" w:sz="8" w:color="auto"/>
            </w:tcBorders>
          </w:tcPr>
          <w:p>
            <w:pPr>
              <w:spacing w:after="0" w:line="170" w:lineRule="exact"/>
              <w:rPr>
                <w:sz w:val="20"/>
                <w:szCs w:val="20"/>
                <w:color w:val="auto"/>
              </w:rPr>
            </w:pPr>
            <w:r>
              <w:rPr>
                <w:rFonts w:ascii="Arial" w:cs="Arial" w:eastAsia="Arial" w:hAnsi="Arial"/>
                <w:sz w:val="18"/>
                <w:szCs w:val="18"/>
                <w:color w:val="auto"/>
                <w:w w:val="99"/>
              </w:rPr>
              <w:t>Current</w:t>
            </w:r>
          </w:p>
        </w:tc>
        <w:tc>
          <w:tcPr>
            <w:tcW w:w="1060" w:type="dxa"/>
            <w:vAlign w:val="bottom"/>
            <w:tcBorders>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91"/>
              </w:rPr>
              <w:t>May 22, 2017</w:t>
            </w:r>
          </w:p>
        </w:tc>
      </w:tr>
      <w:tr>
        <w:trPr>
          <w:trHeight w:val="196"/>
        </w:trPr>
        <w:tc>
          <w:tcPr>
            <w:tcW w:w="780" w:type="dxa"/>
            <w:vAlign w:val="bottom"/>
            <w:tcBorders>
              <w:left w:val="single" w:sz="8" w:color="auto"/>
            </w:tcBorders>
          </w:tcPr>
          <w:p>
            <w:pPr>
              <w:spacing w:after="0"/>
              <w:rPr>
                <w:sz w:val="17"/>
                <w:szCs w:val="17"/>
                <w:color w:val="auto"/>
              </w:rPr>
            </w:pPr>
          </w:p>
        </w:tc>
        <w:tc>
          <w:tcPr>
            <w:tcW w:w="6140" w:type="dxa"/>
            <w:vAlign w:val="bottom"/>
            <w:tcBorders>
              <w:right w:val="single" w:sz="8" w:color="auto"/>
            </w:tcBorders>
            <w:gridSpan w:val="22"/>
          </w:tcPr>
          <w:p>
            <w:pPr>
              <w:spacing w:after="0" w:line="196" w:lineRule="exact"/>
              <w:rPr>
                <w:rFonts w:ascii="Arial" w:cs="Arial" w:eastAsia="Arial" w:hAnsi="Arial"/>
                <w:sz w:val="18"/>
                <w:szCs w:val="18"/>
                <w:color w:val="0000EE"/>
                <w:w w:val="96"/>
              </w:rPr>
            </w:pPr>
            <w:hyperlink r:id="rId208">
              <w:r>
                <w:rPr>
                  <w:rFonts w:ascii="Arial" w:cs="Arial" w:eastAsia="Arial" w:hAnsi="Arial"/>
                  <w:sz w:val="18"/>
                  <w:szCs w:val="18"/>
                  <w:color w:val="0000EE"/>
                  <w:w w:val="96"/>
                </w:rPr>
                <w:t>Employees without Employment Agreements pursuant to Burlington Stores, Inc.</w:t>
              </w:r>
            </w:hyperlink>
          </w:p>
        </w:tc>
        <w:tc>
          <w:tcPr>
            <w:tcW w:w="64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Report</w:t>
            </w:r>
          </w:p>
        </w:tc>
        <w:tc>
          <w:tcPr>
            <w:tcW w:w="1060" w:type="dxa"/>
            <w:vAlign w:val="bottom"/>
            <w:tcBorders>
              <w:right w:val="single" w:sz="8" w:color="auto"/>
            </w:tcBorders>
          </w:tcPr>
          <w:p>
            <w:pPr>
              <w:spacing w:after="0"/>
              <w:rPr>
                <w:sz w:val="17"/>
                <w:szCs w:val="17"/>
                <w:color w:val="auto"/>
              </w:rPr>
            </w:pPr>
          </w:p>
        </w:tc>
      </w:tr>
      <w:tr>
        <w:trPr>
          <w:trHeight w:val="196"/>
        </w:trPr>
        <w:tc>
          <w:tcPr>
            <w:tcW w:w="780" w:type="dxa"/>
            <w:vAlign w:val="bottom"/>
            <w:tcBorders>
              <w:left w:val="single" w:sz="8" w:color="auto"/>
            </w:tcBorders>
          </w:tcPr>
          <w:p>
            <w:pPr>
              <w:spacing w:after="0"/>
              <w:rPr>
                <w:sz w:val="17"/>
                <w:szCs w:val="17"/>
                <w:color w:val="auto"/>
              </w:rPr>
            </w:pPr>
          </w:p>
        </w:tc>
        <w:tc>
          <w:tcPr>
            <w:tcW w:w="582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r:id="rId208">
              <w:r>
                <w:rPr>
                  <w:rFonts w:ascii="Arial" w:cs="Arial" w:eastAsia="Arial" w:hAnsi="Arial"/>
                  <w:sz w:val="18"/>
                  <w:szCs w:val="18"/>
                  <w:color w:val="0000EE"/>
                </w:rPr>
                <w:t>2013 Omnibus Incentive Plan, as amended and restated May 17, 2017.</w:t>
              </w:r>
            </w:hyperlink>
          </w:p>
        </w:tc>
        <w:tc>
          <w:tcPr>
            <w:tcW w:w="320" w:type="dxa"/>
            <w:vAlign w:val="bottom"/>
            <w:tcBorders>
              <w:right w:val="single" w:sz="8" w:color="auto"/>
            </w:tcBorders>
            <w:gridSpan w:val="10"/>
          </w:tcPr>
          <w:p>
            <w:pPr>
              <w:spacing w:after="0"/>
              <w:rPr>
                <w:sz w:val="17"/>
                <w:szCs w:val="17"/>
                <w:color w:val="auto"/>
              </w:rPr>
            </w:pPr>
          </w:p>
        </w:tc>
        <w:tc>
          <w:tcPr>
            <w:tcW w:w="64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w w:val="89"/>
              </w:rPr>
              <w:t>on Form</w:t>
            </w:r>
          </w:p>
        </w:tc>
        <w:tc>
          <w:tcPr>
            <w:tcW w:w="1060" w:type="dxa"/>
            <w:vAlign w:val="bottom"/>
            <w:tcBorders>
              <w:right w:val="single" w:sz="8" w:color="auto"/>
            </w:tcBorders>
          </w:tcPr>
          <w:p>
            <w:pPr>
              <w:spacing w:after="0"/>
              <w:rPr>
                <w:sz w:val="17"/>
                <w:szCs w:val="17"/>
                <w:color w:val="auto"/>
              </w:rPr>
            </w:pPr>
          </w:p>
        </w:tc>
      </w:tr>
      <w:tr>
        <w:trPr>
          <w:trHeight w:val="222"/>
        </w:trPr>
        <w:tc>
          <w:tcPr>
            <w:tcW w:w="780" w:type="dxa"/>
            <w:vAlign w:val="bottom"/>
            <w:tcBorders>
              <w:left w:val="single" w:sz="8" w:color="auto"/>
            </w:tcBorders>
          </w:tcPr>
          <w:p>
            <w:pPr>
              <w:spacing w:after="0"/>
              <w:rPr>
                <w:sz w:val="19"/>
                <w:szCs w:val="19"/>
                <w:color w:val="auto"/>
              </w:rPr>
            </w:pPr>
          </w:p>
        </w:tc>
        <w:tc>
          <w:tcPr>
            <w:tcW w:w="460" w:type="dxa"/>
            <w:vAlign w:val="bottom"/>
            <w:tcBorders>
              <w:top w:val="single" w:sz="8" w:color="0000EE"/>
            </w:tcBorders>
          </w:tcPr>
          <w:p>
            <w:pPr>
              <w:spacing w:after="0"/>
              <w:rPr>
                <w:sz w:val="19"/>
                <w:szCs w:val="19"/>
                <w:color w:val="auto"/>
              </w:rPr>
            </w:pPr>
          </w:p>
        </w:tc>
        <w:tc>
          <w:tcPr>
            <w:tcW w:w="150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720" w:type="dxa"/>
            <w:vAlign w:val="bottom"/>
            <w:tcBorders>
              <w:top w:val="single" w:sz="8" w:color="0000EE"/>
            </w:tcBorders>
          </w:tcPr>
          <w:p>
            <w:pPr>
              <w:spacing w:after="0"/>
              <w:rPr>
                <w:sz w:val="19"/>
                <w:szCs w:val="19"/>
                <w:color w:val="auto"/>
              </w:rPr>
            </w:pPr>
          </w:p>
        </w:tc>
        <w:tc>
          <w:tcPr>
            <w:tcW w:w="1040" w:type="dxa"/>
            <w:vAlign w:val="bottom"/>
            <w:tcBorders>
              <w:top w:val="single" w:sz="8" w:color="0000EE"/>
            </w:tcBorders>
          </w:tcPr>
          <w:p>
            <w:pPr>
              <w:spacing w:after="0"/>
              <w:rPr>
                <w:sz w:val="19"/>
                <w:szCs w:val="19"/>
                <w:color w:val="auto"/>
              </w:rPr>
            </w:pPr>
          </w:p>
        </w:tc>
        <w:tc>
          <w:tcPr>
            <w:tcW w:w="760" w:type="dxa"/>
            <w:vAlign w:val="bottom"/>
            <w:tcBorders>
              <w:top w:val="single" w:sz="8" w:color="0000EE"/>
            </w:tcBorders>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6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8-K</w:t>
            </w:r>
          </w:p>
        </w:tc>
        <w:tc>
          <w:tcPr>
            <w:tcW w:w="1060" w:type="dxa"/>
            <w:vAlign w:val="bottom"/>
            <w:tcBorders>
              <w:right w:val="single" w:sz="8" w:color="auto"/>
            </w:tcBorders>
          </w:tcPr>
          <w:p>
            <w:pPr>
              <w:spacing w:after="0"/>
              <w:rPr>
                <w:sz w:val="19"/>
                <w:szCs w:val="19"/>
                <w:color w:val="auto"/>
              </w:rPr>
            </w:pPr>
          </w:p>
        </w:tc>
      </w:tr>
      <w:tr>
        <w:trPr>
          <w:trHeight w:val="216"/>
        </w:trPr>
        <w:tc>
          <w:tcPr>
            <w:tcW w:w="78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(File</w:t>
            </w:r>
          </w:p>
        </w:tc>
        <w:tc>
          <w:tcPr>
            <w:tcW w:w="1060" w:type="dxa"/>
            <w:vAlign w:val="bottom"/>
            <w:tcBorders>
              <w:right w:val="single" w:sz="8" w:color="auto"/>
            </w:tcBorders>
          </w:tcPr>
          <w:p>
            <w:pPr>
              <w:spacing w:after="0"/>
              <w:rPr>
                <w:sz w:val="18"/>
                <w:szCs w:val="18"/>
                <w:color w:val="auto"/>
              </w:rPr>
            </w:pPr>
          </w:p>
        </w:tc>
      </w:tr>
      <w:tr>
        <w:trPr>
          <w:trHeight w:val="216"/>
        </w:trPr>
        <w:tc>
          <w:tcPr>
            <w:tcW w:w="78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No.</w:t>
            </w:r>
          </w:p>
        </w:tc>
        <w:tc>
          <w:tcPr>
            <w:tcW w:w="1060" w:type="dxa"/>
            <w:vAlign w:val="bottom"/>
            <w:tcBorders>
              <w:right w:val="single" w:sz="8" w:color="auto"/>
            </w:tcBorders>
          </w:tcPr>
          <w:p>
            <w:pPr>
              <w:spacing w:after="0"/>
              <w:rPr>
                <w:sz w:val="18"/>
                <w:szCs w:val="18"/>
                <w:color w:val="auto"/>
              </w:rPr>
            </w:pPr>
          </w:p>
        </w:tc>
      </w:tr>
      <w:tr>
        <w:trPr>
          <w:trHeight w:val="216"/>
        </w:trPr>
        <w:tc>
          <w:tcPr>
            <w:tcW w:w="78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001-</w:t>
            </w:r>
          </w:p>
        </w:tc>
        <w:tc>
          <w:tcPr>
            <w:tcW w:w="1060" w:type="dxa"/>
            <w:vAlign w:val="bottom"/>
            <w:tcBorders>
              <w:right w:val="single" w:sz="8" w:color="auto"/>
            </w:tcBorders>
          </w:tcPr>
          <w:p>
            <w:pPr>
              <w:spacing w:after="0"/>
              <w:rPr>
                <w:sz w:val="18"/>
                <w:szCs w:val="18"/>
                <w:color w:val="auto"/>
              </w:rPr>
            </w:pPr>
          </w:p>
        </w:tc>
      </w:tr>
      <w:tr>
        <w:trPr>
          <w:trHeight w:val="230"/>
        </w:trPr>
        <w:tc>
          <w:tcPr>
            <w:tcW w:w="780" w:type="dxa"/>
            <w:vAlign w:val="bottom"/>
            <w:tcBorders>
              <w:left w:val="single" w:sz="8" w:color="auto"/>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36107)</w:t>
            </w:r>
          </w:p>
        </w:tc>
        <w:tc>
          <w:tcPr>
            <w:tcW w:w="1060" w:type="dxa"/>
            <w:vAlign w:val="bottom"/>
            <w:tcBorders>
              <w:bottom w:val="single" w:sz="8" w:color="auto"/>
              <w:right w:val="single" w:sz="8" w:color="auto"/>
            </w:tcBorders>
          </w:tcPr>
          <w:p>
            <w:pPr>
              <w:spacing w:after="0"/>
              <w:rPr>
                <w:sz w:val="20"/>
                <w:szCs w:val="20"/>
                <w:color w:val="auto"/>
              </w:rPr>
            </w:pPr>
          </w:p>
        </w:tc>
      </w:tr>
      <w:tr>
        <w:trPr>
          <w:trHeight w:val="169"/>
        </w:trPr>
        <w:tc>
          <w:tcPr>
            <w:tcW w:w="780" w:type="dxa"/>
            <w:vAlign w:val="bottom"/>
            <w:tcBorders>
              <w:left w:val="single" w:sz="8" w:color="auto"/>
            </w:tcBorders>
          </w:tcPr>
          <w:p>
            <w:pPr>
              <w:spacing w:after="0" w:line="170" w:lineRule="exact"/>
              <w:rPr>
                <w:sz w:val="20"/>
                <w:szCs w:val="20"/>
                <w:color w:val="auto"/>
              </w:rPr>
            </w:pPr>
            <w:r>
              <w:rPr>
                <w:rFonts w:ascii="Arial" w:cs="Arial" w:eastAsia="Arial" w:hAnsi="Arial"/>
                <w:sz w:val="18"/>
                <w:szCs w:val="18"/>
                <w:color w:val="auto"/>
              </w:rPr>
              <w:t>10.51+</w:t>
            </w:r>
          </w:p>
        </w:tc>
        <w:tc>
          <w:tcPr>
            <w:tcW w:w="5760" w:type="dxa"/>
            <w:vAlign w:val="bottom"/>
            <w:tcBorders>
              <w:bottom w:val="single" w:sz="8" w:color="0000EE"/>
            </w:tcBorders>
            <w:gridSpan w:val="10"/>
          </w:tcPr>
          <w:p>
            <w:pPr>
              <w:spacing w:after="0" w:line="170" w:lineRule="exact"/>
              <w:rPr>
                <w:rFonts w:ascii="Arial" w:cs="Arial" w:eastAsia="Arial" w:hAnsi="Arial"/>
                <w:sz w:val="18"/>
                <w:szCs w:val="18"/>
                <w:color w:val="0000EE"/>
                <w:w w:val="90"/>
              </w:rPr>
            </w:pPr>
            <w:hyperlink r:id="rId209">
              <w:r>
                <w:rPr>
                  <w:rFonts w:ascii="Arial" w:cs="Arial" w:eastAsia="Arial" w:hAnsi="Arial"/>
                  <w:sz w:val="18"/>
                  <w:szCs w:val="18"/>
                  <w:color w:val="0000EE"/>
                  <w:w w:val="90"/>
                </w:rPr>
                <w:t>Form of Restricted Stock Grant Agreement between Burlington Stores, Inc. and</w:t>
              </w:r>
            </w:hyperlink>
          </w:p>
        </w:tc>
        <w:tc>
          <w:tcPr>
            <w:tcW w:w="380" w:type="dxa"/>
            <w:vAlign w:val="bottom"/>
            <w:tcBorders>
              <w:right w:val="single" w:sz="8" w:color="auto"/>
            </w:tcBorders>
            <w:gridSpan w:val="12"/>
          </w:tcPr>
          <w:p>
            <w:pPr>
              <w:spacing w:after="0"/>
              <w:rPr>
                <w:sz w:val="14"/>
                <w:szCs w:val="14"/>
                <w:color w:val="auto"/>
              </w:rPr>
            </w:pPr>
          </w:p>
        </w:tc>
        <w:tc>
          <w:tcPr>
            <w:tcW w:w="640" w:type="dxa"/>
            <w:vAlign w:val="bottom"/>
            <w:tcBorders>
              <w:right w:val="single" w:sz="8" w:color="auto"/>
            </w:tcBorders>
          </w:tcPr>
          <w:p>
            <w:pPr>
              <w:spacing w:after="0" w:line="170" w:lineRule="exact"/>
              <w:rPr>
                <w:sz w:val="20"/>
                <w:szCs w:val="20"/>
                <w:color w:val="auto"/>
              </w:rPr>
            </w:pPr>
            <w:r>
              <w:rPr>
                <w:rFonts w:ascii="Arial" w:cs="Arial" w:eastAsia="Arial" w:hAnsi="Arial"/>
                <w:sz w:val="18"/>
                <w:szCs w:val="18"/>
                <w:color w:val="auto"/>
                <w:w w:val="99"/>
              </w:rPr>
              <w:t>Current</w:t>
            </w:r>
          </w:p>
        </w:tc>
        <w:tc>
          <w:tcPr>
            <w:tcW w:w="1060" w:type="dxa"/>
            <w:vAlign w:val="bottom"/>
            <w:tcBorders>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91"/>
              </w:rPr>
              <w:t>May 22, 2017</w:t>
            </w:r>
          </w:p>
        </w:tc>
      </w:tr>
      <w:tr>
        <w:trPr>
          <w:trHeight w:val="196"/>
        </w:trPr>
        <w:tc>
          <w:tcPr>
            <w:tcW w:w="780" w:type="dxa"/>
            <w:vAlign w:val="bottom"/>
            <w:tcBorders>
              <w:left w:val="single" w:sz="8" w:color="auto"/>
            </w:tcBorders>
          </w:tcPr>
          <w:p>
            <w:pPr>
              <w:spacing w:after="0"/>
              <w:rPr>
                <w:sz w:val="17"/>
                <w:szCs w:val="17"/>
                <w:color w:val="auto"/>
              </w:rPr>
            </w:pPr>
          </w:p>
        </w:tc>
        <w:tc>
          <w:tcPr>
            <w:tcW w:w="6140" w:type="dxa"/>
            <w:vAlign w:val="bottom"/>
            <w:tcBorders>
              <w:right w:val="single" w:sz="8" w:color="auto"/>
            </w:tcBorders>
            <w:gridSpan w:val="22"/>
          </w:tcPr>
          <w:p>
            <w:pPr>
              <w:spacing w:after="0" w:line="196" w:lineRule="exact"/>
              <w:rPr>
                <w:rFonts w:ascii="Arial" w:cs="Arial" w:eastAsia="Arial" w:hAnsi="Arial"/>
                <w:sz w:val="18"/>
                <w:szCs w:val="18"/>
                <w:color w:val="0000EE"/>
                <w:w w:val="93"/>
              </w:rPr>
            </w:pPr>
            <w:hyperlink r:id="rId209">
              <w:r>
                <w:rPr>
                  <w:rFonts w:ascii="Arial" w:cs="Arial" w:eastAsia="Arial" w:hAnsi="Arial"/>
                  <w:sz w:val="18"/>
                  <w:szCs w:val="18"/>
                  <w:color w:val="0000EE"/>
                  <w:w w:val="93"/>
                </w:rPr>
                <w:t>Independent Directors pursuant to Burlington Stores, Inc. 2013 Omnibus Incentive</w:t>
              </w:r>
            </w:hyperlink>
          </w:p>
        </w:tc>
        <w:tc>
          <w:tcPr>
            <w:tcW w:w="64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Report</w:t>
            </w:r>
          </w:p>
        </w:tc>
        <w:tc>
          <w:tcPr>
            <w:tcW w:w="1060" w:type="dxa"/>
            <w:vAlign w:val="bottom"/>
            <w:tcBorders>
              <w:right w:val="single" w:sz="8" w:color="auto"/>
            </w:tcBorders>
          </w:tcPr>
          <w:p>
            <w:pPr>
              <w:spacing w:after="0"/>
              <w:rPr>
                <w:sz w:val="17"/>
                <w:szCs w:val="17"/>
                <w:color w:val="auto"/>
              </w:rPr>
            </w:pPr>
          </w:p>
        </w:tc>
      </w:tr>
      <w:tr>
        <w:trPr>
          <w:trHeight w:val="196"/>
        </w:trPr>
        <w:tc>
          <w:tcPr>
            <w:tcW w:w="780" w:type="dxa"/>
            <w:vAlign w:val="bottom"/>
            <w:tcBorders>
              <w:left w:val="single" w:sz="8" w:color="auto"/>
            </w:tcBorders>
          </w:tcPr>
          <w:p>
            <w:pPr>
              <w:spacing w:after="0"/>
              <w:rPr>
                <w:sz w:val="17"/>
                <w:szCs w:val="17"/>
                <w:color w:val="auto"/>
              </w:rPr>
            </w:pPr>
          </w:p>
        </w:tc>
        <w:tc>
          <w:tcPr>
            <w:tcW w:w="5960" w:type="dxa"/>
            <w:vAlign w:val="bottom"/>
            <w:tcBorders>
              <w:top w:val="single" w:sz="8" w:color="0000EE"/>
            </w:tcBorders>
            <w:gridSpan w:val="16"/>
          </w:tcPr>
          <w:p>
            <w:pPr>
              <w:spacing w:after="0" w:line="196" w:lineRule="exact"/>
              <w:rPr>
                <w:rFonts w:ascii="Arial" w:cs="Arial" w:eastAsia="Arial" w:hAnsi="Arial"/>
                <w:sz w:val="18"/>
                <w:szCs w:val="18"/>
                <w:color w:val="0000EE"/>
                <w:w w:val="90"/>
              </w:rPr>
            </w:pPr>
            <w:hyperlink r:id="rId209">
              <w:r>
                <w:rPr>
                  <w:rFonts w:ascii="Arial" w:cs="Arial" w:eastAsia="Arial" w:hAnsi="Arial"/>
                  <w:sz w:val="18"/>
                  <w:szCs w:val="18"/>
                  <w:color w:val="0000EE"/>
                  <w:w w:val="90"/>
                </w:rPr>
                <w:t>Plan, as amended and restated May 17, 2017 (for grants made from and after May</w:t>
              </w:r>
            </w:hyperlink>
          </w:p>
        </w:tc>
        <w:tc>
          <w:tcPr>
            <w:tcW w:w="180" w:type="dxa"/>
            <w:vAlign w:val="bottom"/>
            <w:tcBorders>
              <w:right w:val="single" w:sz="8" w:color="auto"/>
            </w:tcBorders>
            <w:gridSpan w:val="6"/>
          </w:tcPr>
          <w:p>
            <w:pPr>
              <w:spacing w:after="0"/>
              <w:rPr>
                <w:sz w:val="17"/>
                <w:szCs w:val="17"/>
                <w:color w:val="auto"/>
              </w:rPr>
            </w:pPr>
          </w:p>
        </w:tc>
        <w:tc>
          <w:tcPr>
            <w:tcW w:w="64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w w:val="89"/>
              </w:rPr>
              <w:t>on Form</w:t>
            </w:r>
          </w:p>
        </w:tc>
        <w:tc>
          <w:tcPr>
            <w:tcW w:w="1060" w:type="dxa"/>
            <w:vAlign w:val="bottom"/>
            <w:tcBorders>
              <w:right w:val="single" w:sz="8" w:color="auto"/>
            </w:tcBorders>
          </w:tcPr>
          <w:p>
            <w:pPr>
              <w:spacing w:after="0"/>
              <w:rPr>
                <w:sz w:val="17"/>
                <w:szCs w:val="17"/>
                <w:color w:val="auto"/>
              </w:rPr>
            </w:pPr>
          </w:p>
        </w:tc>
      </w:tr>
      <w:tr>
        <w:trPr>
          <w:trHeight w:val="196"/>
        </w:trPr>
        <w:tc>
          <w:tcPr>
            <w:tcW w:w="780" w:type="dxa"/>
            <w:vAlign w:val="bottom"/>
            <w:tcBorders>
              <w:left w:val="single" w:sz="8" w:color="auto"/>
            </w:tcBorders>
          </w:tcPr>
          <w:p>
            <w:pPr>
              <w:spacing w:after="0"/>
              <w:rPr>
                <w:sz w:val="17"/>
                <w:szCs w:val="17"/>
                <w:color w:val="auto"/>
              </w:rPr>
            </w:pPr>
          </w:p>
        </w:tc>
        <w:tc>
          <w:tcPr>
            <w:tcW w:w="590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209">
              <w:r>
                <w:rPr>
                  <w:rFonts w:ascii="Arial" w:cs="Arial" w:eastAsia="Arial" w:hAnsi="Arial"/>
                  <w:sz w:val="18"/>
                  <w:szCs w:val="18"/>
                  <w:color w:val="0000EE"/>
                </w:rPr>
                <w:t>2017 and prior to March 2018).</w:t>
              </w:r>
            </w:hyperlink>
          </w:p>
        </w:tc>
        <w:tc>
          <w:tcPr>
            <w:tcW w:w="240" w:type="dxa"/>
            <w:vAlign w:val="bottom"/>
            <w:tcBorders>
              <w:right w:val="single" w:sz="8" w:color="auto"/>
            </w:tcBorders>
            <w:gridSpan w:val="7"/>
          </w:tcPr>
          <w:p>
            <w:pPr>
              <w:spacing w:after="0"/>
              <w:rPr>
                <w:sz w:val="17"/>
                <w:szCs w:val="17"/>
                <w:color w:val="auto"/>
              </w:rPr>
            </w:pPr>
          </w:p>
        </w:tc>
        <w:tc>
          <w:tcPr>
            <w:tcW w:w="64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8-K</w:t>
            </w:r>
          </w:p>
        </w:tc>
        <w:tc>
          <w:tcPr>
            <w:tcW w:w="1060" w:type="dxa"/>
            <w:vAlign w:val="bottom"/>
            <w:tcBorders>
              <w:right w:val="single" w:sz="8" w:color="auto"/>
            </w:tcBorders>
          </w:tcPr>
          <w:p>
            <w:pPr>
              <w:spacing w:after="0"/>
              <w:rPr>
                <w:sz w:val="17"/>
                <w:szCs w:val="17"/>
                <w:color w:val="auto"/>
              </w:rPr>
            </w:pPr>
          </w:p>
        </w:tc>
      </w:tr>
      <w:tr>
        <w:trPr>
          <w:trHeight w:val="222"/>
        </w:trPr>
        <w:tc>
          <w:tcPr>
            <w:tcW w:w="780" w:type="dxa"/>
            <w:vAlign w:val="bottom"/>
            <w:tcBorders>
              <w:left w:val="single" w:sz="8" w:color="auto"/>
            </w:tcBorders>
          </w:tcPr>
          <w:p>
            <w:pPr>
              <w:spacing w:after="0"/>
              <w:rPr>
                <w:sz w:val="19"/>
                <w:szCs w:val="19"/>
                <w:color w:val="auto"/>
              </w:rPr>
            </w:pPr>
          </w:p>
        </w:tc>
        <w:tc>
          <w:tcPr>
            <w:tcW w:w="460" w:type="dxa"/>
            <w:vAlign w:val="bottom"/>
            <w:tcBorders>
              <w:top w:val="single" w:sz="8" w:color="0000EE"/>
            </w:tcBorders>
          </w:tcPr>
          <w:p>
            <w:pPr>
              <w:spacing w:after="0"/>
              <w:rPr>
                <w:sz w:val="19"/>
                <w:szCs w:val="19"/>
                <w:color w:val="auto"/>
              </w:rPr>
            </w:pPr>
          </w:p>
        </w:tc>
        <w:tc>
          <w:tcPr>
            <w:tcW w:w="150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6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(File</w:t>
            </w:r>
          </w:p>
        </w:tc>
        <w:tc>
          <w:tcPr>
            <w:tcW w:w="1060" w:type="dxa"/>
            <w:vAlign w:val="bottom"/>
            <w:tcBorders>
              <w:right w:val="single" w:sz="8" w:color="auto"/>
            </w:tcBorders>
          </w:tcPr>
          <w:p>
            <w:pPr>
              <w:spacing w:after="0"/>
              <w:rPr>
                <w:sz w:val="19"/>
                <w:szCs w:val="19"/>
                <w:color w:val="auto"/>
              </w:rPr>
            </w:pPr>
          </w:p>
        </w:tc>
      </w:tr>
      <w:tr>
        <w:trPr>
          <w:trHeight w:val="216"/>
        </w:trPr>
        <w:tc>
          <w:tcPr>
            <w:tcW w:w="78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No.</w:t>
            </w:r>
          </w:p>
        </w:tc>
        <w:tc>
          <w:tcPr>
            <w:tcW w:w="1060" w:type="dxa"/>
            <w:vAlign w:val="bottom"/>
            <w:tcBorders>
              <w:right w:val="single" w:sz="8" w:color="auto"/>
            </w:tcBorders>
          </w:tcPr>
          <w:p>
            <w:pPr>
              <w:spacing w:after="0"/>
              <w:rPr>
                <w:sz w:val="18"/>
                <w:szCs w:val="18"/>
                <w:color w:val="auto"/>
              </w:rPr>
            </w:pPr>
          </w:p>
        </w:tc>
      </w:tr>
      <w:tr>
        <w:trPr>
          <w:trHeight w:val="216"/>
        </w:trPr>
        <w:tc>
          <w:tcPr>
            <w:tcW w:w="78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001-</w:t>
            </w:r>
          </w:p>
        </w:tc>
        <w:tc>
          <w:tcPr>
            <w:tcW w:w="1060" w:type="dxa"/>
            <w:vAlign w:val="bottom"/>
            <w:tcBorders>
              <w:right w:val="single" w:sz="8" w:color="auto"/>
            </w:tcBorders>
          </w:tcPr>
          <w:p>
            <w:pPr>
              <w:spacing w:after="0"/>
              <w:rPr>
                <w:sz w:val="18"/>
                <w:szCs w:val="18"/>
                <w:color w:val="auto"/>
              </w:rPr>
            </w:pPr>
          </w:p>
        </w:tc>
      </w:tr>
      <w:tr>
        <w:trPr>
          <w:trHeight w:val="230"/>
        </w:trPr>
        <w:tc>
          <w:tcPr>
            <w:tcW w:w="780" w:type="dxa"/>
            <w:vAlign w:val="bottom"/>
            <w:tcBorders>
              <w:left w:val="single" w:sz="8" w:color="auto"/>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36107)</w:t>
            </w:r>
          </w:p>
        </w:tc>
        <w:tc>
          <w:tcPr>
            <w:tcW w:w="1060" w:type="dxa"/>
            <w:vAlign w:val="bottom"/>
            <w:tcBorders>
              <w:bottom w:val="single" w:sz="8" w:color="auto"/>
              <w:right w:val="single" w:sz="8" w:color="auto"/>
            </w:tcBorders>
          </w:tcPr>
          <w:p>
            <w:pPr>
              <w:spacing w:after="0"/>
              <w:rPr>
                <w:sz w:val="20"/>
                <w:szCs w:val="20"/>
                <w:color w:val="auto"/>
              </w:rPr>
            </w:pPr>
          </w:p>
        </w:tc>
      </w:tr>
      <w:tr>
        <w:trPr>
          <w:trHeight w:val="169"/>
        </w:trPr>
        <w:tc>
          <w:tcPr>
            <w:tcW w:w="780" w:type="dxa"/>
            <w:vAlign w:val="bottom"/>
            <w:tcBorders>
              <w:left w:val="single" w:sz="8" w:color="auto"/>
            </w:tcBorders>
          </w:tcPr>
          <w:p>
            <w:pPr>
              <w:spacing w:after="0" w:line="170" w:lineRule="exact"/>
              <w:rPr>
                <w:sz w:val="20"/>
                <w:szCs w:val="20"/>
                <w:color w:val="auto"/>
              </w:rPr>
            </w:pPr>
            <w:r>
              <w:rPr>
                <w:rFonts w:ascii="Arial" w:cs="Arial" w:eastAsia="Arial" w:hAnsi="Arial"/>
                <w:sz w:val="18"/>
                <w:szCs w:val="18"/>
                <w:color w:val="auto"/>
              </w:rPr>
              <w:t>10.52+†</w:t>
            </w:r>
          </w:p>
        </w:tc>
        <w:tc>
          <w:tcPr>
            <w:tcW w:w="5760" w:type="dxa"/>
            <w:vAlign w:val="bottom"/>
            <w:tcBorders>
              <w:bottom w:val="single" w:sz="8" w:color="0000EE"/>
            </w:tcBorders>
            <w:gridSpan w:val="10"/>
          </w:tcPr>
          <w:p>
            <w:pPr>
              <w:spacing w:after="0" w:line="170" w:lineRule="exact"/>
              <w:rPr>
                <w:rFonts w:ascii="Arial" w:cs="Arial" w:eastAsia="Arial" w:hAnsi="Arial"/>
                <w:sz w:val="18"/>
                <w:szCs w:val="18"/>
                <w:color w:val="0000EE"/>
                <w:w w:val="90"/>
              </w:rPr>
            </w:pPr>
            <w:hyperlink w:anchor="page103">
              <w:r>
                <w:rPr>
                  <w:rFonts w:ascii="Arial" w:cs="Arial" w:eastAsia="Arial" w:hAnsi="Arial"/>
                  <w:sz w:val="18"/>
                  <w:szCs w:val="18"/>
                  <w:color w:val="0000EE"/>
                  <w:w w:val="90"/>
                </w:rPr>
                <w:t>Form of Restricted Stock Grant Agreement between Burlington Stores, Inc. and</w:t>
              </w:r>
            </w:hyperlink>
          </w:p>
        </w:tc>
        <w:tc>
          <w:tcPr>
            <w:tcW w:w="380" w:type="dxa"/>
            <w:vAlign w:val="bottom"/>
            <w:tcBorders>
              <w:right w:val="single" w:sz="8" w:color="auto"/>
            </w:tcBorders>
            <w:gridSpan w:val="12"/>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060" w:type="dxa"/>
            <w:vAlign w:val="bottom"/>
            <w:tcBorders>
              <w:right w:val="single" w:sz="8" w:color="auto"/>
            </w:tcBorders>
          </w:tcPr>
          <w:p>
            <w:pPr>
              <w:spacing w:after="0"/>
              <w:rPr>
                <w:sz w:val="14"/>
                <w:szCs w:val="14"/>
                <w:color w:val="auto"/>
              </w:rPr>
            </w:pPr>
          </w:p>
        </w:tc>
      </w:tr>
      <w:tr>
        <w:trPr>
          <w:trHeight w:val="196"/>
        </w:trPr>
        <w:tc>
          <w:tcPr>
            <w:tcW w:w="780" w:type="dxa"/>
            <w:vAlign w:val="bottom"/>
            <w:tcBorders>
              <w:left w:val="single" w:sz="8" w:color="auto"/>
            </w:tcBorders>
          </w:tcPr>
          <w:p>
            <w:pPr>
              <w:spacing w:after="0"/>
              <w:rPr>
                <w:sz w:val="17"/>
                <w:szCs w:val="17"/>
                <w:color w:val="auto"/>
              </w:rPr>
            </w:pPr>
          </w:p>
        </w:tc>
        <w:tc>
          <w:tcPr>
            <w:tcW w:w="6140" w:type="dxa"/>
            <w:vAlign w:val="bottom"/>
            <w:tcBorders>
              <w:right w:val="single" w:sz="8" w:color="auto"/>
            </w:tcBorders>
            <w:gridSpan w:val="22"/>
          </w:tcPr>
          <w:p>
            <w:pPr>
              <w:spacing w:after="0" w:line="196" w:lineRule="exact"/>
              <w:rPr>
                <w:rFonts w:ascii="Arial" w:cs="Arial" w:eastAsia="Arial" w:hAnsi="Arial"/>
                <w:sz w:val="18"/>
                <w:szCs w:val="18"/>
                <w:color w:val="0000EE"/>
                <w:w w:val="93"/>
              </w:rPr>
            </w:pPr>
            <w:hyperlink w:anchor="page103">
              <w:r>
                <w:rPr>
                  <w:rFonts w:ascii="Arial" w:cs="Arial" w:eastAsia="Arial" w:hAnsi="Arial"/>
                  <w:sz w:val="18"/>
                  <w:szCs w:val="18"/>
                  <w:color w:val="0000EE"/>
                  <w:w w:val="93"/>
                </w:rPr>
                <w:t>Independent Directors pursuant to Burlington Stores, Inc. 2013 Omnibus Incentive</w:t>
              </w:r>
            </w:hyperlink>
          </w:p>
        </w:tc>
        <w:tc>
          <w:tcPr>
            <w:tcW w:w="640" w:type="dxa"/>
            <w:vAlign w:val="bottom"/>
            <w:tcBorders>
              <w:right w:val="single" w:sz="8" w:color="auto"/>
            </w:tcBorders>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r>
      <w:tr>
        <w:trPr>
          <w:trHeight w:val="20"/>
        </w:trPr>
        <w:tc>
          <w:tcPr>
            <w:tcW w:w="780" w:type="dxa"/>
            <w:vAlign w:val="bottom"/>
            <w:tcBorders>
              <w:left w:val="single" w:sz="8" w:color="auto"/>
            </w:tcBorders>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90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640" w:type="dxa"/>
            <w:vAlign w:val="bottom"/>
            <w:tcBorders>
              <w:right w:val="single" w:sz="8" w:color="0000EE"/>
            </w:tcBorders>
            <w:gridSpan w:val="9"/>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640" w:type="dxa"/>
            <w:vAlign w:val="bottom"/>
            <w:tcBorders>
              <w:right w:val="single" w:sz="8" w:color="auto"/>
            </w:tcBorders>
          </w:tcPr>
          <w:p>
            <w:pPr>
              <w:spacing w:after="0" w:line="20" w:lineRule="exact"/>
              <w:rPr>
                <w:sz w:val="1"/>
                <w:szCs w:val="1"/>
                <w:color w:val="auto"/>
              </w:rPr>
            </w:pPr>
          </w:p>
        </w:tc>
        <w:tc>
          <w:tcPr>
            <w:tcW w:w="1060" w:type="dxa"/>
            <w:vAlign w:val="bottom"/>
            <w:tcBorders>
              <w:right w:val="single" w:sz="8" w:color="auto"/>
            </w:tcBorders>
          </w:tcPr>
          <w:p>
            <w:pPr>
              <w:spacing w:after="0" w:line="20" w:lineRule="exact"/>
              <w:rPr>
                <w:sz w:val="1"/>
                <w:szCs w:val="1"/>
                <w:color w:val="auto"/>
              </w:rPr>
            </w:pPr>
          </w:p>
        </w:tc>
      </w:tr>
      <w:tr>
        <w:trPr>
          <w:trHeight w:val="196"/>
        </w:trPr>
        <w:tc>
          <w:tcPr>
            <w:tcW w:w="780" w:type="dxa"/>
            <w:vAlign w:val="bottom"/>
            <w:tcBorders>
              <w:left w:val="single" w:sz="8" w:color="auto"/>
            </w:tcBorders>
          </w:tcPr>
          <w:p>
            <w:pPr>
              <w:spacing w:after="0"/>
              <w:rPr>
                <w:sz w:val="17"/>
                <w:szCs w:val="17"/>
                <w:color w:val="auto"/>
              </w:rPr>
            </w:pPr>
          </w:p>
        </w:tc>
        <w:tc>
          <w:tcPr>
            <w:tcW w:w="6140" w:type="dxa"/>
            <w:vAlign w:val="bottom"/>
            <w:tcBorders>
              <w:right w:val="single" w:sz="8" w:color="auto"/>
            </w:tcBorders>
            <w:gridSpan w:val="22"/>
          </w:tcPr>
          <w:p>
            <w:pPr>
              <w:spacing w:after="0" w:line="196" w:lineRule="exact"/>
              <w:rPr>
                <w:rFonts w:ascii="Arial" w:cs="Arial" w:eastAsia="Arial" w:hAnsi="Arial"/>
                <w:sz w:val="18"/>
                <w:szCs w:val="18"/>
                <w:color w:val="0000EE"/>
                <w:w w:val="90"/>
              </w:rPr>
            </w:pPr>
            <w:hyperlink w:anchor="page103">
              <w:r>
                <w:rPr>
                  <w:rFonts w:ascii="Arial" w:cs="Arial" w:eastAsia="Arial" w:hAnsi="Arial"/>
                  <w:sz w:val="18"/>
                  <w:szCs w:val="18"/>
                  <w:color w:val="0000EE"/>
                  <w:w w:val="90"/>
                </w:rPr>
                <w:t>Plan, as amended and restated May 17, 2017 (for grants made from and after March</w:t>
              </w:r>
            </w:hyperlink>
          </w:p>
        </w:tc>
        <w:tc>
          <w:tcPr>
            <w:tcW w:w="640" w:type="dxa"/>
            <w:vAlign w:val="bottom"/>
            <w:tcBorders>
              <w:right w:val="single" w:sz="8" w:color="auto"/>
            </w:tcBorders>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r>
      <w:tr>
        <w:trPr>
          <w:trHeight w:val="196"/>
        </w:trPr>
        <w:tc>
          <w:tcPr>
            <w:tcW w:w="780" w:type="dxa"/>
            <w:vAlign w:val="bottom"/>
            <w:tcBorders>
              <w:left w:val="single" w:sz="8" w:color="auto"/>
            </w:tcBorders>
          </w:tcPr>
          <w:p>
            <w:pPr>
              <w:spacing w:after="0"/>
              <w:rPr>
                <w:sz w:val="17"/>
                <w:szCs w:val="17"/>
                <w:color w:val="auto"/>
              </w:rPr>
            </w:pPr>
          </w:p>
        </w:tc>
        <w:tc>
          <w:tcPr>
            <w:tcW w:w="196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103">
              <w:r>
                <w:rPr>
                  <w:rFonts w:ascii="Arial" w:cs="Arial" w:eastAsia="Arial" w:hAnsi="Arial"/>
                  <w:sz w:val="18"/>
                  <w:szCs w:val="18"/>
                  <w:color w:val="0000EE"/>
                </w:rPr>
                <w:t>2018).</w:t>
              </w:r>
            </w:hyperlink>
          </w:p>
        </w:tc>
        <w:tc>
          <w:tcPr>
            <w:tcW w:w="3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104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r>
      <w:tr>
        <w:trPr>
          <w:trHeight w:val="21"/>
        </w:trPr>
        <w:tc>
          <w:tcPr>
            <w:tcW w:w="780" w:type="dxa"/>
            <w:vAlign w:val="bottom"/>
            <w:tcBorders>
              <w:left w:val="single" w:sz="8" w:color="auto"/>
              <w:bottom w:val="single" w:sz="8" w:color="auto"/>
            </w:tcBorders>
          </w:tcPr>
          <w:p>
            <w:pPr>
              <w:spacing w:after="0" w:line="20" w:lineRule="exact"/>
              <w:rPr>
                <w:sz w:val="1"/>
                <w:szCs w:val="1"/>
                <w:color w:val="auto"/>
              </w:rPr>
            </w:pPr>
          </w:p>
        </w:tc>
        <w:tc>
          <w:tcPr>
            <w:tcW w:w="460" w:type="dxa"/>
            <w:vAlign w:val="bottom"/>
            <w:tcBorders>
              <w:top w:val="single" w:sz="8" w:color="0000EE"/>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640" w:type="dxa"/>
            <w:vAlign w:val="bottom"/>
            <w:tcBorders>
              <w:bottom w:val="single" w:sz="8" w:color="auto"/>
              <w:right w:val="single" w:sz="8" w:color="auto"/>
            </w:tcBorders>
          </w:tcPr>
          <w:p>
            <w:pPr>
              <w:spacing w:after="0" w:line="20" w:lineRule="exact"/>
              <w:rPr>
                <w:sz w:val="1"/>
                <w:szCs w:val="1"/>
                <w:color w:val="auto"/>
              </w:rPr>
            </w:pPr>
          </w:p>
        </w:tc>
        <w:tc>
          <w:tcPr>
            <w:tcW w:w="106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780" w:type="dxa"/>
            <w:vAlign w:val="bottom"/>
            <w:tcBorders>
              <w:left w:val="single" w:sz="8" w:color="auto"/>
            </w:tcBorders>
          </w:tcPr>
          <w:p>
            <w:pPr>
              <w:spacing w:after="0" w:line="170" w:lineRule="exact"/>
              <w:rPr>
                <w:sz w:val="20"/>
                <w:szCs w:val="20"/>
                <w:color w:val="auto"/>
              </w:rPr>
            </w:pPr>
            <w:r>
              <w:rPr>
                <w:rFonts w:ascii="Arial" w:cs="Arial" w:eastAsia="Arial" w:hAnsi="Arial"/>
                <w:sz w:val="18"/>
                <w:szCs w:val="18"/>
                <w:color w:val="auto"/>
              </w:rPr>
              <w:t>21.1†</w:t>
            </w:r>
          </w:p>
        </w:tc>
        <w:tc>
          <w:tcPr>
            <w:tcW w:w="6140" w:type="dxa"/>
            <w:vAlign w:val="bottom"/>
            <w:tcBorders>
              <w:right w:val="single" w:sz="8" w:color="auto"/>
            </w:tcBorders>
            <w:gridSpan w:val="22"/>
          </w:tcPr>
          <w:p>
            <w:pPr>
              <w:spacing w:after="0" w:line="170" w:lineRule="exact"/>
              <w:rPr>
                <w:rFonts w:ascii="Arial" w:cs="Arial" w:eastAsia="Arial" w:hAnsi="Arial"/>
                <w:sz w:val="18"/>
                <w:szCs w:val="18"/>
                <w:color w:val="0000EE"/>
              </w:rPr>
            </w:pPr>
            <w:hyperlink w:anchor="page107">
              <w:r>
                <w:rPr>
                  <w:rFonts w:ascii="Arial" w:cs="Arial" w:eastAsia="Arial" w:hAnsi="Arial"/>
                  <w:sz w:val="18"/>
                  <w:szCs w:val="18"/>
                  <w:color w:val="0000EE"/>
                </w:rPr>
                <w:t>List of Subsidiaries of Burlington Stores, Inc.</w:t>
              </w:r>
            </w:hyperlink>
          </w:p>
        </w:tc>
        <w:tc>
          <w:tcPr>
            <w:tcW w:w="640" w:type="dxa"/>
            <w:vAlign w:val="bottom"/>
            <w:tcBorders>
              <w:right w:val="single" w:sz="8" w:color="auto"/>
            </w:tcBorders>
          </w:tcPr>
          <w:p>
            <w:pPr>
              <w:spacing w:after="0"/>
              <w:rPr>
                <w:sz w:val="14"/>
                <w:szCs w:val="14"/>
                <w:color w:val="auto"/>
              </w:rPr>
            </w:pPr>
          </w:p>
        </w:tc>
        <w:tc>
          <w:tcPr>
            <w:tcW w:w="1060" w:type="dxa"/>
            <w:vAlign w:val="bottom"/>
            <w:tcBorders>
              <w:right w:val="single" w:sz="8" w:color="auto"/>
            </w:tcBorders>
          </w:tcPr>
          <w:p>
            <w:pPr>
              <w:spacing w:after="0"/>
              <w:rPr>
                <w:sz w:val="14"/>
                <w:szCs w:val="14"/>
                <w:color w:val="auto"/>
              </w:rPr>
            </w:pPr>
          </w:p>
        </w:tc>
      </w:tr>
      <w:tr>
        <w:trPr>
          <w:trHeight w:val="21"/>
        </w:trPr>
        <w:tc>
          <w:tcPr>
            <w:tcW w:w="780" w:type="dxa"/>
            <w:vAlign w:val="bottom"/>
            <w:tcBorders>
              <w:left w:val="single" w:sz="8" w:color="auto"/>
              <w:bottom w:val="single" w:sz="8" w:color="auto"/>
            </w:tcBorders>
          </w:tcPr>
          <w:p>
            <w:pPr>
              <w:spacing w:after="0" w:line="20" w:lineRule="exact"/>
              <w:rPr>
                <w:sz w:val="1"/>
                <w:szCs w:val="1"/>
                <w:color w:val="auto"/>
              </w:rPr>
            </w:pPr>
          </w:p>
        </w:tc>
        <w:tc>
          <w:tcPr>
            <w:tcW w:w="460" w:type="dxa"/>
            <w:vAlign w:val="bottom"/>
            <w:tcBorders>
              <w:top w:val="single" w:sz="8" w:color="0000EE"/>
              <w:bottom w:val="single" w:sz="8" w:color="auto"/>
            </w:tcBorders>
          </w:tcPr>
          <w:p>
            <w:pPr>
              <w:spacing w:after="0" w:line="20" w:lineRule="exact"/>
              <w:rPr>
                <w:sz w:val="1"/>
                <w:szCs w:val="1"/>
                <w:color w:val="auto"/>
              </w:rPr>
            </w:pPr>
          </w:p>
        </w:tc>
        <w:tc>
          <w:tcPr>
            <w:tcW w:w="150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720" w:type="dxa"/>
            <w:vAlign w:val="bottom"/>
            <w:tcBorders>
              <w:top w:val="single" w:sz="8" w:color="0000EE"/>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640" w:type="dxa"/>
            <w:vAlign w:val="bottom"/>
            <w:tcBorders>
              <w:bottom w:val="single" w:sz="8" w:color="auto"/>
              <w:right w:val="single" w:sz="8" w:color="auto"/>
            </w:tcBorders>
          </w:tcPr>
          <w:p>
            <w:pPr>
              <w:spacing w:after="0" w:line="20" w:lineRule="exact"/>
              <w:rPr>
                <w:sz w:val="1"/>
                <w:szCs w:val="1"/>
                <w:color w:val="auto"/>
              </w:rPr>
            </w:pPr>
          </w:p>
        </w:tc>
        <w:tc>
          <w:tcPr>
            <w:tcW w:w="106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780" w:type="dxa"/>
            <w:vAlign w:val="bottom"/>
            <w:tcBorders>
              <w:left w:val="single" w:sz="8" w:color="auto"/>
            </w:tcBorders>
          </w:tcPr>
          <w:p>
            <w:pPr>
              <w:spacing w:after="0" w:line="170" w:lineRule="exact"/>
              <w:rPr>
                <w:sz w:val="20"/>
                <w:szCs w:val="20"/>
                <w:color w:val="auto"/>
              </w:rPr>
            </w:pPr>
            <w:r>
              <w:rPr>
                <w:rFonts w:ascii="Arial" w:cs="Arial" w:eastAsia="Arial" w:hAnsi="Arial"/>
                <w:sz w:val="18"/>
                <w:szCs w:val="18"/>
                <w:color w:val="auto"/>
              </w:rPr>
              <w:t>23.1†</w:t>
            </w:r>
          </w:p>
        </w:tc>
        <w:tc>
          <w:tcPr>
            <w:tcW w:w="6140" w:type="dxa"/>
            <w:vAlign w:val="bottom"/>
            <w:tcBorders>
              <w:right w:val="single" w:sz="8" w:color="auto"/>
            </w:tcBorders>
            <w:gridSpan w:val="22"/>
          </w:tcPr>
          <w:p>
            <w:pPr>
              <w:spacing w:after="0" w:line="170" w:lineRule="exact"/>
              <w:rPr>
                <w:rFonts w:ascii="Arial" w:cs="Arial" w:eastAsia="Arial" w:hAnsi="Arial"/>
                <w:sz w:val="18"/>
                <w:szCs w:val="18"/>
                <w:color w:val="0000EE"/>
              </w:rPr>
            </w:pPr>
            <w:hyperlink w:anchor="page108">
              <w:r>
                <w:rPr>
                  <w:rFonts w:ascii="Arial" w:cs="Arial" w:eastAsia="Arial" w:hAnsi="Arial"/>
                  <w:sz w:val="18"/>
                  <w:szCs w:val="18"/>
                  <w:color w:val="0000EE"/>
                </w:rPr>
                <w:t>Consent of Deloitte &amp; Touche LLP.</w:t>
              </w:r>
            </w:hyperlink>
          </w:p>
        </w:tc>
        <w:tc>
          <w:tcPr>
            <w:tcW w:w="640" w:type="dxa"/>
            <w:vAlign w:val="bottom"/>
            <w:tcBorders>
              <w:right w:val="single" w:sz="8" w:color="auto"/>
            </w:tcBorders>
          </w:tcPr>
          <w:p>
            <w:pPr>
              <w:spacing w:after="0"/>
              <w:rPr>
                <w:sz w:val="14"/>
                <w:szCs w:val="14"/>
                <w:color w:val="auto"/>
              </w:rPr>
            </w:pPr>
          </w:p>
        </w:tc>
        <w:tc>
          <w:tcPr>
            <w:tcW w:w="1060" w:type="dxa"/>
            <w:vAlign w:val="bottom"/>
            <w:tcBorders>
              <w:right w:val="single" w:sz="8" w:color="auto"/>
            </w:tcBorders>
          </w:tcPr>
          <w:p>
            <w:pPr>
              <w:spacing w:after="0"/>
              <w:rPr>
                <w:sz w:val="14"/>
                <w:szCs w:val="14"/>
                <w:color w:val="auto"/>
              </w:rPr>
            </w:pPr>
          </w:p>
        </w:tc>
      </w:tr>
      <w:tr>
        <w:trPr>
          <w:trHeight w:val="21"/>
        </w:trPr>
        <w:tc>
          <w:tcPr>
            <w:tcW w:w="780" w:type="dxa"/>
            <w:vAlign w:val="bottom"/>
            <w:tcBorders>
              <w:left w:val="single" w:sz="8" w:color="auto"/>
              <w:bottom w:val="single" w:sz="8" w:color="auto"/>
            </w:tcBorders>
          </w:tcPr>
          <w:p>
            <w:pPr>
              <w:spacing w:after="0" w:line="20" w:lineRule="exact"/>
              <w:rPr>
                <w:sz w:val="1"/>
                <w:szCs w:val="1"/>
                <w:color w:val="auto"/>
              </w:rPr>
            </w:pPr>
          </w:p>
        </w:tc>
        <w:tc>
          <w:tcPr>
            <w:tcW w:w="460" w:type="dxa"/>
            <w:vAlign w:val="bottom"/>
            <w:tcBorders>
              <w:top w:val="single" w:sz="8" w:color="0000EE"/>
              <w:bottom w:val="single" w:sz="8" w:color="auto"/>
            </w:tcBorders>
          </w:tcPr>
          <w:p>
            <w:pPr>
              <w:spacing w:after="0" w:line="20" w:lineRule="exact"/>
              <w:rPr>
                <w:sz w:val="1"/>
                <w:szCs w:val="1"/>
                <w:color w:val="auto"/>
              </w:rPr>
            </w:pPr>
          </w:p>
        </w:tc>
        <w:tc>
          <w:tcPr>
            <w:tcW w:w="150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640" w:type="dxa"/>
            <w:vAlign w:val="bottom"/>
            <w:tcBorders>
              <w:bottom w:val="single" w:sz="8" w:color="auto"/>
              <w:right w:val="single" w:sz="8" w:color="auto"/>
            </w:tcBorders>
          </w:tcPr>
          <w:p>
            <w:pPr>
              <w:spacing w:after="0" w:line="20" w:lineRule="exact"/>
              <w:rPr>
                <w:sz w:val="1"/>
                <w:szCs w:val="1"/>
                <w:color w:val="auto"/>
              </w:rPr>
            </w:pPr>
          </w:p>
        </w:tc>
        <w:tc>
          <w:tcPr>
            <w:tcW w:w="106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780" w:type="dxa"/>
            <w:vAlign w:val="bottom"/>
            <w:tcBorders>
              <w:left w:val="single" w:sz="8" w:color="auto"/>
            </w:tcBorders>
          </w:tcPr>
          <w:p>
            <w:pPr>
              <w:spacing w:after="0" w:line="170" w:lineRule="exact"/>
              <w:rPr>
                <w:sz w:val="20"/>
                <w:szCs w:val="20"/>
                <w:color w:val="auto"/>
              </w:rPr>
            </w:pPr>
            <w:r>
              <w:rPr>
                <w:rFonts w:ascii="Arial" w:cs="Arial" w:eastAsia="Arial" w:hAnsi="Arial"/>
                <w:sz w:val="18"/>
                <w:szCs w:val="18"/>
                <w:color w:val="auto"/>
              </w:rPr>
              <w:t>31.1†</w:t>
            </w:r>
          </w:p>
        </w:tc>
        <w:tc>
          <w:tcPr>
            <w:tcW w:w="6140" w:type="dxa"/>
            <w:vAlign w:val="bottom"/>
            <w:tcBorders>
              <w:right w:val="single" w:sz="8" w:color="auto"/>
            </w:tcBorders>
            <w:gridSpan w:val="22"/>
          </w:tcPr>
          <w:p>
            <w:pPr>
              <w:spacing w:after="0" w:line="170" w:lineRule="exact"/>
              <w:rPr>
                <w:rFonts w:ascii="Arial" w:cs="Arial" w:eastAsia="Arial" w:hAnsi="Arial"/>
                <w:sz w:val="18"/>
                <w:szCs w:val="18"/>
                <w:color w:val="0000EE"/>
                <w:w w:val="93"/>
              </w:rPr>
            </w:pPr>
            <w:hyperlink w:anchor="page109">
              <w:r>
                <w:rPr>
                  <w:rFonts w:ascii="Arial" w:cs="Arial" w:eastAsia="Arial" w:hAnsi="Arial"/>
                  <w:sz w:val="18"/>
                  <w:szCs w:val="18"/>
                  <w:color w:val="0000EE"/>
                  <w:w w:val="93"/>
                </w:rPr>
                <w:t>Certification of Principal Executive Officer required by Rule 13a-14(a) or Rule 15d-</w:t>
              </w:r>
            </w:hyperlink>
          </w:p>
        </w:tc>
        <w:tc>
          <w:tcPr>
            <w:tcW w:w="640" w:type="dxa"/>
            <w:vAlign w:val="bottom"/>
            <w:tcBorders>
              <w:right w:val="single" w:sz="8" w:color="auto"/>
            </w:tcBorders>
          </w:tcPr>
          <w:p>
            <w:pPr>
              <w:spacing w:after="0"/>
              <w:rPr>
                <w:sz w:val="14"/>
                <w:szCs w:val="14"/>
                <w:color w:val="auto"/>
              </w:rPr>
            </w:pPr>
          </w:p>
        </w:tc>
        <w:tc>
          <w:tcPr>
            <w:tcW w:w="1060" w:type="dxa"/>
            <w:vAlign w:val="bottom"/>
            <w:tcBorders>
              <w:right w:val="single" w:sz="8" w:color="auto"/>
            </w:tcBorders>
          </w:tcPr>
          <w:p>
            <w:pPr>
              <w:spacing w:after="0"/>
              <w:rPr>
                <w:sz w:val="14"/>
                <w:szCs w:val="14"/>
                <w:color w:val="auto"/>
              </w:rPr>
            </w:pPr>
          </w:p>
        </w:tc>
      </w:tr>
      <w:tr>
        <w:trPr>
          <w:trHeight w:val="196"/>
        </w:trPr>
        <w:tc>
          <w:tcPr>
            <w:tcW w:w="780" w:type="dxa"/>
            <w:vAlign w:val="bottom"/>
            <w:tcBorders>
              <w:left w:val="single" w:sz="8" w:color="auto"/>
            </w:tcBorders>
          </w:tcPr>
          <w:p>
            <w:pPr>
              <w:spacing w:after="0"/>
              <w:rPr>
                <w:sz w:val="17"/>
                <w:szCs w:val="17"/>
                <w:color w:val="auto"/>
              </w:rPr>
            </w:pPr>
          </w:p>
        </w:tc>
        <w:tc>
          <w:tcPr>
            <w:tcW w:w="6060" w:type="dxa"/>
            <w:vAlign w:val="bottom"/>
            <w:tcBorders>
              <w:top w:val="single" w:sz="8" w:color="0000EE"/>
              <w:bottom w:val="single" w:sz="8" w:color="0000EE"/>
            </w:tcBorders>
            <w:gridSpan w:val="20"/>
          </w:tcPr>
          <w:p>
            <w:pPr>
              <w:spacing w:after="0" w:line="196" w:lineRule="exact"/>
              <w:rPr>
                <w:rFonts w:ascii="Arial" w:cs="Arial" w:eastAsia="Arial" w:hAnsi="Arial"/>
                <w:sz w:val="18"/>
                <w:szCs w:val="18"/>
                <w:color w:val="0000EE"/>
                <w:w w:val="89"/>
              </w:rPr>
            </w:pPr>
            <w:hyperlink w:anchor="page109">
              <w:r>
                <w:rPr>
                  <w:rFonts w:ascii="Arial" w:cs="Arial" w:eastAsia="Arial" w:hAnsi="Arial"/>
                  <w:sz w:val="18"/>
                  <w:szCs w:val="18"/>
                  <w:color w:val="0000EE"/>
                  <w:w w:val="89"/>
                </w:rPr>
                <w:t>14(a) of the Securities Exchange Act of 1934, as adopted pursuant to Section 302 of</w:t>
              </w:r>
            </w:hyperlink>
          </w:p>
        </w:tc>
        <w:tc>
          <w:tcPr>
            <w:tcW w:w="20" w:type="dxa"/>
            <w:vAlign w:val="bottom"/>
            <w:tcBorders>
              <w:top w:val="single" w:sz="8" w:color="0000EE"/>
            </w:tcBorders>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r>
      <w:tr>
        <w:trPr>
          <w:trHeight w:val="196"/>
        </w:trPr>
        <w:tc>
          <w:tcPr>
            <w:tcW w:w="780" w:type="dxa"/>
            <w:vAlign w:val="bottom"/>
            <w:tcBorders>
              <w:left w:val="single" w:sz="8" w:color="auto"/>
            </w:tcBorders>
          </w:tcPr>
          <w:p>
            <w:pPr>
              <w:spacing w:after="0"/>
              <w:rPr>
                <w:sz w:val="17"/>
                <w:szCs w:val="17"/>
                <w:color w:val="auto"/>
              </w:rPr>
            </w:pPr>
          </w:p>
        </w:tc>
        <w:tc>
          <w:tcPr>
            <w:tcW w:w="6140" w:type="dxa"/>
            <w:vAlign w:val="bottom"/>
            <w:tcBorders>
              <w:right w:val="single" w:sz="8" w:color="auto"/>
            </w:tcBorders>
            <w:gridSpan w:val="22"/>
          </w:tcPr>
          <w:p>
            <w:pPr>
              <w:spacing w:after="0" w:line="196" w:lineRule="exact"/>
              <w:rPr>
                <w:rFonts w:ascii="Arial" w:cs="Arial" w:eastAsia="Arial" w:hAnsi="Arial"/>
                <w:sz w:val="18"/>
                <w:szCs w:val="18"/>
                <w:color w:val="0000EE"/>
              </w:rPr>
            </w:pPr>
            <w:hyperlink w:anchor="page109">
              <w:r>
                <w:rPr>
                  <w:rFonts w:ascii="Arial" w:cs="Arial" w:eastAsia="Arial" w:hAnsi="Arial"/>
                  <w:sz w:val="18"/>
                  <w:szCs w:val="18"/>
                  <w:color w:val="0000EE"/>
                </w:rPr>
                <w:t>the Sarbanes-Oxley Act of 2002.</w:t>
              </w:r>
            </w:hyperlink>
          </w:p>
        </w:tc>
        <w:tc>
          <w:tcPr>
            <w:tcW w:w="640" w:type="dxa"/>
            <w:vAlign w:val="bottom"/>
            <w:tcBorders>
              <w:right w:val="single" w:sz="8" w:color="auto"/>
            </w:tcBorders>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r>
      <w:tr>
        <w:trPr>
          <w:trHeight w:val="21"/>
        </w:trPr>
        <w:tc>
          <w:tcPr>
            <w:tcW w:w="780" w:type="dxa"/>
            <w:vAlign w:val="bottom"/>
            <w:tcBorders>
              <w:left w:val="single" w:sz="8" w:color="auto"/>
              <w:bottom w:val="single" w:sz="8" w:color="auto"/>
            </w:tcBorders>
          </w:tcPr>
          <w:p>
            <w:pPr>
              <w:spacing w:after="0" w:line="20" w:lineRule="exact"/>
              <w:rPr>
                <w:sz w:val="1"/>
                <w:szCs w:val="1"/>
                <w:color w:val="auto"/>
              </w:rPr>
            </w:pPr>
          </w:p>
        </w:tc>
        <w:tc>
          <w:tcPr>
            <w:tcW w:w="460" w:type="dxa"/>
            <w:vAlign w:val="bottom"/>
            <w:tcBorders>
              <w:top w:val="single" w:sz="8" w:color="0000EE"/>
              <w:bottom w:val="single" w:sz="8" w:color="auto"/>
            </w:tcBorders>
          </w:tcPr>
          <w:p>
            <w:pPr>
              <w:spacing w:after="0" w:line="20" w:lineRule="exact"/>
              <w:rPr>
                <w:sz w:val="1"/>
                <w:szCs w:val="1"/>
                <w:color w:val="auto"/>
              </w:rPr>
            </w:pPr>
          </w:p>
        </w:tc>
        <w:tc>
          <w:tcPr>
            <w:tcW w:w="150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640" w:type="dxa"/>
            <w:vAlign w:val="bottom"/>
            <w:tcBorders>
              <w:bottom w:val="single" w:sz="8" w:color="auto"/>
              <w:right w:val="single" w:sz="8" w:color="auto"/>
            </w:tcBorders>
          </w:tcPr>
          <w:p>
            <w:pPr>
              <w:spacing w:after="0" w:line="20" w:lineRule="exact"/>
              <w:rPr>
                <w:sz w:val="1"/>
                <w:szCs w:val="1"/>
                <w:color w:val="auto"/>
              </w:rPr>
            </w:pPr>
          </w:p>
        </w:tc>
        <w:tc>
          <w:tcPr>
            <w:tcW w:w="106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780" w:type="dxa"/>
            <w:vAlign w:val="bottom"/>
            <w:tcBorders>
              <w:left w:val="single" w:sz="8" w:color="auto"/>
            </w:tcBorders>
          </w:tcPr>
          <w:p>
            <w:pPr>
              <w:spacing w:after="0" w:line="170" w:lineRule="exact"/>
              <w:rPr>
                <w:sz w:val="20"/>
                <w:szCs w:val="20"/>
                <w:color w:val="auto"/>
              </w:rPr>
            </w:pPr>
            <w:r>
              <w:rPr>
                <w:rFonts w:ascii="Arial" w:cs="Arial" w:eastAsia="Arial" w:hAnsi="Arial"/>
                <w:sz w:val="18"/>
                <w:szCs w:val="18"/>
                <w:color w:val="auto"/>
              </w:rPr>
              <w:t>31.2†</w:t>
            </w:r>
          </w:p>
        </w:tc>
        <w:tc>
          <w:tcPr>
            <w:tcW w:w="6040" w:type="dxa"/>
            <w:vAlign w:val="bottom"/>
            <w:tcBorders>
              <w:bottom w:val="single" w:sz="8" w:color="0000EE"/>
            </w:tcBorders>
            <w:gridSpan w:val="19"/>
          </w:tcPr>
          <w:p>
            <w:pPr>
              <w:spacing w:after="0" w:line="170" w:lineRule="exact"/>
              <w:rPr>
                <w:rFonts w:ascii="Arial" w:cs="Arial" w:eastAsia="Arial" w:hAnsi="Arial"/>
                <w:sz w:val="18"/>
                <w:szCs w:val="18"/>
                <w:color w:val="0000EE"/>
                <w:w w:val="92"/>
              </w:rPr>
            </w:pPr>
            <w:hyperlink w:anchor="page110">
              <w:r>
                <w:rPr>
                  <w:rFonts w:ascii="Arial" w:cs="Arial" w:eastAsia="Arial" w:hAnsi="Arial"/>
                  <w:sz w:val="18"/>
                  <w:szCs w:val="18"/>
                  <w:color w:val="0000EE"/>
                  <w:w w:val="92"/>
                </w:rPr>
                <w:t>Certification of Principal Financial Officer required by Rule 13a-14(a) or Rule 15d-</w:t>
              </w:r>
            </w:hyperlink>
          </w:p>
        </w:tc>
        <w:tc>
          <w:tcPr>
            <w:tcW w:w="100" w:type="dxa"/>
            <w:vAlign w:val="bottom"/>
            <w:tcBorders>
              <w:right w:val="single" w:sz="8" w:color="auto"/>
            </w:tcBorders>
            <w:gridSpan w:val="3"/>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060" w:type="dxa"/>
            <w:vAlign w:val="bottom"/>
            <w:tcBorders>
              <w:right w:val="single" w:sz="8" w:color="auto"/>
            </w:tcBorders>
          </w:tcPr>
          <w:p>
            <w:pPr>
              <w:spacing w:after="0"/>
              <w:rPr>
                <w:sz w:val="14"/>
                <w:szCs w:val="14"/>
                <w:color w:val="auto"/>
              </w:rPr>
            </w:pPr>
          </w:p>
        </w:tc>
      </w:tr>
      <w:tr>
        <w:trPr>
          <w:trHeight w:val="196"/>
        </w:trPr>
        <w:tc>
          <w:tcPr>
            <w:tcW w:w="780" w:type="dxa"/>
            <w:vAlign w:val="bottom"/>
            <w:tcBorders>
              <w:left w:val="single" w:sz="8" w:color="auto"/>
            </w:tcBorders>
          </w:tcPr>
          <w:p>
            <w:pPr>
              <w:spacing w:after="0"/>
              <w:rPr>
                <w:sz w:val="17"/>
                <w:szCs w:val="17"/>
                <w:color w:val="auto"/>
              </w:rPr>
            </w:pPr>
          </w:p>
        </w:tc>
        <w:tc>
          <w:tcPr>
            <w:tcW w:w="6060" w:type="dxa"/>
            <w:vAlign w:val="bottom"/>
            <w:tcBorders>
              <w:bottom w:val="single" w:sz="8" w:color="0000EE"/>
            </w:tcBorders>
            <w:gridSpan w:val="20"/>
          </w:tcPr>
          <w:p>
            <w:pPr>
              <w:spacing w:after="0" w:line="196" w:lineRule="exact"/>
              <w:rPr>
                <w:rFonts w:ascii="Arial" w:cs="Arial" w:eastAsia="Arial" w:hAnsi="Arial"/>
                <w:sz w:val="18"/>
                <w:szCs w:val="18"/>
                <w:color w:val="0000EE"/>
                <w:w w:val="89"/>
              </w:rPr>
            </w:pPr>
            <w:hyperlink w:anchor="page110">
              <w:r>
                <w:rPr>
                  <w:rFonts w:ascii="Arial" w:cs="Arial" w:eastAsia="Arial" w:hAnsi="Arial"/>
                  <w:sz w:val="18"/>
                  <w:szCs w:val="18"/>
                  <w:color w:val="0000EE"/>
                  <w:w w:val="89"/>
                </w:rPr>
                <w:t>14(a) of the Securities Exchange Act of 1934, as adopted pursuant to Section 302 of</w:t>
              </w:r>
            </w:hyperlink>
          </w:p>
        </w:tc>
        <w:tc>
          <w:tcPr>
            <w:tcW w:w="80" w:type="dxa"/>
            <w:vAlign w:val="bottom"/>
            <w:tcBorders>
              <w:right w:val="single" w:sz="8" w:color="auto"/>
            </w:tcBorders>
            <w:gridSpan w:val="2"/>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r>
      <w:tr>
        <w:trPr>
          <w:trHeight w:val="196"/>
        </w:trPr>
        <w:tc>
          <w:tcPr>
            <w:tcW w:w="780" w:type="dxa"/>
            <w:vAlign w:val="bottom"/>
            <w:tcBorders>
              <w:left w:val="single" w:sz="8" w:color="auto"/>
            </w:tcBorders>
          </w:tcPr>
          <w:p>
            <w:pPr>
              <w:spacing w:after="0"/>
              <w:rPr>
                <w:sz w:val="17"/>
                <w:szCs w:val="17"/>
                <w:color w:val="auto"/>
              </w:rPr>
            </w:pPr>
          </w:p>
        </w:tc>
        <w:tc>
          <w:tcPr>
            <w:tcW w:w="6140" w:type="dxa"/>
            <w:vAlign w:val="bottom"/>
            <w:tcBorders>
              <w:right w:val="single" w:sz="8" w:color="auto"/>
            </w:tcBorders>
            <w:gridSpan w:val="22"/>
          </w:tcPr>
          <w:p>
            <w:pPr>
              <w:spacing w:after="0" w:line="196" w:lineRule="exact"/>
              <w:rPr>
                <w:rFonts w:ascii="Arial" w:cs="Arial" w:eastAsia="Arial" w:hAnsi="Arial"/>
                <w:sz w:val="18"/>
                <w:szCs w:val="18"/>
                <w:color w:val="0000EE"/>
              </w:rPr>
            </w:pPr>
            <w:hyperlink w:anchor="page110">
              <w:r>
                <w:rPr>
                  <w:rFonts w:ascii="Arial" w:cs="Arial" w:eastAsia="Arial" w:hAnsi="Arial"/>
                  <w:sz w:val="18"/>
                  <w:szCs w:val="18"/>
                  <w:color w:val="0000EE"/>
                </w:rPr>
                <w:t>the Sarbanes-Oxley Act of 2002.</w:t>
              </w:r>
            </w:hyperlink>
          </w:p>
        </w:tc>
        <w:tc>
          <w:tcPr>
            <w:tcW w:w="640" w:type="dxa"/>
            <w:vAlign w:val="bottom"/>
            <w:tcBorders>
              <w:right w:val="single" w:sz="8" w:color="auto"/>
            </w:tcBorders>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r>
      <w:tr>
        <w:trPr>
          <w:trHeight w:val="21"/>
        </w:trPr>
        <w:tc>
          <w:tcPr>
            <w:tcW w:w="780" w:type="dxa"/>
            <w:vAlign w:val="bottom"/>
            <w:tcBorders>
              <w:left w:val="single" w:sz="8" w:color="auto"/>
              <w:bottom w:val="single" w:sz="8" w:color="auto"/>
            </w:tcBorders>
          </w:tcPr>
          <w:p>
            <w:pPr>
              <w:spacing w:after="0" w:line="20" w:lineRule="exact"/>
              <w:rPr>
                <w:sz w:val="1"/>
                <w:szCs w:val="1"/>
                <w:color w:val="auto"/>
              </w:rPr>
            </w:pPr>
          </w:p>
        </w:tc>
        <w:tc>
          <w:tcPr>
            <w:tcW w:w="460" w:type="dxa"/>
            <w:vAlign w:val="bottom"/>
            <w:tcBorders>
              <w:top w:val="single" w:sz="8" w:color="0000EE"/>
              <w:bottom w:val="single" w:sz="8" w:color="auto"/>
            </w:tcBorders>
          </w:tcPr>
          <w:p>
            <w:pPr>
              <w:spacing w:after="0" w:line="20" w:lineRule="exact"/>
              <w:rPr>
                <w:sz w:val="1"/>
                <w:szCs w:val="1"/>
                <w:color w:val="auto"/>
              </w:rPr>
            </w:pPr>
          </w:p>
        </w:tc>
        <w:tc>
          <w:tcPr>
            <w:tcW w:w="150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640" w:type="dxa"/>
            <w:vAlign w:val="bottom"/>
            <w:tcBorders>
              <w:bottom w:val="single" w:sz="8" w:color="auto"/>
              <w:right w:val="single" w:sz="8" w:color="auto"/>
            </w:tcBorders>
          </w:tcPr>
          <w:p>
            <w:pPr>
              <w:spacing w:after="0" w:line="20" w:lineRule="exact"/>
              <w:rPr>
                <w:sz w:val="1"/>
                <w:szCs w:val="1"/>
                <w:color w:val="auto"/>
              </w:rPr>
            </w:pPr>
          </w:p>
        </w:tc>
        <w:tc>
          <w:tcPr>
            <w:tcW w:w="106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780" w:type="dxa"/>
            <w:vAlign w:val="bottom"/>
            <w:tcBorders>
              <w:left w:val="single" w:sz="8" w:color="auto"/>
            </w:tcBorders>
          </w:tcPr>
          <w:p>
            <w:pPr>
              <w:spacing w:after="0" w:line="170" w:lineRule="exact"/>
              <w:rPr>
                <w:sz w:val="20"/>
                <w:szCs w:val="20"/>
                <w:color w:val="auto"/>
              </w:rPr>
            </w:pPr>
            <w:r>
              <w:rPr>
                <w:rFonts w:ascii="Arial" w:cs="Arial" w:eastAsia="Arial" w:hAnsi="Arial"/>
                <w:sz w:val="18"/>
                <w:szCs w:val="18"/>
                <w:color w:val="auto"/>
              </w:rPr>
              <w:t>32.1†</w:t>
            </w:r>
          </w:p>
        </w:tc>
        <w:tc>
          <w:tcPr>
            <w:tcW w:w="6000" w:type="dxa"/>
            <w:vAlign w:val="bottom"/>
            <w:tcBorders>
              <w:bottom w:val="single" w:sz="8" w:color="0000EE"/>
            </w:tcBorders>
            <w:gridSpan w:val="18"/>
          </w:tcPr>
          <w:p>
            <w:pPr>
              <w:spacing w:after="0" w:line="170" w:lineRule="exact"/>
              <w:rPr>
                <w:rFonts w:ascii="Arial" w:cs="Arial" w:eastAsia="Arial" w:hAnsi="Arial"/>
                <w:sz w:val="18"/>
                <w:szCs w:val="18"/>
                <w:color w:val="0000EE"/>
                <w:w w:val="91"/>
              </w:rPr>
            </w:pPr>
            <w:hyperlink w:anchor="page111">
              <w:r>
                <w:rPr>
                  <w:rFonts w:ascii="Arial" w:cs="Arial" w:eastAsia="Arial" w:hAnsi="Arial"/>
                  <w:sz w:val="18"/>
                  <w:szCs w:val="18"/>
                  <w:color w:val="0000EE"/>
                  <w:w w:val="91"/>
                </w:rPr>
                <w:t>Certification of Principal Executive Officer pursuant to 18 U.S.C. 1350, as adopted</w:t>
              </w:r>
            </w:hyperlink>
          </w:p>
        </w:tc>
        <w:tc>
          <w:tcPr>
            <w:tcW w:w="140" w:type="dxa"/>
            <w:vAlign w:val="bottom"/>
            <w:tcBorders>
              <w:right w:val="single" w:sz="8" w:color="auto"/>
            </w:tcBorders>
            <w:gridSpan w:val="4"/>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060" w:type="dxa"/>
            <w:vAlign w:val="bottom"/>
            <w:tcBorders>
              <w:right w:val="single" w:sz="8" w:color="auto"/>
            </w:tcBorders>
          </w:tcPr>
          <w:p>
            <w:pPr>
              <w:spacing w:after="0"/>
              <w:rPr>
                <w:sz w:val="14"/>
                <w:szCs w:val="14"/>
                <w:color w:val="auto"/>
              </w:rPr>
            </w:pPr>
          </w:p>
        </w:tc>
      </w:tr>
      <w:tr>
        <w:trPr>
          <w:trHeight w:val="196"/>
        </w:trPr>
        <w:tc>
          <w:tcPr>
            <w:tcW w:w="780" w:type="dxa"/>
            <w:vAlign w:val="bottom"/>
            <w:tcBorders>
              <w:left w:val="single" w:sz="8" w:color="auto"/>
            </w:tcBorders>
          </w:tcPr>
          <w:p>
            <w:pPr>
              <w:spacing w:after="0"/>
              <w:rPr>
                <w:sz w:val="17"/>
                <w:szCs w:val="17"/>
                <w:color w:val="auto"/>
              </w:rPr>
            </w:pPr>
          </w:p>
        </w:tc>
        <w:tc>
          <w:tcPr>
            <w:tcW w:w="6140" w:type="dxa"/>
            <w:vAlign w:val="bottom"/>
            <w:tcBorders>
              <w:right w:val="single" w:sz="8" w:color="auto"/>
            </w:tcBorders>
            <w:gridSpan w:val="22"/>
          </w:tcPr>
          <w:p>
            <w:pPr>
              <w:spacing w:after="0" w:line="196" w:lineRule="exact"/>
              <w:rPr>
                <w:rFonts w:ascii="Arial" w:cs="Arial" w:eastAsia="Arial" w:hAnsi="Arial"/>
                <w:sz w:val="18"/>
                <w:szCs w:val="18"/>
                <w:color w:val="0000EE"/>
              </w:rPr>
            </w:pPr>
            <w:hyperlink w:anchor="page111">
              <w:r>
                <w:rPr>
                  <w:rFonts w:ascii="Arial" w:cs="Arial" w:eastAsia="Arial" w:hAnsi="Arial"/>
                  <w:sz w:val="18"/>
                  <w:szCs w:val="18"/>
                  <w:color w:val="0000EE"/>
                </w:rPr>
                <w:t>pursuant to Section 906 of the Sarbanes-Oxley Act of 2002.</w:t>
              </w:r>
            </w:hyperlink>
          </w:p>
        </w:tc>
        <w:tc>
          <w:tcPr>
            <w:tcW w:w="640" w:type="dxa"/>
            <w:vAlign w:val="bottom"/>
            <w:tcBorders>
              <w:right w:val="single" w:sz="8" w:color="auto"/>
            </w:tcBorders>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r>
      <w:tr>
        <w:trPr>
          <w:trHeight w:val="21"/>
        </w:trPr>
        <w:tc>
          <w:tcPr>
            <w:tcW w:w="780" w:type="dxa"/>
            <w:vAlign w:val="bottom"/>
            <w:tcBorders>
              <w:left w:val="single" w:sz="8" w:color="auto"/>
              <w:bottom w:val="single" w:sz="8" w:color="auto"/>
            </w:tcBorders>
          </w:tcPr>
          <w:p>
            <w:pPr>
              <w:spacing w:after="0" w:line="20" w:lineRule="exact"/>
              <w:rPr>
                <w:sz w:val="1"/>
                <w:szCs w:val="1"/>
                <w:color w:val="auto"/>
              </w:rPr>
            </w:pPr>
          </w:p>
        </w:tc>
        <w:tc>
          <w:tcPr>
            <w:tcW w:w="460" w:type="dxa"/>
            <w:vAlign w:val="bottom"/>
            <w:tcBorders>
              <w:top w:val="single" w:sz="8" w:color="0000EE"/>
              <w:bottom w:val="single" w:sz="8" w:color="auto"/>
            </w:tcBorders>
          </w:tcPr>
          <w:p>
            <w:pPr>
              <w:spacing w:after="0" w:line="20" w:lineRule="exact"/>
              <w:rPr>
                <w:sz w:val="1"/>
                <w:szCs w:val="1"/>
                <w:color w:val="auto"/>
              </w:rPr>
            </w:pPr>
          </w:p>
        </w:tc>
        <w:tc>
          <w:tcPr>
            <w:tcW w:w="150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720" w:type="dxa"/>
            <w:vAlign w:val="bottom"/>
            <w:tcBorders>
              <w:top w:val="single" w:sz="8" w:color="0000EE"/>
              <w:bottom w:val="single" w:sz="8" w:color="auto"/>
            </w:tcBorders>
          </w:tcPr>
          <w:p>
            <w:pPr>
              <w:spacing w:after="0" w:line="20" w:lineRule="exact"/>
              <w:rPr>
                <w:sz w:val="1"/>
                <w:szCs w:val="1"/>
                <w:color w:val="auto"/>
              </w:rPr>
            </w:pPr>
          </w:p>
        </w:tc>
        <w:tc>
          <w:tcPr>
            <w:tcW w:w="1040" w:type="dxa"/>
            <w:vAlign w:val="bottom"/>
            <w:tcBorders>
              <w:top w:val="single" w:sz="8" w:color="0000EE"/>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640" w:type="dxa"/>
            <w:vAlign w:val="bottom"/>
            <w:tcBorders>
              <w:bottom w:val="single" w:sz="8" w:color="auto"/>
              <w:right w:val="single" w:sz="8" w:color="auto"/>
            </w:tcBorders>
          </w:tcPr>
          <w:p>
            <w:pPr>
              <w:spacing w:after="0" w:line="20" w:lineRule="exact"/>
              <w:rPr>
                <w:sz w:val="1"/>
                <w:szCs w:val="1"/>
                <w:color w:val="auto"/>
              </w:rPr>
            </w:pPr>
          </w:p>
        </w:tc>
        <w:tc>
          <w:tcPr>
            <w:tcW w:w="106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780" w:type="dxa"/>
            <w:vAlign w:val="bottom"/>
            <w:tcBorders>
              <w:left w:val="single" w:sz="8" w:color="auto"/>
            </w:tcBorders>
          </w:tcPr>
          <w:p>
            <w:pPr>
              <w:spacing w:after="0" w:line="170" w:lineRule="exact"/>
              <w:rPr>
                <w:sz w:val="20"/>
                <w:szCs w:val="20"/>
                <w:color w:val="auto"/>
              </w:rPr>
            </w:pPr>
            <w:r>
              <w:rPr>
                <w:rFonts w:ascii="Arial" w:cs="Arial" w:eastAsia="Arial" w:hAnsi="Arial"/>
                <w:sz w:val="18"/>
                <w:szCs w:val="18"/>
                <w:color w:val="auto"/>
              </w:rPr>
              <w:t>32.2†</w:t>
            </w:r>
          </w:p>
        </w:tc>
        <w:tc>
          <w:tcPr>
            <w:tcW w:w="6140" w:type="dxa"/>
            <w:vAlign w:val="bottom"/>
            <w:tcBorders>
              <w:right w:val="single" w:sz="8" w:color="auto"/>
            </w:tcBorders>
            <w:gridSpan w:val="22"/>
          </w:tcPr>
          <w:p>
            <w:pPr>
              <w:spacing w:after="0" w:line="170" w:lineRule="exact"/>
              <w:rPr>
                <w:rFonts w:ascii="Arial" w:cs="Arial" w:eastAsia="Arial" w:hAnsi="Arial"/>
                <w:sz w:val="18"/>
                <w:szCs w:val="18"/>
                <w:color w:val="0000EE"/>
                <w:w w:val="94"/>
              </w:rPr>
            </w:pPr>
            <w:hyperlink w:anchor="page112">
              <w:r>
                <w:rPr>
                  <w:rFonts w:ascii="Arial" w:cs="Arial" w:eastAsia="Arial" w:hAnsi="Arial"/>
                  <w:sz w:val="18"/>
                  <w:szCs w:val="18"/>
                  <w:color w:val="0000EE"/>
                  <w:w w:val="94"/>
                </w:rPr>
                <w:t>Certification of Principal Financial Officer pursuant to 18 U.S.C. 1350, as adopted</w:t>
              </w:r>
            </w:hyperlink>
          </w:p>
        </w:tc>
        <w:tc>
          <w:tcPr>
            <w:tcW w:w="640" w:type="dxa"/>
            <w:vAlign w:val="bottom"/>
            <w:tcBorders>
              <w:right w:val="single" w:sz="8" w:color="auto"/>
            </w:tcBorders>
          </w:tcPr>
          <w:p>
            <w:pPr>
              <w:spacing w:after="0"/>
              <w:rPr>
                <w:sz w:val="14"/>
                <w:szCs w:val="14"/>
                <w:color w:val="auto"/>
              </w:rPr>
            </w:pPr>
          </w:p>
        </w:tc>
        <w:tc>
          <w:tcPr>
            <w:tcW w:w="1060" w:type="dxa"/>
            <w:vAlign w:val="bottom"/>
            <w:tcBorders>
              <w:right w:val="single" w:sz="8" w:color="auto"/>
            </w:tcBorders>
          </w:tcPr>
          <w:p>
            <w:pPr>
              <w:spacing w:after="0"/>
              <w:rPr>
                <w:sz w:val="14"/>
                <w:szCs w:val="14"/>
                <w:color w:val="auto"/>
              </w:rPr>
            </w:pPr>
          </w:p>
        </w:tc>
      </w:tr>
      <w:tr>
        <w:trPr>
          <w:trHeight w:val="196"/>
        </w:trPr>
        <w:tc>
          <w:tcPr>
            <w:tcW w:w="780" w:type="dxa"/>
            <w:vAlign w:val="bottom"/>
            <w:tcBorders>
              <w:left w:val="single" w:sz="8" w:color="auto"/>
            </w:tcBorders>
          </w:tcPr>
          <w:p>
            <w:pPr>
              <w:spacing w:after="0"/>
              <w:rPr>
                <w:sz w:val="17"/>
                <w:szCs w:val="17"/>
                <w:color w:val="auto"/>
              </w:rPr>
            </w:pPr>
          </w:p>
        </w:tc>
        <w:tc>
          <w:tcPr>
            <w:tcW w:w="596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112">
              <w:r>
                <w:rPr>
                  <w:rFonts w:ascii="Arial" w:cs="Arial" w:eastAsia="Arial" w:hAnsi="Arial"/>
                  <w:sz w:val="18"/>
                  <w:szCs w:val="18"/>
                  <w:color w:val="0000EE"/>
                </w:rPr>
                <w:t>pursuant to Section 906 of the Sarbanes-Oxley Act of 2002.</w:t>
              </w:r>
            </w:hyperlink>
          </w:p>
        </w:tc>
        <w:tc>
          <w:tcPr>
            <w:tcW w:w="180" w:type="dxa"/>
            <w:vAlign w:val="bottom"/>
            <w:tcBorders>
              <w:right w:val="single" w:sz="8" w:color="auto"/>
            </w:tcBorders>
            <w:gridSpan w:val="6"/>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r>
      <w:tr>
        <w:trPr>
          <w:trHeight w:val="21"/>
        </w:trPr>
        <w:tc>
          <w:tcPr>
            <w:tcW w:w="780" w:type="dxa"/>
            <w:vAlign w:val="bottom"/>
            <w:tcBorders>
              <w:left w:val="single" w:sz="8" w:color="auto"/>
              <w:bottom w:val="single" w:sz="8" w:color="auto"/>
            </w:tcBorders>
          </w:tcPr>
          <w:p>
            <w:pPr>
              <w:spacing w:after="0" w:line="20" w:lineRule="exact"/>
              <w:rPr>
                <w:sz w:val="1"/>
                <w:szCs w:val="1"/>
                <w:color w:val="auto"/>
              </w:rPr>
            </w:pPr>
          </w:p>
        </w:tc>
        <w:tc>
          <w:tcPr>
            <w:tcW w:w="460" w:type="dxa"/>
            <w:vAlign w:val="bottom"/>
            <w:tcBorders>
              <w:top w:val="single" w:sz="8" w:color="0000EE"/>
              <w:bottom w:val="single" w:sz="8" w:color="auto"/>
            </w:tcBorders>
          </w:tcPr>
          <w:p>
            <w:pPr>
              <w:spacing w:after="0" w:line="20" w:lineRule="exact"/>
              <w:rPr>
                <w:sz w:val="1"/>
                <w:szCs w:val="1"/>
                <w:color w:val="auto"/>
              </w:rPr>
            </w:pPr>
          </w:p>
        </w:tc>
        <w:tc>
          <w:tcPr>
            <w:tcW w:w="150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720" w:type="dxa"/>
            <w:vAlign w:val="bottom"/>
            <w:tcBorders>
              <w:top w:val="single" w:sz="8" w:color="0000EE"/>
              <w:bottom w:val="single" w:sz="8" w:color="auto"/>
            </w:tcBorders>
          </w:tcPr>
          <w:p>
            <w:pPr>
              <w:spacing w:after="0" w:line="20" w:lineRule="exact"/>
              <w:rPr>
                <w:sz w:val="1"/>
                <w:szCs w:val="1"/>
                <w:color w:val="auto"/>
              </w:rPr>
            </w:pPr>
          </w:p>
        </w:tc>
        <w:tc>
          <w:tcPr>
            <w:tcW w:w="1040" w:type="dxa"/>
            <w:vAlign w:val="bottom"/>
            <w:tcBorders>
              <w:top w:val="single" w:sz="8" w:color="0000EE"/>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640" w:type="dxa"/>
            <w:vAlign w:val="bottom"/>
            <w:tcBorders>
              <w:bottom w:val="single" w:sz="8" w:color="auto"/>
              <w:right w:val="single" w:sz="8" w:color="auto"/>
            </w:tcBorders>
          </w:tcPr>
          <w:p>
            <w:pPr>
              <w:spacing w:after="0" w:line="20" w:lineRule="exact"/>
              <w:rPr>
                <w:sz w:val="1"/>
                <w:szCs w:val="1"/>
                <w:color w:val="auto"/>
              </w:rPr>
            </w:pPr>
          </w:p>
        </w:tc>
        <w:tc>
          <w:tcPr>
            <w:tcW w:w="1060" w:type="dxa"/>
            <w:vAlign w:val="bottom"/>
            <w:tcBorders>
              <w:bottom w:val="single" w:sz="8" w:color="auto"/>
              <w:right w:val="single" w:sz="8" w:color="auto"/>
            </w:tcBorders>
          </w:tcPr>
          <w:p>
            <w:pPr>
              <w:spacing w:after="0" w:line="20" w:lineRule="exact"/>
              <w:rPr>
                <w:sz w:val="1"/>
                <w:szCs w:val="1"/>
                <w:color w:val="auto"/>
              </w:rPr>
            </w:pPr>
          </w:p>
        </w:tc>
      </w:tr>
      <w:tr>
        <w:trPr>
          <w:trHeight w:val="210"/>
        </w:trPr>
        <w:tc>
          <w:tcPr>
            <w:tcW w:w="780" w:type="dxa"/>
            <w:vAlign w:val="bottom"/>
            <w:tcBorders>
              <w:left w:val="single" w:sz="8" w:color="auto"/>
              <w:bottom w:val="single" w:sz="8" w:color="auto"/>
            </w:tcBorders>
          </w:tcPr>
          <w:p>
            <w:pPr>
              <w:spacing w:after="0"/>
              <w:rPr>
                <w:sz w:val="20"/>
                <w:szCs w:val="20"/>
                <w:color w:val="auto"/>
              </w:rPr>
            </w:pPr>
            <w:r>
              <w:rPr>
                <w:rFonts w:ascii="Arial" w:cs="Arial" w:eastAsia="Arial" w:hAnsi="Arial"/>
                <w:sz w:val="18"/>
                <w:szCs w:val="18"/>
                <w:color w:val="auto"/>
              </w:rPr>
              <w:t>101.INS†</w:t>
            </w:r>
          </w:p>
        </w:tc>
        <w:tc>
          <w:tcPr>
            <w:tcW w:w="6140" w:type="dxa"/>
            <w:vAlign w:val="bottom"/>
            <w:tcBorders>
              <w:bottom w:val="single" w:sz="8" w:color="auto"/>
              <w:right w:val="single" w:sz="8" w:color="auto"/>
            </w:tcBorders>
            <w:gridSpan w:val="22"/>
          </w:tcPr>
          <w:p>
            <w:pPr>
              <w:spacing w:after="0"/>
              <w:rPr>
                <w:sz w:val="20"/>
                <w:szCs w:val="20"/>
                <w:color w:val="auto"/>
              </w:rPr>
            </w:pPr>
            <w:r>
              <w:rPr>
                <w:rFonts w:ascii="Arial" w:cs="Arial" w:eastAsia="Arial" w:hAnsi="Arial"/>
                <w:sz w:val="18"/>
                <w:szCs w:val="18"/>
                <w:color w:val="auto"/>
              </w:rPr>
              <w:t>XBRL Instance Document</w:t>
            </w:r>
          </w:p>
        </w:tc>
        <w:tc>
          <w:tcPr>
            <w:tcW w:w="640" w:type="dxa"/>
            <w:vAlign w:val="bottom"/>
            <w:tcBorders>
              <w:bottom w:val="single" w:sz="8" w:color="auto"/>
              <w:right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r>
      <w:tr>
        <w:trPr>
          <w:trHeight w:val="210"/>
        </w:trPr>
        <w:tc>
          <w:tcPr>
            <w:tcW w:w="780" w:type="dxa"/>
            <w:vAlign w:val="bottom"/>
            <w:tcBorders>
              <w:left w:val="single" w:sz="8" w:color="auto"/>
              <w:bottom w:val="single" w:sz="8" w:color="auto"/>
            </w:tcBorders>
          </w:tcPr>
          <w:p>
            <w:pPr>
              <w:spacing w:after="0"/>
              <w:rPr>
                <w:sz w:val="20"/>
                <w:szCs w:val="20"/>
                <w:color w:val="auto"/>
              </w:rPr>
            </w:pPr>
            <w:r>
              <w:rPr>
                <w:rFonts w:ascii="Arial" w:cs="Arial" w:eastAsia="Arial" w:hAnsi="Arial"/>
                <w:sz w:val="18"/>
                <w:szCs w:val="18"/>
                <w:color w:val="auto"/>
                <w:w w:val="91"/>
              </w:rPr>
              <w:t>101.SCH†</w:t>
            </w:r>
          </w:p>
        </w:tc>
        <w:tc>
          <w:tcPr>
            <w:tcW w:w="6140" w:type="dxa"/>
            <w:vAlign w:val="bottom"/>
            <w:tcBorders>
              <w:bottom w:val="single" w:sz="8" w:color="auto"/>
              <w:right w:val="single" w:sz="8" w:color="auto"/>
            </w:tcBorders>
            <w:gridSpan w:val="22"/>
          </w:tcPr>
          <w:p>
            <w:pPr>
              <w:spacing w:after="0"/>
              <w:rPr>
                <w:sz w:val="20"/>
                <w:szCs w:val="20"/>
                <w:color w:val="auto"/>
              </w:rPr>
            </w:pPr>
            <w:r>
              <w:rPr>
                <w:rFonts w:ascii="Arial" w:cs="Arial" w:eastAsia="Arial" w:hAnsi="Arial"/>
                <w:sz w:val="18"/>
                <w:szCs w:val="18"/>
                <w:color w:val="auto"/>
              </w:rPr>
              <w:t>XBRL Taxonomy Extension Schema Document</w:t>
            </w:r>
          </w:p>
        </w:tc>
        <w:tc>
          <w:tcPr>
            <w:tcW w:w="640" w:type="dxa"/>
            <w:vAlign w:val="bottom"/>
            <w:tcBorders>
              <w:bottom w:val="single" w:sz="8" w:color="auto"/>
              <w:right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r>
      <w:tr>
        <w:trPr>
          <w:trHeight w:val="210"/>
        </w:trPr>
        <w:tc>
          <w:tcPr>
            <w:tcW w:w="6920" w:type="dxa"/>
            <w:vAlign w:val="bottom"/>
            <w:tcBorders>
              <w:left w:val="single" w:sz="8" w:color="auto"/>
              <w:bottom w:val="single" w:sz="8" w:color="auto"/>
              <w:right w:val="single" w:sz="8" w:color="auto"/>
            </w:tcBorders>
            <w:gridSpan w:val="23"/>
          </w:tcPr>
          <w:p>
            <w:pPr>
              <w:spacing w:after="0"/>
              <w:rPr>
                <w:sz w:val="20"/>
                <w:szCs w:val="20"/>
                <w:color w:val="auto"/>
              </w:rPr>
            </w:pPr>
            <w:r>
              <w:rPr>
                <w:rFonts w:ascii="Arial" w:cs="Arial" w:eastAsia="Arial" w:hAnsi="Arial"/>
                <w:sz w:val="18"/>
                <w:szCs w:val="18"/>
                <w:color w:val="auto"/>
              </w:rPr>
              <w:t>101.CAL†Taxonomy Extension Calculation Linkbase Document</w:t>
            </w:r>
          </w:p>
        </w:tc>
        <w:tc>
          <w:tcPr>
            <w:tcW w:w="640" w:type="dxa"/>
            <w:vAlign w:val="bottom"/>
            <w:tcBorders>
              <w:bottom w:val="single" w:sz="8" w:color="auto"/>
              <w:right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r>
      <w:tr>
        <w:trPr>
          <w:trHeight w:val="210"/>
        </w:trPr>
        <w:tc>
          <w:tcPr>
            <w:tcW w:w="6920" w:type="dxa"/>
            <w:vAlign w:val="bottom"/>
            <w:tcBorders>
              <w:left w:val="single" w:sz="8" w:color="auto"/>
              <w:bottom w:val="single" w:sz="8" w:color="auto"/>
              <w:right w:val="single" w:sz="8" w:color="auto"/>
            </w:tcBorders>
            <w:gridSpan w:val="23"/>
          </w:tcPr>
          <w:p>
            <w:pPr>
              <w:spacing w:after="0"/>
              <w:rPr>
                <w:sz w:val="20"/>
                <w:szCs w:val="20"/>
                <w:color w:val="auto"/>
              </w:rPr>
            </w:pPr>
            <w:r>
              <w:rPr>
                <w:rFonts w:ascii="Arial" w:cs="Arial" w:eastAsia="Arial" w:hAnsi="Arial"/>
                <w:sz w:val="18"/>
                <w:szCs w:val="18"/>
                <w:color w:val="auto"/>
              </w:rPr>
              <w:t>101.DEF† XBRL Taxonomy Extension Definition Linkbase Document</w:t>
            </w:r>
          </w:p>
        </w:tc>
        <w:tc>
          <w:tcPr>
            <w:tcW w:w="640" w:type="dxa"/>
            <w:vAlign w:val="bottom"/>
            <w:tcBorders>
              <w:bottom w:val="single" w:sz="8" w:color="auto"/>
              <w:right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r>
      <w:tr>
        <w:trPr>
          <w:trHeight w:val="210"/>
        </w:trPr>
        <w:tc>
          <w:tcPr>
            <w:tcW w:w="6920" w:type="dxa"/>
            <w:vAlign w:val="bottom"/>
            <w:tcBorders>
              <w:left w:val="single" w:sz="8" w:color="auto"/>
              <w:bottom w:val="single" w:sz="8" w:color="auto"/>
              <w:right w:val="single" w:sz="8" w:color="auto"/>
            </w:tcBorders>
            <w:gridSpan w:val="23"/>
          </w:tcPr>
          <w:p>
            <w:pPr>
              <w:spacing w:after="0"/>
              <w:rPr>
                <w:sz w:val="20"/>
                <w:szCs w:val="20"/>
                <w:color w:val="auto"/>
              </w:rPr>
            </w:pPr>
            <w:r>
              <w:rPr>
                <w:rFonts w:ascii="Arial" w:cs="Arial" w:eastAsia="Arial" w:hAnsi="Arial"/>
                <w:sz w:val="18"/>
                <w:szCs w:val="18"/>
                <w:color w:val="auto"/>
              </w:rPr>
              <w:t>101.LAB†XBRL Taxonomy Extension Label Linkbase Document</w:t>
            </w:r>
          </w:p>
        </w:tc>
        <w:tc>
          <w:tcPr>
            <w:tcW w:w="640" w:type="dxa"/>
            <w:vAlign w:val="bottom"/>
            <w:tcBorders>
              <w:bottom w:val="single" w:sz="8" w:color="auto"/>
              <w:right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r>
      <w:tr>
        <w:trPr>
          <w:trHeight w:val="210"/>
        </w:trPr>
        <w:tc>
          <w:tcPr>
            <w:tcW w:w="6920" w:type="dxa"/>
            <w:vAlign w:val="bottom"/>
            <w:tcBorders>
              <w:left w:val="single" w:sz="8" w:color="auto"/>
              <w:bottom w:val="single" w:sz="8" w:color="auto"/>
              <w:right w:val="single" w:sz="8" w:color="auto"/>
            </w:tcBorders>
            <w:gridSpan w:val="23"/>
          </w:tcPr>
          <w:p>
            <w:pPr>
              <w:spacing w:after="0"/>
              <w:rPr>
                <w:sz w:val="20"/>
                <w:szCs w:val="20"/>
                <w:color w:val="auto"/>
              </w:rPr>
            </w:pPr>
            <w:r>
              <w:rPr>
                <w:rFonts w:ascii="Arial" w:cs="Arial" w:eastAsia="Arial" w:hAnsi="Arial"/>
                <w:sz w:val="18"/>
                <w:szCs w:val="18"/>
                <w:color w:val="auto"/>
              </w:rPr>
              <w:t>101.PRE† XBRL Taxonomy Extension Presentation Linkbase Document</w:t>
            </w:r>
          </w:p>
        </w:tc>
        <w:tc>
          <w:tcPr>
            <w:tcW w:w="640" w:type="dxa"/>
            <w:vAlign w:val="bottom"/>
            <w:tcBorders>
              <w:bottom w:val="single" w:sz="8" w:color="auto"/>
              <w:right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r>
    </w:tbl>
    <w:p>
      <w:pPr>
        <w:spacing w:after="0" w:line="1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1546860</wp:posOffset>
            </wp:positionH>
            <wp:positionV relativeFrom="page">
              <wp:posOffset>226060</wp:posOffset>
            </wp:positionV>
            <wp:extent cx="8890" cy="840422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210">
                      <a:extLst>
                        <a:ext uri="{28A0092B-C50C-407E-A947-70E740481C1C}"/>
                      </a:extLst>
                    </a:blip>
                    <a:srcRect/>
                    <a:stretch>
                      <a:fillRect/>
                    </a:stretch>
                  </pic:blipFill>
                  <pic:spPr bwMode="auto">
                    <a:xfrm>
                      <a:off x="0" y="0"/>
                      <a:ext cx="8890" cy="8404225"/>
                    </a:xfrm>
                    <a:prstGeom prst="rect">
                      <a:avLst/>
                    </a:prstGeom>
                    <a:noFill/>
                  </pic:spPr>
                </pic:pic>
              </a:graphicData>
            </a:graphic>
          </wp:anchor>
        </w:drawing>
      </w:r>
    </w:p>
    <w:p>
      <w:pPr>
        <w:ind w:left="1520" w:hanging="751"/>
        <w:spacing w:after="0"/>
        <w:tabs>
          <w:tab w:leader="none" w:pos="15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20904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211">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3" w:lineRule="exact"/>
        <w:rPr>
          <w:sz w:val="20"/>
          <w:szCs w:val="20"/>
          <w:color w:val="auto"/>
        </w:rPr>
      </w:pPr>
    </w:p>
    <w:p>
      <w:pPr>
        <w:ind w:left="1560" w:hanging="791"/>
        <w:spacing w:after="0"/>
        <w:tabs>
          <w:tab w:leader="none" w:pos="15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Filed or furnished herewith.</w:t>
      </w:r>
    </w:p>
    <w:p>
      <w:pPr>
        <w:spacing w:after="0" w:line="200" w:lineRule="exact"/>
        <w:rPr>
          <w:sz w:val="20"/>
          <w:szCs w:val="20"/>
          <w:color w:val="auto"/>
        </w:rPr>
      </w:pPr>
    </w:p>
    <w:p>
      <w:pPr>
        <w:spacing w:after="0" w:line="33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Form 10-K Summary</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336" w:right="1440" w:bottom="640" w:gutter="0" w:footer="0" w:header="0"/>
        </w:sectPr>
      </w:pPr>
    </w:p>
    <w:bookmarkStart w:id="101" w:name="page102"/>
    <w:bookmarkEnd w:id="101"/>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BURLINGTON STORES, INC.</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Thomas A. Kingsbury</w:t>
            </w:r>
          </w:p>
        </w:tc>
      </w:tr>
      <w:tr>
        <w:trPr>
          <w:trHeight w:val="191"/>
        </w:trPr>
        <w:tc>
          <w:tcPr>
            <w:tcW w:w="460" w:type="dxa"/>
            <w:vAlign w:val="bottom"/>
          </w:tcPr>
          <w:p>
            <w:pPr>
              <w:spacing w:after="0"/>
              <w:rPr>
                <w:sz w:val="16"/>
                <w:szCs w:val="16"/>
                <w:color w:val="auto"/>
              </w:rPr>
            </w:pPr>
          </w:p>
        </w:tc>
        <w:tc>
          <w:tcPr>
            <w:tcW w:w="4120" w:type="dxa"/>
            <w:vAlign w:val="bottom"/>
          </w:tcPr>
          <w:p>
            <w:pPr>
              <w:jc w:val="center"/>
              <w:spacing w:after="0" w:line="191" w:lineRule="exact"/>
              <w:rPr>
                <w:sz w:val="20"/>
                <w:szCs w:val="20"/>
                <w:color w:val="auto"/>
              </w:rPr>
            </w:pPr>
            <w:r>
              <w:rPr>
                <w:rFonts w:ascii="Arial" w:cs="Arial" w:eastAsia="Arial" w:hAnsi="Arial"/>
                <w:sz w:val="18"/>
                <w:szCs w:val="18"/>
                <w:color w:val="auto"/>
                <w:w w:val="92"/>
              </w:rPr>
              <w:t>Thomas A. Kingsbury</w:t>
            </w:r>
          </w:p>
        </w:tc>
      </w:tr>
      <w:tr>
        <w:trPr>
          <w:trHeight w:val="216"/>
        </w:trPr>
        <w:tc>
          <w:tcPr>
            <w:tcW w:w="460" w:type="dxa"/>
            <w:vAlign w:val="bottom"/>
          </w:tcPr>
          <w:p>
            <w:pPr>
              <w:spacing w:after="0"/>
              <w:rPr>
                <w:sz w:val="18"/>
                <w:szCs w:val="18"/>
                <w:color w:val="auto"/>
              </w:rPr>
            </w:pPr>
          </w:p>
        </w:tc>
        <w:tc>
          <w:tcPr>
            <w:tcW w:w="4120" w:type="dxa"/>
            <w:vAlign w:val="bottom"/>
          </w:tcPr>
          <w:p>
            <w:pPr>
              <w:jc w:val="center"/>
              <w:spacing w:after="0"/>
              <w:rPr>
                <w:sz w:val="20"/>
                <w:szCs w:val="20"/>
                <w:color w:val="auto"/>
              </w:rPr>
            </w:pPr>
            <w:r>
              <w:rPr>
                <w:rFonts w:ascii="Arial" w:cs="Arial" w:eastAsia="Arial" w:hAnsi="Arial"/>
                <w:sz w:val="18"/>
                <w:szCs w:val="18"/>
                <w:b w:val="1"/>
                <w:bCs w:val="1"/>
                <w:color w:val="auto"/>
                <w:w w:val="92"/>
              </w:rPr>
              <w:t>Chairman, President and</w:t>
            </w:r>
          </w:p>
        </w:tc>
      </w:tr>
      <w:tr>
        <w:trPr>
          <w:trHeight w:val="234"/>
        </w:trPr>
        <w:tc>
          <w:tcPr>
            <w:tcW w:w="460" w:type="dxa"/>
            <w:vAlign w:val="bottom"/>
          </w:tcPr>
          <w:p>
            <w:pPr>
              <w:spacing w:after="0"/>
              <w:rPr>
                <w:sz w:val="20"/>
                <w:szCs w:val="20"/>
                <w:color w:val="auto"/>
              </w:rPr>
            </w:pPr>
          </w:p>
        </w:tc>
        <w:tc>
          <w:tcPr>
            <w:tcW w:w="4120" w:type="dxa"/>
            <w:vAlign w:val="bottom"/>
          </w:tcPr>
          <w:p>
            <w:pPr>
              <w:jc w:val="center"/>
              <w:spacing w:after="0"/>
              <w:rPr>
                <w:sz w:val="20"/>
                <w:szCs w:val="20"/>
                <w:color w:val="auto"/>
              </w:rPr>
            </w:pPr>
            <w:r>
              <w:rPr>
                <w:rFonts w:ascii="Arial" w:cs="Arial" w:eastAsia="Arial" w:hAnsi="Arial"/>
                <w:sz w:val="18"/>
                <w:szCs w:val="18"/>
                <w:b w:val="1"/>
                <w:bCs w:val="1"/>
                <w:color w:val="auto"/>
                <w:w w:val="91"/>
              </w:rPr>
              <w:t>Chief Executive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March 20, 2018</w:t>
      </w:r>
    </w:p>
    <w:p>
      <w:pPr>
        <w:spacing w:after="0" w:line="225" w:lineRule="exact"/>
        <w:rPr>
          <w:sz w:val="20"/>
          <w:szCs w:val="20"/>
          <w:color w:val="auto"/>
        </w:rPr>
      </w:pPr>
    </w:p>
    <w:p>
      <w:pPr>
        <w:ind w:right="280" w:firstLine="51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on the 20</w:t>
      </w:r>
      <w:r>
        <w:rPr>
          <w:rFonts w:ascii="Arial" w:cs="Arial" w:eastAsia="Arial" w:hAnsi="Arial"/>
          <w:sz w:val="15"/>
          <w:szCs w:val="15"/>
          <w:color w:val="auto"/>
        </w:rPr>
        <w:t>th</w:t>
      </w:r>
      <w:r>
        <w:rPr>
          <w:rFonts w:ascii="Arial" w:cs="Arial" w:eastAsia="Arial" w:hAnsi="Arial"/>
          <w:sz w:val="18"/>
          <w:szCs w:val="18"/>
          <w:color w:val="auto"/>
        </w:rPr>
        <w:t xml:space="preserve"> day of March 2018.</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6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Signature</w:t>
            </w:r>
          </w:p>
        </w:tc>
        <w:tc>
          <w:tcPr>
            <w:tcW w:w="198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Title</w:t>
            </w:r>
          </w:p>
        </w:tc>
        <w:tc>
          <w:tcPr>
            <w:tcW w:w="240" w:type="dxa"/>
            <w:vAlign w:val="bottom"/>
          </w:tcPr>
          <w:p>
            <w:pPr>
              <w:spacing w:after="0"/>
              <w:rPr>
                <w:sz w:val="14"/>
                <w:szCs w:val="14"/>
                <w:color w:val="auto"/>
              </w:rPr>
            </w:pPr>
          </w:p>
        </w:tc>
      </w:tr>
      <w:tr>
        <w:trPr>
          <w:trHeight w:val="331"/>
        </w:trPr>
        <w:tc>
          <w:tcPr>
            <w:tcW w:w="45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Thomas A. Kingsbury</w:t>
            </w:r>
          </w:p>
        </w:tc>
        <w:tc>
          <w:tcPr>
            <w:tcW w:w="3980" w:type="dxa"/>
            <w:vAlign w:val="bottom"/>
            <w:gridSpan w:val="3"/>
          </w:tcPr>
          <w:p>
            <w:pPr>
              <w:ind w:left="220"/>
              <w:spacing w:after="0"/>
              <w:rPr>
                <w:sz w:val="20"/>
                <w:szCs w:val="20"/>
                <w:color w:val="auto"/>
              </w:rPr>
            </w:pPr>
            <w:r>
              <w:rPr>
                <w:rFonts w:ascii="Arial" w:cs="Arial" w:eastAsia="Arial" w:hAnsi="Arial"/>
                <w:sz w:val="18"/>
                <w:szCs w:val="18"/>
                <w:color w:val="auto"/>
                <w:w w:val="96"/>
              </w:rPr>
              <w:t>Chairman, President and Chief Executive Officer</w:t>
            </w:r>
          </w:p>
        </w:tc>
      </w:tr>
      <w:tr>
        <w:trPr>
          <w:trHeight w:val="228"/>
        </w:trPr>
        <w:tc>
          <w:tcPr>
            <w:tcW w:w="4580" w:type="dxa"/>
            <w:vAlign w:val="bottom"/>
            <w:gridSpan w:val="3"/>
          </w:tcPr>
          <w:p>
            <w:pPr>
              <w:spacing w:after="0"/>
              <w:rPr>
                <w:sz w:val="20"/>
                <w:szCs w:val="20"/>
                <w:color w:val="auto"/>
              </w:rPr>
            </w:pPr>
            <w:r>
              <w:rPr>
                <w:rFonts w:ascii="Arial" w:cs="Arial" w:eastAsia="Arial" w:hAnsi="Arial"/>
                <w:sz w:val="18"/>
                <w:szCs w:val="18"/>
                <w:b w:val="1"/>
                <w:bCs w:val="1"/>
                <w:color w:val="auto"/>
              </w:rPr>
              <w:t>Thomas A. Kingsbury</w:t>
            </w:r>
          </w:p>
        </w:tc>
        <w:tc>
          <w:tcPr>
            <w:tcW w:w="3980" w:type="dxa"/>
            <w:vAlign w:val="bottom"/>
            <w:gridSpan w:val="3"/>
          </w:tcPr>
          <w:p>
            <w:pPr>
              <w:ind w:left="220"/>
              <w:spacing w:after="0"/>
              <w:rPr>
                <w:sz w:val="20"/>
                <w:szCs w:val="20"/>
                <w:color w:val="auto"/>
              </w:rPr>
            </w:pPr>
            <w:r>
              <w:rPr>
                <w:rFonts w:ascii="Arial" w:cs="Arial" w:eastAsia="Arial" w:hAnsi="Arial"/>
                <w:sz w:val="18"/>
                <w:szCs w:val="18"/>
                <w:color w:val="auto"/>
              </w:rPr>
              <w:t>(Principal Executive Officer)</w:t>
            </w:r>
          </w:p>
        </w:tc>
      </w:tr>
      <w:tr>
        <w:trPr>
          <w:trHeight w:val="441"/>
        </w:trPr>
        <w:tc>
          <w:tcPr>
            <w:tcW w:w="45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Marc Katz</w:t>
            </w:r>
          </w:p>
        </w:tc>
        <w:tc>
          <w:tcPr>
            <w:tcW w:w="3980" w:type="dxa"/>
            <w:vAlign w:val="bottom"/>
            <w:gridSpan w:val="3"/>
          </w:tcPr>
          <w:p>
            <w:pPr>
              <w:ind w:left="220"/>
              <w:spacing w:after="0"/>
              <w:rPr>
                <w:sz w:val="20"/>
                <w:szCs w:val="20"/>
                <w:color w:val="auto"/>
              </w:rPr>
            </w:pPr>
            <w:r>
              <w:rPr>
                <w:rFonts w:ascii="Arial" w:cs="Arial" w:eastAsia="Arial" w:hAnsi="Arial"/>
                <w:sz w:val="18"/>
                <w:szCs w:val="18"/>
                <w:color w:val="auto"/>
              </w:rPr>
              <w:t>Chief Financial Officer/Principal</w:t>
            </w:r>
          </w:p>
        </w:tc>
      </w:tr>
      <w:tr>
        <w:trPr>
          <w:trHeight w:val="228"/>
        </w:trPr>
        <w:tc>
          <w:tcPr>
            <w:tcW w:w="4580" w:type="dxa"/>
            <w:vAlign w:val="bottom"/>
            <w:gridSpan w:val="3"/>
          </w:tcPr>
          <w:p>
            <w:pPr>
              <w:spacing w:after="0"/>
              <w:rPr>
                <w:sz w:val="20"/>
                <w:szCs w:val="20"/>
                <w:color w:val="auto"/>
              </w:rPr>
            </w:pPr>
            <w:r>
              <w:rPr>
                <w:rFonts w:ascii="Arial" w:cs="Arial" w:eastAsia="Arial" w:hAnsi="Arial"/>
                <w:sz w:val="18"/>
                <w:szCs w:val="18"/>
                <w:b w:val="1"/>
                <w:bCs w:val="1"/>
                <w:color w:val="auto"/>
              </w:rPr>
              <w:t>Marc Katz</w:t>
            </w:r>
          </w:p>
        </w:tc>
        <w:tc>
          <w:tcPr>
            <w:tcW w:w="3980" w:type="dxa"/>
            <w:vAlign w:val="bottom"/>
            <w:gridSpan w:val="3"/>
          </w:tcPr>
          <w:p>
            <w:pPr>
              <w:ind w:left="220"/>
              <w:spacing w:after="0"/>
              <w:rPr>
                <w:sz w:val="20"/>
                <w:szCs w:val="20"/>
                <w:color w:val="auto"/>
              </w:rPr>
            </w:pPr>
            <w:r>
              <w:rPr>
                <w:rFonts w:ascii="Arial" w:cs="Arial" w:eastAsia="Arial" w:hAnsi="Arial"/>
                <w:sz w:val="18"/>
                <w:szCs w:val="18"/>
                <w:color w:val="auto"/>
              </w:rPr>
              <w:t>(Principal Financial Officer)</w:t>
            </w:r>
          </w:p>
        </w:tc>
      </w:tr>
      <w:tr>
        <w:trPr>
          <w:trHeight w:val="441"/>
        </w:trPr>
        <w:tc>
          <w:tcPr>
            <w:tcW w:w="45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John Crimmins</w:t>
            </w:r>
          </w:p>
        </w:tc>
        <w:tc>
          <w:tcPr>
            <w:tcW w:w="3980" w:type="dxa"/>
            <w:vAlign w:val="bottom"/>
            <w:gridSpan w:val="3"/>
          </w:tcPr>
          <w:p>
            <w:pPr>
              <w:ind w:left="220"/>
              <w:spacing w:after="0"/>
              <w:rPr>
                <w:sz w:val="20"/>
                <w:szCs w:val="20"/>
                <w:color w:val="auto"/>
              </w:rPr>
            </w:pPr>
            <w:r>
              <w:rPr>
                <w:rFonts w:ascii="Arial" w:cs="Arial" w:eastAsia="Arial" w:hAnsi="Arial"/>
                <w:sz w:val="18"/>
                <w:szCs w:val="18"/>
                <w:color w:val="auto"/>
                <w:w w:val="91"/>
              </w:rPr>
              <w:t>Senior Vice President and Chief Accounting Officer</w:t>
            </w:r>
          </w:p>
        </w:tc>
      </w:tr>
      <w:tr>
        <w:trPr>
          <w:trHeight w:val="228"/>
        </w:trPr>
        <w:tc>
          <w:tcPr>
            <w:tcW w:w="4580" w:type="dxa"/>
            <w:vAlign w:val="bottom"/>
            <w:gridSpan w:val="3"/>
          </w:tcPr>
          <w:p>
            <w:pPr>
              <w:spacing w:after="0"/>
              <w:rPr>
                <w:sz w:val="20"/>
                <w:szCs w:val="20"/>
                <w:color w:val="auto"/>
              </w:rPr>
            </w:pPr>
            <w:r>
              <w:rPr>
                <w:rFonts w:ascii="Arial" w:cs="Arial" w:eastAsia="Arial" w:hAnsi="Arial"/>
                <w:sz w:val="18"/>
                <w:szCs w:val="18"/>
                <w:b w:val="1"/>
                <w:bCs w:val="1"/>
                <w:color w:val="auto"/>
              </w:rPr>
              <w:t>John Crimmins</w:t>
            </w:r>
          </w:p>
        </w:tc>
        <w:tc>
          <w:tcPr>
            <w:tcW w:w="3980" w:type="dxa"/>
            <w:vAlign w:val="bottom"/>
            <w:gridSpan w:val="3"/>
          </w:tcPr>
          <w:p>
            <w:pPr>
              <w:ind w:left="220"/>
              <w:spacing w:after="0"/>
              <w:rPr>
                <w:sz w:val="20"/>
                <w:szCs w:val="20"/>
                <w:color w:val="auto"/>
              </w:rPr>
            </w:pPr>
            <w:r>
              <w:rPr>
                <w:rFonts w:ascii="Arial" w:cs="Arial" w:eastAsia="Arial" w:hAnsi="Arial"/>
                <w:sz w:val="18"/>
                <w:szCs w:val="18"/>
                <w:color w:val="auto"/>
              </w:rPr>
              <w:t>(Principal Accounting Officer)</w:t>
            </w:r>
          </w:p>
        </w:tc>
      </w:tr>
      <w:tr>
        <w:trPr>
          <w:trHeight w:val="441"/>
        </w:trPr>
        <w:tc>
          <w:tcPr>
            <w:tcW w:w="45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Ted English</w:t>
            </w:r>
          </w:p>
        </w:tc>
        <w:tc>
          <w:tcPr>
            <w:tcW w:w="398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r>
      <w:tr>
        <w:trPr>
          <w:trHeight w:val="228"/>
        </w:trPr>
        <w:tc>
          <w:tcPr>
            <w:tcW w:w="4580" w:type="dxa"/>
            <w:vAlign w:val="bottom"/>
            <w:gridSpan w:val="3"/>
          </w:tcPr>
          <w:p>
            <w:pPr>
              <w:spacing w:after="0"/>
              <w:rPr>
                <w:sz w:val="20"/>
                <w:szCs w:val="20"/>
                <w:color w:val="auto"/>
              </w:rPr>
            </w:pPr>
            <w:r>
              <w:rPr>
                <w:rFonts w:ascii="Arial" w:cs="Arial" w:eastAsia="Arial" w:hAnsi="Arial"/>
                <w:sz w:val="18"/>
                <w:szCs w:val="18"/>
                <w:b w:val="1"/>
                <w:bCs w:val="1"/>
                <w:color w:val="auto"/>
              </w:rPr>
              <w:t>Ted English</w:t>
            </w:r>
          </w:p>
        </w:tc>
        <w:tc>
          <w:tcPr>
            <w:tcW w:w="3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441"/>
        </w:trPr>
        <w:tc>
          <w:tcPr>
            <w:tcW w:w="45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Jordan Hitch</w:t>
            </w:r>
          </w:p>
        </w:tc>
        <w:tc>
          <w:tcPr>
            <w:tcW w:w="398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r>
      <w:tr>
        <w:trPr>
          <w:trHeight w:val="228"/>
        </w:trPr>
        <w:tc>
          <w:tcPr>
            <w:tcW w:w="4580" w:type="dxa"/>
            <w:vAlign w:val="bottom"/>
            <w:gridSpan w:val="3"/>
          </w:tcPr>
          <w:p>
            <w:pPr>
              <w:spacing w:after="0"/>
              <w:rPr>
                <w:sz w:val="20"/>
                <w:szCs w:val="20"/>
                <w:color w:val="auto"/>
              </w:rPr>
            </w:pPr>
            <w:r>
              <w:rPr>
                <w:rFonts w:ascii="Arial" w:cs="Arial" w:eastAsia="Arial" w:hAnsi="Arial"/>
                <w:sz w:val="18"/>
                <w:szCs w:val="18"/>
                <w:b w:val="1"/>
                <w:bCs w:val="1"/>
                <w:color w:val="auto"/>
              </w:rPr>
              <w:t>Jordan Hitch</w:t>
            </w:r>
          </w:p>
        </w:tc>
        <w:tc>
          <w:tcPr>
            <w:tcW w:w="3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441"/>
        </w:trPr>
        <w:tc>
          <w:tcPr>
            <w:tcW w:w="45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John Mahoney</w:t>
            </w:r>
          </w:p>
        </w:tc>
        <w:tc>
          <w:tcPr>
            <w:tcW w:w="398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r>
      <w:tr>
        <w:trPr>
          <w:trHeight w:val="228"/>
        </w:trPr>
        <w:tc>
          <w:tcPr>
            <w:tcW w:w="4580" w:type="dxa"/>
            <w:vAlign w:val="bottom"/>
            <w:gridSpan w:val="3"/>
          </w:tcPr>
          <w:p>
            <w:pPr>
              <w:spacing w:after="0"/>
              <w:rPr>
                <w:sz w:val="20"/>
                <w:szCs w:val="20"/>
                <w:color w:val="auto"/>
              </w:rPr>
            </w:pPr>
            <w:r>
              <w:rPr>
                <w:rFonts w:ascii="Arial" w:cs="Arial" w:eastAsia="Arial" w:hAnsi="Arial"/>
                <w:sz w:val="18"/>
                <w:szCs w:val="18"/>
                <w:b w:val="1"/>
                <w:bCs w:val="1"/>
                <w:color w:val="auto"/>
              </w:rPr>
              <w:t>John Mahoney</w:t>
            </w:r>
          </w:p>
        </w:tc>
        <w:tc>
          <w:tcPr>
            <w:tcW w:w="3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441"/>
        </w:trPr>
        <w:tc>
          <w:tcPr>
            <w:tcW w:w="45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William McNamara</w:t>
            </w:r>
          </w:p>
        </w:tc>
        <w:tc>
          <w:tcPr>
            <w:tcW w:w="398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r>
      <w:tr>
        <w:trPr>
          <w:trHeight w:val="228"/>
        </w:trPr>
        <w:tc>
          <w:tcPr>
            <w:tcW w:w="4580" w:type="dxa"/>
            <w:vAlign w:val="bottom"/>
            <w:gridSpan w:val="3"/>
          </w:tcPr>
          <w:p>
            <w:pPr>
              <w:spacing w:after="0"/>
              <w:rPr>
                <w:sz w:val="20"/>
                <w:szCs w:val="20"/>
                <w:color w:val="auto"/>
              </w:rPr>
            </w:pPr>
            <w:r>
              <w:rPr>
                <w:rFonts w:ascii="Arial" w:cs="Arial" w:eastAsia="Arial" w:hAnsi="Arial"/>
                <w:sz w:val="18"/>
                <w:szCs w:val="18"/>
                <w:b w:val="1"/>
                <w:bCs w:val="1"/>
                <w:color w:val="auto"/>
              </w:rPr>
              <w:t>William McNamara</w:t>
            </w:r>
          </w:p>
        </w:tc>
        <w:tc>
          <w:tcPr>
            <w:tcW w:w="3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441"/>
        </w:trPr>
        <w:tc>
          <w:tcPr>
            <w:tcW w:w="45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Tricia Patrick</w:t>
            </w:r>
          </w:p>
        </w:tc>
        <w:tc>
          <w:tcPr>
            <w:tcW w:w="398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r>
      <w:tr>
        <w:trPr>
          <w:trHeight w:val="228"/>
        </w:trPr>
        <w:tc>
          <w:tcPr>
            <w:tcW w:w="4580" w:type="dxa"/>
            <w:vAlign w:val="bottom"/>
            <w:gridSpan w:val="3"/>
          </w:tcPr>
          <w:p>
            <w:pPr>
              <w:spacing w:after="0"/>
              <w:rPr>
                <w:sz w:val="20"/>
                <w:szCs w:val="20"/>
                <w:color w:val="auto"/>
              </w:rPr>
            </w:pPr>
            <w:r>
              <w:rPr>
                <w:rFonts w:ascii="Arial" w:cs="Arial" w:eastAsia="Arial" w:hAnsi="Arial"/>
                <w:sz w:val="18"/>
                <w:szCs w:val="18"/>
                <w:b w:val="1"/>
                <w:bCs w:val="1"/>
                <w:color w:val="auto"/>
              </w:rPr>
              <w:t>Tricia Patrick</w:t>
            </w:r>
          </w:p>
        </w:tc>
        <w:tc>
          <w:tcPr>
            <w:tcW w:w="3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441"/>
        </w:trPr>
        <w:tc>
          <w:tcPr>
            <w:tcW w:w="45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Paul Sullivan</w:t>
            </w:r>
          </w:p>
        </w:tc>
        <w:tc>
          <w:tcPr>
            <w:tcW w:w="398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r>
      <w:tr>
        <w:trPr>
          <w:trHeight w:val="228"/>
        </w:trPr>
        <w:tc>
          <w:tcPr>
            <w:tcW w:w="4580" w:type="dxa"/>
            <w:vAlign w:val="bottom"/>
            <w:gridSpan w:val="3"/>
          </w:tcPr>
          <w:p>
            <w:pPr>
              <w:spacing w:after="0"/>
              <w:rPr>
                <w:sz w:val="20"/>
                <w:szCs w:val="20"/>
                <w:color w:val="auto"/>
              </w:rPr>
            </w:pPr>
            <w:r>
              <w:rPr>
                <w:rFonts w:ascii="Arial" w:cs="Arial" w:eastAsia="Arial" w:hAnsi="Arial"/>
                <w:sz w:val="18"/>
                <w:szCs w:val="18"/>
                <w:b w:val="1"/>
                <w:bCs w:val="1"/>
                <w:color w:val="auto"/>
              </w:rPr>
              <w:t>Paul Sullivan</w:t>
            </w:r>
          </w:p>
        </w:tc>
        <w:tc>
          <w:tcPr>
            <w:tcW w:w="3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441"/>
        </w:trPr>
        <w:tc>
          <w:tcPr>
            <w:tcW w:w="45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Mary Ann Tocio</w:t>
            </w:r>
          </w:p>
        </w:tc>
        <w:tc>
          <w:tcPr>
            <w:tcW w:w="398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r>
      <w:tr>
        <w:trPr>
          <w:trHeight w:val="228"/>
        </w:trPr>
        <w:tc>
          <w:tcPr>
            <w:tcW w:w="4580" w:type="dxa"/>
            <w:vAlign w:val="bottom"/>
            <w:gridSpan w:val="3"/>
          </w:tcPr>
          <w:p>
            <w:pPr>
              <w:spacing w:after="0"/>
              <w:rPr>
                <w:sz w:val="20"/>
                <w:szCs w:val="20"/>
                <w:color w:val="auto"/>
              </w:rPr>
            </w:pPr>
            <w:r>
              <w:rPr>
                <w:rFonts w:ascii="Arial" w:cs="Arial" w:eastAsia="Arial" w:hAnsi="Arial"/>
                <w:sz w:val="18"/>
                <w:szCs w:val="18"/>
                <w:b w:val="1"/>
                <w:bCs w:val="1"/>
                <w:color w:val="auto"/>
              </w:rPr>
              <w:t>Mary Ann Tocio</w:t>
            </w:r>
          </w:p>
        </w:tc>
        <w:tc>
          <w:tcPr>
            <w:tcW w:w="3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300"/>
          </w:cols>
          <w:pgMar w:left="240" w:top="337" w:right="359" w:bottom="1440" w:gutter="0" w:footer="0" w:header="0"/>
        </w:sectPr>
      </w:pPr>
    </w:p>
    <w:bookmarkStart w:id="102" w:name="page103"/>
    <w:bookmarkEnd w:id="102"/>
    <w:p>
      <w:pPr>
        <w:jc w:val="right"/>
        <w:spacing w:after="0"/>
        <w:rPr>
          <w:sz w:val="20"/>
          <w:szCs w:val="20"/>
          <w:color w:val="auto"/>
        </w:rPr>
      </w:pPr>
      <w:r>
        <w:rPr>
          <w:rFonts w:ascii="Arial" w:cs="Arial" w:eastAsia="Arial" w:hAnsi="Arial"/>
          <w:sz w:val="22"/>
          <w:szCs w:val="22"/>
          <w:b w:val="1"/>
          <w:bCs w:val="1"/>
          <w:color w:val="auto"/>
        </w:rPr>
        <w:t>Exhibit 10.52</w:t>
      </w:r>
    </w:p>
    <w:p>
      <w:pPr>
        <w:spacing w:after="0" w:line="28" w:lineRule="exact"/>
        <w:rPr>
          <w:sz w:val="20"/>
          <w:szCs w:val="20"/>
          <w:color w:val="auto"/>
        </w:rPr>
      </w:pPr>
    </w:p>
    <w:p>
      <w:pPr>
        <w:jc w:val="center"/>
        <w:ind w:left="300" w:right="2800"/>
        <w:spacing w:after="0" w:line="234" w:lineRule="auto"/>
        <w:rPr>
          <w:sz w:val="20"/>
          <w:szCs w:val="20"/>
          <w:color w:val="auto"/>
        </w:rPr>
      </w:pPr>
      <w:r>
        <w:rPr>
          <w:rFonts w:ascii="Arial" w:cs="Arial" w:eastAsia="Arial" w:hAnsi="Arial"/>
          <w:sz w:val="22"/>
          <w:szCs w:val="22"/>
          <w:b w:val="1"/>
          <w:bCs w:val="1"/>
          <w:color w:val="auto"/>
        </w:rPr>
        <w:t>RESTRICTED STOCK GRANT AGREEMENT PURSUANT TO BURLINGTON STORES, INC. 2013 OMNIBUS INCENTIVE PLAN</w:t>
      </w:r>
    </w:p>
    <w:p>
      <w:pPr>
        <w:spacing w:after="0" w:line="160" w:lineRule="exact"/>
        <w:rPr>
          <w:sz w:val="20"/>
          <w:szCs w:val="20"/>
          <w:color w:val="auto"/>
        </w:rPr>
      </w:pPr>
    </w:p>
    <w:p>
      <w:pPr>
        <w:ind w:left="860"/>
        <w:spacing w:after="0"/>
        <w:rPr>
          <w:sz w:val="20"/>
          <w:szCs w:val="20"/>
          <w:color w:val="auto"/>
        </w:rPr>
      </w:pPr>
      <w:r>
        <w:rPr>
          <w:rFonts w:ascii="Arial" w:cs="Arial" w:eastAsia="Arial" w:hAnsi="Arial"/>
          <w:sz w:val="19"/>
          <w:szCs w:val="19"/>
          <w:color w:val="auto"/>
        </w:rPr>
        <w:t>THIS AWARD AGREEMENT (the “Award Agreement”) is entered into as of _________________between Burlington</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Stores,  Inc.  (formerly  Burlington  Holdings,  Inc.),  a  Delaware  corporation  (the  “Company”),  and  _____________  (the</w:t>
      </w:r>
    </w:p>
    <w:p>
      <w:pPr>
        <w:spacing w:after="0" w:line="25" w:lineRule="exact"/>
        <w:rPr>
          <w:sz w:val="20"/>
          <w:szCs w:val="20"/>
          <w:color w:val="auto"/>
        </w:rPr>
      </w:pPr>
    </w:p>
    <w:p>
      <w:pPr>
        <w:spacing w:after="0" w:line="237" w:lineRule="auto"/>
        <w:rPr>
          <w:sz w:val="20"/>
          <w:szCs w:val="20"/>
          <w:color w:val="auto"/>
        </w:rPr>
      </w:pPr>
      <w:r>
        <w:rPr>
          <w:rFonts w:ascii="Arial" w:cs="Arial" w:eastAsia="Arial" w:hAnsi="Arial"/>
          <w:sz w:val="22"/>
          <w:szCs w:val="22"/>
          <w:color w:val="auto"/>
        </w:rPr>
        <w:t>“Participant”). Capitalized terms not otherwise defined herein shall have the meaning set forth in the Burlington Stores, Inc. 2013 Omnibus Incentive Plan (the “Plan”).</w:t>
      </w:r>
    </w:p>
    <w:p>
      <w:pPr>
        <w:spacing w:after="0" w:line="200" w:lineRule="exact"/>
        <w:rPr>
          <w:sz w:val="20"/>
          <w:szCs w:val="20"/>
          <w:color w:val="auto"/>
        </w:rPr>
      </w:pPr>
    </w:p>
    <w:p>
      <w:pPr>
        <w:spacing w:after="0" w:line="201" w:lineRule="exact"/>
        <w:rPr>
          <w:sz w:val="20"/>
          <w:szCs w:val="20"/>
          <w:color w:val="auto"/>
        </w:rPr>
      </w:pPr>
    </w:p>
    <w:p>
      <w:pPr>
        <w:ind w:left="5380"/>
        <w:spacing w:after="0"/>
        <w:rPr>
          <w:sz w:val="20"/>
          <w:szCs w:val="20"/>
          <w:color w:val="auto"/>
        </w:rPr>
      </w:pPr>
      <w:r>
        <w:rPr>
          <w:rFonts w:ascii="Arial" w:cs="Arial" w:eastAsia="Arial" w:hAnsi="Arial"/>
          <w:sz w:val="22"/>
          <w:szCs w:val="22"/>
          <w:u w:val="single" w:color="auto"/>
          <w:color w:val="auto"/>
        </w:rPr>
        <w:t>Recitals</w:t>
      </w:r>
    </w:p>
    <w:p>
      <w:pPr>
        <w:spacing w:after="0" w:line="206" w:lineRule="exact"/>
        <w:rPr>
          <w:sz w:val="20"/>
          <w:szCs w:val="20"/>
          <w:color w:val="auto"/>
        </w:rPr>
      </w:pPr>
    </w:p>
    <w:p>
      <w:pPr>
        <w:ind w:left="1000"/>
        <w:spacing w:after="0"/>
        <w:rPr>
          <w:sz w:val="20"/>
          <w:szCs w:val="20"/>
          <w:color w:val="auto"/>
        </w:rPr>
      </w:pPr>
      <w:r>
        <w:rPr>
          <w:rFonts w:ascii="Arial" w:cs="Arial" w:eastAsia="Arial" w:hAnsi="Arial"/>
          <w:sz w:val="22"/>
          <w:szCs w:val="22"/>
          <w:color w:val="auto"/>
        </w:rPr>
        <w:t>WHEREAS, the Participant is a director of Burlington Stores, Inc.;</w:t>
      </w:r>
    </w:p>
    <w:p>
      <w:pPr>
        <w:spacing w:after="0" w:line="206" w:lineRule="exact"/>
        <w:rPr>
          <w:sz w:val="20"/>
          <w:szCs w:val="20"/>
          <w:color w:val="auto"/>
        </w:rPr>
      </w:pPr>
    </w:p>
    <w:p>
      <w:pPr>
        <w:ind w:left="160" w:right="80" w:firstLine="840"/>
        <w:spacing w:after="0" w:line="251" w:lineRule="auto"/>
        <w:rPr>
          <w:sz w:val="20"/>
          <w:szCs w:val="20"/>
          <w:color w:val="auto"/>
        </w:rPr>
      </w:pPr>
      <w:r>
        <w:rPr>
          <w:rFonts w:ascii="Arial" w:cs="Arial" w:eastAsia="Arial" w:hAnsi="Arial"/>
          <w:sz w:val="22"/>
          <w:szCs w:val="22"/>
          <w:color w:val="auto"/>
        </w:rPr>
        <w:t>WHEREAS, the Company has adopted the Plan providing for the grant under certain circumstances of certain equity incentive awards, including shares of Restricted Stock;</w:t>
      </w:r>
    </w:p>
    <w:p>
      <w:pPr>
        <w:spacing w:after="0" w:line="173" w:lineRule="exact"/>
        <w:rPr>
          <w:sz w:val="20"/>
          <w:szCs w:val="20"/>
          <w:color w:val="auto"/>
        </w:rPr>
      </w:pPr>
    </w:p>
    <w:p>
      <w:pPr>
        <w:jc w:val="both"/>
        <w:ind w:left="160" w:right="60" w:firstLine="842"/>
        <w:spacing w:after="0" w:line="251" w:lineRule="auto"/>
        <w:rPr>
          <w:sz w:val="20"/>
          <w:szCs w:val="20"/>
          <w:color w:val="auto"/>
        </w:rPr>
      </w:pPr>
      <w:r>
        <w:rPr>
          <w:rFonts w:ascii="Arial" w:cs="Arial" w:eastAsia="Arial" w:hAnsi="Arial"/>
          <w:sz w:val="22"/>
          <w:szCs w:val="22"/>
          <w:color w:val="auto"/>
        </w:rPr>
        <w:t>WHEREAS, the Company, under the terms and conditions set forth below, desires to grant Participant an Award of Restricted Stock (the “Award”) pursuant to the terms set forth in the Plan; and</w:t>
      </w:r>
    </w:p>
    <w:p>
      <w:pPr>
        <w:spacing w:after="0" w:line="173" w:lineRule="exact"/>
        <w:rPr>
          <w:sz w:val="20"/>
          <w:szCs w:val="20"/>
          <w:color w:val="auto"/>
        </w:rPr>
      </w:pPr>
    </w:p>
    <w:p>
      <w:pPr>
        <w:jc w:val="both"/>
        <w:ind w:left="160" w:right="60" w:firstLine="842"/>
        <w:spacing w:after="0"/>
        <w:rPr>
          <w:sz w:val="20"/>
          <w:szCs w:val="20"/>
          <w:color w:val="auto"/>
        </w:rPr>
      </w:pPr>
      <w:r>
        <w:rPr>
          <w:rFonts w:ascii="Arial" w:cs="Arial" w:eastAsia="Arial" w:hAnsi="Arial"/>
          <w:sz w:val="22"/>
          <w:szCs w:val="22"/>
          <w:color w:val="auto"/>
        </w:rPr>
        <w:t>WHEREAS, in consideration of the grant of the Award and other benefits, the Participant is willing to accept the Award provided for in this Award Agreement and is willing to abide by the obligations imposed on him under this Award Agreement and the Plan.</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22"/>
          <w:szCs w:val="22"/>
          <w:u w:val="single" w:color="auto"/>
          <w:color w:val="auto"/>
        </w:rPr>
        <w:t>Provisions</w:t>
      </w:r>
    </w:p>
    <w:p>
      <w:pPr>
        <w:spacing w:after="0" w:line="166" w:lineRule="exact"/>
        <w:rPr>
          <w:sz w:val="20"/>
          <w:szCs w:val="20"/>
          <w:color w:val="auto"/>
        </w:rPr>
      </w:pPr>
    </w:p>
    <w:p>
      <w:pPr>
        <w:jc w:val="both"/>
        <w:ind w:left="160" w:right="60" w:firstLine="842"/>
        <w:spacing w:after="0"/>
        <w:rPr>
          <w:sz w:val="20"/>
          <w:szCs w:val="20"/>
          <w:color w:val="auto"/>
        </w:rPr>
      </w:pPr>
      <w:r>
        <w:rPr>
          <w:rFonts w:ascii="Arial" w:cs="Arial" w:eastAsia="Arial" w:hAnsi="Arial"/>
          <w:sz w:val="22"/>
          <w:szCs w:val="22"/>
          <w:color w:val="auto"/>
        </w:rPr>
        <w:t>NOW, THEREFORE, in consideration of the mutual benefits hereinafter provided, and other good and valuable consideration, the receipt and sufficiency of which are hereby acknowledged by the parties, the Company and the Participant, intending to be legally bound, hereby agree as follows:</w:t>
      </w:r>
    </w:p>
    <w:p>
      <w:pPr>
        <w:spacing w:after="0" w:line="186" w:lineRule="exact"/>
        <w:rPr>
          <w:sz w:val="20"/>
          <w:szCs w:val="20"/>
          <w:color w:val="auto"/>
        </w:rPr>
      </w:pPr>
    </w:p>
    <w:p>
      <w:pPr>
        <w:jc w:val="both"/>
        <w:ind w:left="100" w:right="100" w:firstLine="842"/>
        <w:spacing w:after="0" w:line="250" w:lineRule="auto"/>
        <w:rPr>
          <w:sz w:val="20"/>
          <w:szCs w:val="20"/>
          <w:color w:val="auto"/>
        </w:rPr>
      </w:pPr>
      <w:r>
        <w:rPr>
          <w:rFonts w:ascii="Arial" w:cs="Arial" w:eastAsia="Arial" w:hAnsi="Arial"/>
          <w:sz w:val="21"/>
          <w:szCs w:val="21"/>
          <w:color w:val="010000"/>
        </w:rPr>
        <w:t xml:space="preserve">1. </w:t>
      </w:r>
      <w:r>
        <w:rPr>
          <w:rFonts w:ascii="Arial" w:cs="Arial" w:eastAsia="Arial" w:hAnsi="Arial"/>
          <w:sz w:val="21"/>
          <w:szCs w:val="21"/>
          <w:u w:val="single" w:color="auto"/>
          <w:color w:val="000000"/>
        </w:rPr>
        <w:t>Restricted Stock Award</w:t>
      </w:r>
      <w:r>
        <w:rPr>
          <w:rFonts w:ascii="Arial" w:cs="Arial" w:eastAsia="Arial" w:hAnsi="Arial"/>
          <w:sz w:val="21"/>
          <w:szCs w:val="21"/>
          <w:color w:val="000000"/>
        </w:rPr>
        <w:t>. The Company hereby grants to the Participant, subject to the terms and</w:t>
      </w:r>
      <w:r>
        <w:rPr>
          <w:rFonts w:ascii="Arial" w:cs="Arial" w:eastAsia="Arial" w:hAnsi="Arial"/>
          <w:sz w:val="21"/>
          <w:szCs w:val="21"/>
          <w:color w:val="010000"/>
        </w:rPr>
        <w:t xml:space="preserve"> </w:t>
      </w:r>
      <w:r>
        <w:rPr>
          <w:rFonts w:ascii="Arial" w:cs="Arial" w:eastAsia="Arial" w:hAnsi="Arial"/>
          <w:sz w:val="21"/>
          <w:szCs w:val="21"/>
          <w:color w:val="000000"/>
        </w:rPr>
        <w:t>conditions set forth or incorporated herein, an Award consisting of a total of ____________ shares of Common Stock, subject</w:t>
      </w:r>
    </w:p>
    <w:p>
      <w:pPr>
        <w:spacing w:after="0" w:line="1" w:lineRule="exact"/>
        <w:rPr>
          <w:sz w:val="20"/>
          <w:szCs w:val="20"/>
          <w:color w:val="auto"/>
        </w:rPr>
      </w:pPr>
    </w:p>
    <w:p>
      <w:pPr>
        <w:jc w:val="both"/>
        <w:ind w:left="100" w:right="100"/>
        <w:spacing w:after="0" w:line="234" w:lineRule="auto"/>
        <w:rPr>
          <w:sz w:val="20"/>
          <w:szCs w:val="20"/>
          <w:color w:val="auto"/>
        </w:rPr>
      </w:pPr>
      <w:r>
        <w:rPr>
          <w:rFonts w:ascii="Arial" w:cs="Arial" w:eastAsia="Arial" w:hAnsi="Arial"/>
          <w:sz w:val="22"/>
          <w:szCs w:val="22"/>
          <w:color w:val="auto"/>
        </w:rPr>
        <w:t>to adjustment under the Plan (the “Shares”). Upon the execution and delivery of this Award Agreement, the Company will, subject to Section 5 below, issue to the Participant the Shares granted hereunder, and such Shares shall constitute Restricted Stock pursuant to the Plan.</w:t>
      </w:r>
    </w:p>
    <w:p>
      <w:pPr>
        <w:spacing w:after="0" w:line="160" w:lineRule="exact"/>
        <w:rPr>
          <w:sz w:val="20"/>
          <w:szCs w:val="20"/>
          <w:color w:val="auto"/>
        </w:rPr>
      </w:pPr>
    </w:p>
    <w:p>
      <w:pPr>
        <w:jc w:val="both"/>
        <w:ind w:left="160" w:right="60" w:firstLine="832"/>
        <w:spacing w:after="0" w:line="236" w:lineRule="auto"/>
        <w:tabs>
          <w:tab w:leader="none" w:pos="1961" w:val="left"/>
        </w:tabs>
        <w:numPr>
          <w:ilvl w:val="0"/>
          <w:numId w:val="47"/>
        </w:numPr>
        <w:rPr>
          <w:rFonts w:ascii="Arial" w:cs="Arial" w:eastAsia="Arial" w:hAnsi="Arial"/>
          <w:sz w:val="22"/>
          <w:szCs w:val="22"/>
          <w:color w:val="010000"/>
        </w:rPr>
      </w:pPr>
      <w:r>
        <w:rPr>
          <w:rFonts w:ascii="Arial" w:cs="Arial" w:eastAsia="Arial" w:hAnsi="Arial"/>
          <w:sz w:val="22"/>
          <w:szCs w:val="22"/>
          <w:u w:val="single" w:color="auto"/>
          <w:color w:val="auto"/>
        </w:rPr>
        <w:t>Effect of the Plan</w:t>
      </w:r>
      <w:r>
        <w:rPr>
          <w:rFonts w:ascii="Arial" w:cs="Arial" w:eastAsia="Arial" w:hAnsi="Arial"/>
          <w:sz w:val="22"/>
          <w:szCs w:val="22"/>
          <w:color w:val="auto"/>
        </w:rPr>
        <w:t>. The Award granted under this Award Agreement is subject to all of the terms and conditions of the Plan, which are incorporated by reference and made a part of this Award Agreement. The Participant will abide by, and the Award granted to the Participant will be subject to, all of the provisions of the Plan and of this Award Agreement, together with all rules and determinations from time to time issued by the Committee established to administer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334645</wp:posOffset>
            </wp:positionV>
            <wp:extent cx="728916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774" w:right="239" w:bottom="1440" w:gutter="0" w:footer="0" w:header="0"/>
        </w:sectPr>
      </w:pPr>
    </w:p>
    <w:bookmarkStart w:id="103" w:name="page104"/>
    <w:bookmarkEnd w:id="103"/>
    <w:p>
      <w:pPr>
        <w:ind w:left="808" w:hanging="808"/>
        <w:spacing w:after="0"/>
        <w:tabs>
          <w:tab w:leader="none" w:pos="808" w:val="left"/>
        </w:tabs>
        <w:numPr>
          <w:ilvl w:val="0"/>
          <w:numId w:val="48"/>
        </w:numPr>
        <w:rPr>
          <w:rFonts w:ascii="Arial" w:cs="Arial" w:eastAsia="Arial" w:hAnsi="Arial"/>
          <w:sz w:val="22"/>
          <w:szCs w:val="22"/>
          <w:color w:val="auto"/>
        </w:rPr>
      </w:pPr>
      <w:r>
        <w:rPr>
          <w:rFonts w:ascii="Arial" w:cs="Arial" w:eastAsia="Arial" w:hAnsi="Arial"/>
          <w:sz w:val="22"/>
          <w:szCs w:val="22"/>
          <w:u w:val="single" w:color="auto"/>
          <w:color w:val="auto"/>
        </w:rPr>
        <w:t>Restriction Period</w:t>
      </w:r>
      <w:r>
        <w:rPr>
          <w:rFonts w:ascii="Arial" w:cs="Arial" w:eastAsia="Arial" w:hAnsi="Arial"/>
          <w:sz w:val="22"/>
          <w:szCs w:val="22"/>
          <w:color w:val="auto"/>
        </w:rPr>
        <w:t>. The restriction period applicable to the Award granted hereunder is as follows:</w:t>
      </w:r>
    </w:p>
    <w:p>
      <w:pPr>
        <w:spacing w:after="0" w:line="260" w:lineRule="exact"/>
        <w:rPr>
          <w:rFonts w:ascii="Arial" w:cs="Arial" w:eastAsia="Arial" w:hAnsi="Arial"/>
          <w:sz w:val="22"/>
          <w:szCs w:val="22"/>
          <w:color w:val="auto"/>
        </w:rPr>
      </w:pPr>
    </w:p>
    <w:p>
      <w:pPr>
        <w:jc w:val="both"/>
        <w:ind w:left="808" w:right="20" w:hanging="698"/>
        <w:spacing w:after="0" w:line="246" w:lineRule="auto"/>
        <w:tabs>
          <w:tab w:leader="none" w:pos="808" w:val="left"/>
        </w:tabs>
        <w:numPr>
          <w:ilvl w:val="1"/>
          <w:numId w:val="48"/>
        </w:numPr>
        <w:rPr>
          <w:rFonts w:ascii="Arial" w:cs="Arial" w:eastAsia="Arial" w:hAnsi="Arial"/>
          <w:sz w:val="21"/>
          <w:szCs w:val="21"/>
          <w:color w:val="auto"/>
        </w:rPr>
      </w:pPr>
      <w:r>
        <w:rPr>
          <w:rFonts w:ascii="Arial" w:cs="Arial" w:eastAsia="Arial" w:hAnsi="Arial"/>
          <w:sz w:val="21"/>
          <w:szCs w:val="21"/>
          <w:color w:val="auto"/>
        </w:rPr>
        <w:t>All Shares shall be unvested at issuance. Subject to Section 3(b) below, 100% of the Shares shall vest on the first anniversary date of this Award Agreement (or the following business day if such date is not a business day) (the “Vesting Date”) if the Participant has remained on the Board through the Vesting Date; provided, however, if the Participant continues to serve on the Board through the next regularly scheduled annual meeting of the Company’s stockholders which precedes the Vesting Date and elects not to stand for re-election to the Board at such meeting, then the Shares subject to the Award shall vest in full on the date of such annual meeting. The period prior to the vesting of the Shares under this Section 3(a) shall be referred to as the “Restricted Period.”</w:t>
      </w:r>
    </w:p>
    <w:p>
      <w:pPr>
        <w:spacing w:after="0" w:line="207" w:lineRule="exact"/>
        <w:rPr>
          <w:rFonts w:ascii="Arial" w:cs="Arial" w:eastAsia="Arial" w:hAnsi="Arial"/>
          <w:sz w:val="21"/>
          <w:szCs w:val="21"/>
          <w:color w:val="auto"/>
        </w:rPr>
      </w:pPr>
    </w:p>
    <w:p>
      <w:pPr>
        <w:jc w:val="both"/>
        <w:ind w:left="868" w:hanging="711"/>
        <w:spacing w:after="0" w:line="238" w:lineRule="auto"/>
        <w:tabs>
          <w:tab w:leader="none" w:pos="861" w:val="left"/>
        </w:tabs>
        <w:numPr>
          <w:ilvl w:val="2"/>
          <w:numId w:val="48"/>
        </w:numPr>
        <w:rPr>
          <w:rFonts w:ascii="Arial" w:cs="Arial" w:eastAsia="Arial" w:hAnsi="Arial"/>
          <w:sz w:val="22"/>
          <w:szCs w:val="22"/>
          <w:color w:val="010000"/>
        </w:rPr>
      </w:pPr>
      <w:r>
        <w:rPr>
          <w:rFonts w:ascii="Arial" w:cs="Arial" w:eastAsia="Arial" w:hAnsi="Arial"/>
          <w:sz w:val="22"/>
          <w:szCs w:val="22"/>
          <w:color w:val="auto"/>
        </w:rPr>
        <w:t>Following a Change in Control, vesting of unvested Shares shall not accelerate by reason of such Change in Control; provided, however, that 100% of the Shares shall vest if, following a Change in Control and during the Restricted Period, the Participant ceases to serve as a director other than as a result of the Participant’s voluntary resignation.</w:t>
      </w:r>
    </w:p>
    <w:p>
      <w:pPr>
        <w:spacing w:after="0" w:line="185" w:lineRule="exact"/>
        <w:rPr>
          <w:rFonts w:ascii="Arial" w:cs="Arial" w:eastAsia="Arial" w:hAnsi="Arial"/>
          <w:sz w:val="22"/>
          <w:szCs w:val="22"/>
          <w:color w:val="010000"/>
        </w:rPr>
      </w:pPr>
    </w:p>
    <w:p>
      <w:pPr>
        <w:ind w:left="868" w:right="20" w:hanging="711"/>
        <w:spacing w:after="0"/>
        <w:tabs>
          <w:tab w:leader="none" w:pos="657" w:val="left"/>
        </w:tabs>
        <w:numPr>
          <w:ilvl w:val="2"/>
          <w:numId w:val="48"/>
        </w:numPr>
        <w:rPr>
          <w:rFonts w:ascii="Arial" w:cs="Arial" w:eastAsia="Arial" w:hAnsi="Arial"/>
          <w:sz w:val="22"/>
          <w:szCs w:val="22"/>
          <w:color w:val="010000"/>
        </w:rPr>
      </w:pPr>
      <w:r>
        <w:rPr>
          <w:rFonts w:ascii="Arial" w:cs="Arial" w:eastAsia="Arial" w:hAnsi="Arial"/>
          <w:sz w:val="22"/>
          <w:szCs w:val="22"/>
          <w:color w:val="auto"/>
        </w:rPr>
        <w:t>All unvested Shares shall automatically be forfeited (and shall not vest) if the Participant ceases to be a member of the Board for any reason during the Restricted Period (other than as provided in Sections 3(a) and 3(b) above.</w:t>
      </w:r>
    </w:p>
    <w:p>
      <w:pPr>
        <w:spacing w:after="0" w:line="186" w:lineRule="exact"/>
        <w:rPr>
          <w:rFonts w:ascii="Arial" w:cs="Arial" w:eastAsia="Arial" w:hAnsi="Arial"/>
          <w:sz w:val="22"/>
          <w:szCs w:val="22"/>
          <w:color w:val="010000"/>
        </w:rPr>
      </w:pPr>
    </w:p>
    <w:p>
      <w:pPr>
        <w:jc w:val="both"/>
        <w:ind w:left="868" w:hanging="711"/>
        <w:spacing w:after="0"/>
        <w:tabs>
          <w:tab w:leader="none" w:pos="850" w:val="left"/>
        </w:tabs>
        <w:numPr>
          <w:ilvl w:val="2"/>
          <w:numId w:val="48"/>
        </w:numPr>
        <w:rPr>
          <w:rFonts w:ascii="Arial" w:cs="Arial" w:eastAsia="Arial" w:hAnsi="Arial"/>
          <w:sz w:val="22"/>
          <w:szCs w:val="22"/>
          <w:color w:val="010000"/>
        </w:rPr>
      </w:pPr>
      <w:r>
        <w:rPr>
          <w:rFonts w:ascii="Arial" w:cs="Arial" w:eastAsia="Arial" w:hAnsi="Arial"/>
          <w:sz w:val="22"/>
          <w:szCs w:val="22"/>
          <w:color w:val="auto"/>
        </w:rPr>
        <w:t>Participant shall be entitled to receipt of all dividends paid by the Company on its Shares, as and when such dividends are declared and paid to holders of Shares; provided, any dividends on unvested Shares shall be held and paid to Participant on the date such Shares become vested.</w:t>
      </w:r>
    </w:p>
    <w:p>
      <w:pPr>
        <w:spacing w:after="0" w:line="186" w:lineRule="exact"/>
        <w:rPr>
          <w:rFonts w:ascii="Arial" w:cs="Arial" w:eastAsia="Arial" w:hAnsi="Arial"/>
          <w:sz w:val="22"/>
          <w:szCs w:val="22"/>
          <w:color w:val="010000"/>
        </w:rPr>
      </w:pPr>
    </w:p>
    <w:p>
      <w:pPr>
        <w:jc w:val="both"/>
        <w:ind w:left="-832" w:right="20" w:firstLine="832"/>
        <w:spacing w:after="0"/>
        <w:tabs>
          <w:tab w:leader="none" w:pos="955" w:val="left"/>
        </w:tabs>
        <w:numPr>
          <w:ilvl w:val="0"/>
          <w:numId w:val="48"/>
        </w:numPr>
        <w:rPr>
          <w:rFonts w:ascii="Arial" w:cs="Arial" w:eastAsia="Arial" w:hAnsi="Arial"/>
          <w:sz w:val="22"/>
          <w:szCs w:val="22"/>
          <w:color w:val="010000"/>
        </w:rPr>
      </w:pPr>
      <w:r>
        <w:rPr>
          <w:rFonts w:ascii="Arial" w:cs="Arial" w:eastAsia="Arial" w:hAnsi="Arial"/>
          <w:sz w:val="22"/>
          <w:szCs w:val="22"/>
          <w:u w:val="single" w:color="auto"/>
          <w:color w:val="auto"/>
        </w:rPr>
        <w:t>Withholding Taxes</w:t>
      </w:r>
      <w:r>
        <w:rPr>
          <w:rFonts w:ascii="Arial" w:cs="Arial" w:eastAsia="Arial" w:hAnsi="Arial"/>
          <w:sz w:val="22"/>
          <w:szCs w:val="22"/>
          <w:color w:val="auto"/>
        </w:rPr>
        <w:t>. The Committee may make such provision for any applicable federal, state, or local withholding obligations of the Company required by law pursuant to Section 14.4 of the Plan. Participant shall remain responsible for the payment of any remaining taxes payable on account of the vesting of Shares.</w:t>
      </w:r>
    </w:p>
    <w:p>
      <w:pPr>
        <w:spacing w:after="0" w:line="159" w:lineRule="exact"/>
        <w:rPr>
          <w:rFonts w:ascii="Arial" w:cs="Arial" w:eastAsia="Arial" w:hAnsi="Arial"/>
          <w:sz w:val="22"/>
          <w:szCs w:val="22"/>
          <w:color w:val="010000"/>
        </w:rPr>
      </w:pPr>
    </w:p>
    <w:p>
      <w:pPr>
        <w:jc w:val="both"/>
        <w:ind w:left="-832" w:right="20" w:firstLine="832"/>
        <w:spacing w:after="0" w:line="277" w:lineRule="auto"/>
        <w:tabs>
          <w:tab w:leader="none" w:pos="725" w:val="left"/>
        </w:tabs>
        <w:numPr>
          <w:ilvl w:val="0"/>
          <w:numId w:val="48"/>
        </w:numPr>
        <w:rPr>
          <w:rFonts w:ascii="Arial" w:cs="Arial" w:eastAsia="Arial" w:hAnsi="Arial"/>
          <w:sz w:val="19"/>
          <w:szCs w:val="19"/>
          <w:color w:val="010000"/>
        </w:rPr>
      </w:pPr>
      <w:r>
        <w:rPr>
          <w:rFonts w:ascii="Arial" w:cs="Arial" w:eastAsia="Arial" w:hAnsi="Arial"/>
          <w:sz w:val="19"/>
          <w:szCs w:val="19"/>
          <w:u w:val="single" w:color="auto"/>
          <w:color w:val="auto"/>
        </w:rPr>
        <w:t>Delivery of Stock</w:t>
      </w:r>
      <w:r>
        <w:rPr>
          <w:rFonts w:ascii="Arial" w:cs="Arial" w:eastAsia="Arial" w:hAnsi="Arial"/>
          <w:sz w:val="19"/>
          <w:szCs w:val="19"/>
          <w:color w:val="auto"/>
        </w:rPr>
        <w:t>. Shares granted pursuant to this Award Agreement may be held in escrow by the Company on the Participant’s behalf during any period of restriction thereon, and in such circumstance, will bear an appropriate legend specifying the applicable restrictions thereon. Alternatively, at the Company’s discretion, shares may be held by the Company or its transfer agent on the Participant’s behalf in book entry form. Whenever Shares subject to the Award are released from restriction, the Company shall issue such unrestricted Shares. The Company shall follow all requisite procedures to deliver such Shares to Participant; provided, however, that such delivery may be postponed to enable the Company to comply with applicable procedures, regulations or listing requirements of any governmental agency, stock exchange or regulatory agency.</w:t>
      </w:r>
    </w:p>
    <w:p>
      <w:pPr>
        <w:spacing w:after="0" w:line="152" w:lineRule="exact"/>
        <w:rPr>
          <w:rFonts w:ascii="Arial" w:cs="Arial" w:eastAsia="Arial" w:hAnsi="Arial"/>
          <w:sz w:val="19"/>
          <w:szCs w:val="19"/>
          <w:color w:val="010000"/>
        </w:rPr>
      </w:pPr>
    </w:p>
    <w:p>
      <w:pPr>
        <w:ind w:left="-832" w:right="20" w:firstLine="832"/>
        <w:spacing w:after="0" w:line="251" w:lineRule="auto"/>
        <w:tabs>
          <w:tab w:leader="none" w:pos="1009" w:val="left"/>
        </w:tabs>
        <w:numPr>
          <w:ilvl w:val="0"/>
          <w:numId w:val="48"/>
        </w:numPr>
        <w:rPr>
          <w:rFonts w:ascii="Arial" w:cs="Arial" w:eastAsia="Arial" w:hAnsi="Arial"/>
          <w:sz w:val="22"/>
          <w:szCs w:val="22"/>
          <w:color w:val="010000"/>
        </w:rPr>
      </w:pPr>
      <w:r>
        <w:rPr>
          <w:rFonts w:ascii="Arial" w:cs="Arial" w:eastAsia="Arial" w:hAnsi="Arial"/>
          <w:sz w:val="22"/>
          <w:szCs w:val="22"/>
          <w:u w:val="single" w:color="auto"/>
          <w:color w:val="auto"/>
        </w:rPr>
        <w:t>Transferability of Award</w:t>
      </w:r>
      <w:r>
        <w:rPr>
          <w:rFonts w:ascii="Arial" w:cs="Arial" w:eastAsia="Arial" w:hAnsi="Arial"/>
          <w:sz w:val="22"/>
          <w:szCs w:val="22"/>
          <w:color w:val="auto"/>
        </w:rPr>
        <w:t>. This Award may only be transferred by will or by the laws of descent and distribution. The terms of this Award, including the restriction and vesting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179705</wp:posOffset>
            </wp:positionV>
            <wp:extent cx="728916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388"/>
          </w:cols>
          <w:pgMar w:left="1232" w:top="888" w:right="279" w:bottom="1440" w:gutter="0" w:footer="0" w:header="0"/>
        </w:sectPr>
      </w:pPr>
    </w:p>
    <w:bookmarkStart w:id="104" w:name="page105"/>
    <w:bookmarkEnd w:id="104"/>
    <w:p>
      <w:pPr>
        <w:spacing w:after="0"/>
        <w:rPr>
          <w:sz w:val="20"/>
          <w:szCs w:val="20"/>
          <w:color w:val="auto"/>
        </w:rPr>
      </w:pPr>
      <w:r>
        <w:rPr>
          <w:rFonts w:ascii="Arial" w:cs="Arial" w:eastAsia="Arial" w:hAnsi="Arial"/>
          <w:sz w:val="19"/>
          <w:szCs w:val="19"/>
          <w:color w:val="auto"/>
        </w:rPr>
        <w:t>provisions set forth in Section 3, shall be binding upon the executors, administrators, successors and assigns of the Participant.</w:t>
      </w:r>
    </w:p>
    <w:p>
      <w:pPr>
        <w:spacing w:after="0" w:line="322" w:lineRule="exact"/>
        <w:rPr>
          <w:sz w:val="20"/>
          <w:szCs w:val="20"/>
          <w:color w:val="auto"/>
        </w:rPr>
      </w:pPr>
    </w:p>
    <w:p>
      <w:pPr>
        <w:ind w:right="20" w:firstLine="832"/>
        <w:spacing w:after="0" w:line="251" w:lineRule="auto"/>
        <w:tabs>
          <w:tab w:leader="none" w:pos="1571" w:val="left"/>
        </w:tabs>
        <w:numPr>
          <w:ilvl w:val="0"/>
          <w:numId w:val="49"/>
        </w:numPr>
        <w:rPr>
          <w:rFonts w:ascii="Arial" w:cs="Arial" w:eastAsia="Arial" w:hAnsi="Arial"/>
          <w:sz w:val="22"/>
          <w:szCs w:val="22"/>
          <w:color w:val="010000"/>
        </w:rPr>
      </w:pPr>
      <w:r>
        <w:rPr>
          <w:rFonts w:ascii="Arial" w:cs="Arial" w:eastAsia="Arial" w:hAnsi="Arial"/>
          <w:sz w:val="22"/>
          <w:szCs w:val="22"/>
          <w:u w:val="single" w:color="auto"/>
          <w:color w:val="auto"/>
        </w:rPr>
        <w:t>Adjustment Upon Changes in Shares</w:t>
      </w:r>
      <w:r>
        <w:rPr>
          <w:rFonts w:ascii="Arial" w:cs="Arial" w:eastAsia="Arial" w:hAnsi="Arial"/>
          <w:sz w:val="22"/>
          <w:szCs w:val="22"/>
          <w:color w:val="auto"/>
        </w:rPr>
        <w:t>. In the event of a Section 4.2 Event, the adjustments provided for in Section 4.2(b) of the Plan shall be made to the number of Shares subject to the Award hereunder.</w:t>
      </w:r>
    </w:p>
    <w:p>
      <w:pPr>
        <w:spacing w:after="0" w:line="146" w:lineRule="exact"/>
        <w:rPr>
          <w:rFonts w:ascii="Arial" w:cs="Arial" w:eastAsia="Arial" w:hAnsi="Arial"/>
          <w:sz w:val="22"/>
          <w:szCs w:val="22"/>
          <w:color w:val="010000"/>
        </w:rPr>
      </w:pPr>
    </w:p>
    <w:p>
      <w:pPr>
        <w:jc w:val="both"/>
        <w:ind w:right="20" w:firstLine="832"/>
        <w:spacing w:after="0" w:line="238" w:lineRule="auto"/>
        <w:tabs>
          <w:tab w:leader="none" w:pos="1503" w:val="left"/>
        </w:tabs>
        <w:numPr>
          <w:ilvl w:val="0"/>
          <w:numId w:val="49"/>
        </w:numPr>
        <w:rPr>
          <w:rFonts w:ascii="Arial" w:cs="Arial" w:eastAsia="Arial" w:hAnsi="Arial"/>
          <w:sz w:val="22"/>
          <w:szCs w:val="22"/>
          <w:color w:val="010000"/>
        </w:rPr>
      </w:pPr>
      <w:r>
        <w:rPr>
          <w:rFonts w:ascii="Arial" w:cs="Arial" w:eastAsia="Arial" w:hAnsi="Arial"/>
          <w:sz w:val="22"/>
          <w:szCs w:val="22"/>
          <w:u w:val="single" w:color="auto"/>
          <w:color w:val="auto"/>
        </w:rPr>
        <w:t>Section 83(b) Election</w:t>
      </w:r>
      <w:r>
        <w:rPr>
          <w:rFonts w:ascii="Arial" w:cs="Arial" w:eastAsia="Arial" w:hAnsi="Arial"/>
          <w:sz w:val="22"/>
          <w:szCs w:val="22"/>
          <w:color w:val="auto"/>
        </w:rPr>
        <w:t>. Participant agrees to inform the Company promptly, and provide a copy of the election filed by the Participant with the Internal Revenue Service, if the Participant makes an election under Section 83(b) of the Code to treat any portion of this Award as taxable compensation prior to the time the restrictions are removed from the Shares subject to this Award.</w:t>
      </w:r>
    </w:p>
    <w:p>
      <w:pPr>
        <w:spacing w:after="0" w:line="185" w:lineRule="exact"/>
        <w:rPr>
          <w:rFonts w:ascii="Arial" w:cs="Arial" w:eastAsia="Arial" w:hAnsi="Arial"/>
          <w:sz w:val="22"/>
          <w:szCs w:val="22"/>
          <w:color w:val="010000"/>
        </w:rPr>
      </w:pPr>
    </w:p>
    <w:p>
      <w:pPr>
        <w:ind w:right="40" w:firstLine="831"/>
        <w:spacing w:after="0" w:line="251" w:lineRule="auto"/>
        <w:tabs>
          <w:tab w:leader="none" w:pos="1623" w:val="left"/>
        </w:tabs>
        <w:numPr>
          <w:ilvl w:val="0"/>
          <w:numId w:val="49"/>
        </w:numPr>
        <w:rPr>
          <w:rFonts w:ascii="Arial" w:cs="Arial" w:eastAsia="Arial" w:hAnsi="Arial"/>
          <w:sz w:val="22"/>
          <w:szCs w:val="22"/>
          <w:color w:val="010000"/>
        </w:rPr>
      </w:pPr>
      <w:r>
        <w:rPr>
          <w:rFonts w:ascii="Arial" w:cs="Arial" w:eastAsia="Arial" w:hAnsi="Arial"/>
          <w:sz w:val="22"/>
          <w:szCs w:val="22"/>
          <w:u w:val="single" w:color="auto"/>
          <w:color w:val="auto"/>
        </w:rPr>
        <w:t>Amendments; Termination of Plan</w:t>
      </w:r>
      <w:r>
        <w:rPr>
          <w:rFonts w:ascii="Arial" w:cs="Arial" w:eastAsia="Arial" w:hAnsi="Arial"/>
          <w:sz w:val="22"/>
          <w:szCs w:val="22"/>
          <w:color w:val="auto"/>
        </w:rPr>
        <w:t>. The Board may amend this Award or terminate the Plan in accordance with Section 12.1 of the Plan.</w:t>
      </w:r>
    </w:p>
    <w:p>
      <w:pPr>
        <w:spacing w:after="0" w:line="159" w:lineRule="exact"/>
        <w:rPr>
          <w:rFonts w:ascii="Arial" w:cs="Arial" w:eastAsia="Arial" w:hAnsi="Arial"/>
          <w:sz w:val="22"/>
          <w:szCs w:val="22"/>
          <w:color w:val="010000"/>
        </w:rPr>
      </w:pPr>
    </w:p>
    <w:p>
      <w:pPr>
        <w:jc w:val="both"/>
        <w:ind w:firstLine="832"/>
        <w:spacing w:after="0"/>
        <w:tabs>
          <w:tab w:leader="none" w:pos="1449" w:val="left"/>
        </w:tabs>
        <w:numPr>
          <w:ilvl w:val="0"/>
          <w:numId w:val="49"/>
        </w:numPr>
        <w:rPr>
          <w:rFonts w:ascii="Arial" w:cs="Arial" w:eastAsia="Arial" w:hAnsi="Arial"/>
          <w:sz w:val="22"/>
          <w:szCs w:val="22"/>
          <w:color w:val="010000"/>
        </w:rPr>
      </w:pPr>
      <w:r>
        <w:rPr>
          <w:rFonts w:ascii="Arial" w:cs="Arial" w:eastAsia="Arial" w:hAnsi="Arial"/>
          <w:sz w:val="22"/>
          <w:szCs w:val="22"/>
          <w:u w:val="single" w:color="auto"/>
          <w:color w:val="auto"/>
        </w:rPr>
        <w:t>Interpretation</w:t>
      </w:r>
      <w:r>
        <w:rPr>
          <w:rFonts w:ascii="Arial" w:cs="Arial" w:eastAsia="Arial" w:hAnsi="Arial"/>
          <w:sz w:val="22"/>
          <w:szCs w:val="22"/>
          <w:color w:val="auto"/>
        </w:rPr>
        <w:t>. Any dispute regarding the interpretation of this Award shall be submitted by Participant or the Company to the Committee, which shall review such dispute at its next regular meeting. The resolution of such a dispute by the Committee shall be final and binding on the Company and on the Participant.</w:t>
      </w:r>
    </w:p>
    <w:p>
      <w:pPr>
        <w:spacing w:after="0" w:line="186" w:lineRule="exact"/>
        <w:rPr>
          <w:rFonts w:ascii="Arial" w:cs="Arial" w:eastAsia="Arial" w:hAnsi="Arial"/>
          <w:sz w:val="22"/>
          <w:szCs w:val="22"/>
          <w:color w:val="010000"/>
        </w:rPr>
      </w:pPr>
    </w:p>
    <w:p>
      <w:pPr>
        <w:jc w:val="both"/>
        <w:ind w:right="20" w:firstLine="832"/>
        <w:spacing w:after="0"/>
        <w:tabs>
          <w:tab w:leader="none" w:pos="1522" w:val="left"/>
        </w:tabs>
        <w:numPr>
          <w:ilvl w:val="0"/>
          <w:numId w:val="49"/>
        </w:numPr>
        <w:rPr>
          <w:rFonts w:ascii="Arial" w:cs="Arial" w:eastAsia="Arial" w:hAnsi="Arial"/>
          <w:sz w:val="22"/>
          <w:szCs w:val="22"/>
          <w:color w:val="010000"/>
        </w:rPr>
      </w:pPr>
      <w:r>
        <w:rPr>
          <w:rFonts w:ascii="Arial" w:cs="Arial" w:eastAsia="Arial" w:hAnsi="Arial"/>
          <w:sz w:val="22"/>
          <w:szCs w:val="22"/>
          <w:u w:val="single" w:color="auto"/>
          <w:color w:val="auto"/>
        </w:rPr>
        <w:t>Notices</w:t>
      </w:r>
      <w:r>
        <w:rPr>
          <w:rFonts w:ascii="Arial" w:cs="Arial" w:eastAsia="Arial" w:hAnsi="Arial"/>
          <w:sz w:val="22"/>
          <w:szCs w:val="22"/>
          <w:color w:val="auto"/>
        </w:rPr>
        <w:t>. All notices to the Company must be in writing, addressed and delivered or mailed to 2006 Route 130 North, Burlington, NJ 08016, Attention: General Counsel. All notices to the Participant must be in writing addressed and delivered or mailed to Participant at the address shown on the records of the Company.</w:t>
      </w:r>
    </w:p>
    <w:p>
      <w:pPr>
        <w:spacing w:after="0" w:line="159" w:lineRule="exact"/>
        <w:rPr>
          <w:rFonts w:ascii="Arial" w:cs="Arial" w:eastAsia="Arial" w:hAnsi="Arial"/>
          <w:sz w:val="22"/>
          <w:szCs w:val="22"/>
          <w:color w:val="010000"/>
        </w:rPr>
      </w:pPr>
    </w:p>
    <w:p>
      <w:pPr>
        <w:jc w:val="both"/>
        <w:ind w:firstLine="832"/>
        <w:spacing w:after="0" w:line="238" w:lineRule="auto"/>
        <w:tabs>
          <w:tab w:leader="none" w:pos="1665" w:val="left"/>
        </w:tabs>
        <w:numPr>
          <w:ilvl w:val="0"/>
          <w:numId w:val="49"/>
        </w:numPr>
        <w:rPr>
          <w:rFonts w:ascii="Arial" w:cs="Arial" w:eastAsia="Arial" w:hAnsi="Arial"/>
          <w:sz w:val="22"/>
          <w:szCs w:val="22"/>
          <w:color w:val="010000"/>
        </w:rPr>
      </w:pPr>
      <w:r>
        <w:rPr>
          <w:rFonts w:ascii="Arial" w:cs="Arial" w:eastAsia="Arial" w:hAnsi="Arial"/>
          <w:sz w:val="22"/>
          <w:szCs w:val="22"/>
          <w:u w:val="single" w:color="auto"/>
          <w:color w:val="auto"/>
        </w:rPr>
        <w:t>Governing Law; Severability</w:t>
      </w:r>
      <w:r>
        <w:rPr>
          <w:rFonts w:ascii="Arial" w:cs="Arial" w:eastAsia="Arial" w:hAnsi="Arial"/>
          <w:sz w:val="22"/>
          <w:szCs w:val="22"/>
          <w:color w:val="auto"/>
        </w:rPr>
        <w:t>. This Award Agreement, and all determinations made and actions taken pursuant thereto, shall be governed under the laws of the State of Delaware. If any part of this Award Agreement shall be determined to be invalid or unenforceable, such part shall be ineffective only to the extent of such invalidity or unenforceability, without affecting the remaining portions hereof.</w:t>
      </w:r>
    </w:p>
    <w:p>
      <w:pPr>
        <w:spacing w:after="0" w:line="200" w:lineRule="exact"/>
        <w:rPr>
          <w:sz w:val="20"/>
          <w:szCs w:val="20"/>
          <w:color w:val="auto"/>
        </w:rPr>
      </w:pPr>
    </w:p>
    <w:p>
      <w:pPr>
        <w:spacing w:after="0" w:line="255" w:lineRule="exact"/>
        <w:rPr>
          <w:sz w:val="20"/>
          <w:szCs w:val="20"/>
          <w:color w:val="auto"/>
        </w:rPr>
      </w:pPr>
    </w:p>
    <w:p>
      <w:pPr>
        <w:jc w:val="center"/>
        <w:ind w:right="140"/>
        <w:spacing w:after="0"/>
        <w:rPr>
          <w:sz w:val="20"/>
          <w:szCs w:val="20"/>
          <w:color w:val="auto"/>
        </w:rPr>
      </w:pPr>
      <w:r>
        <w:rPr>
          <w:rFonts w:ascii="Arial" w:cs="Arial" w:eastAsia="Arial" w:hAnsi="Arial"/>
          <w:sz w:val="22"/>
          <w:szCs w:val="22"/>
          <w:color w:val="auto"/>
        </w:rPr>
        <w:t>[Remainder of page intentionally left blank.]</w:t>
      </w:r>
    </w:p>
    <w:p>
      <w:pPr>
        <w:spacing w:after="0" w:line="8" w:lineRule="exact"/>
        <w:rPr>
          <w:sz w:val="20"/>
          <w:szCs w:val="20"/>
          <w:color w:val="auto"/>
        </w:rPr>
      </w:pPr>
    </w:p>
    <w:p>
      <w:pPr>
        <w:jc w:val="center"/>
        <w:ind w:right="140"/>
        <w:spacing w:after="0"/>
        <w:rPr>
          <w:sz w:val="20"/>
          <w:szCs w:val="20"/>
          <w:color w:val="auto"/>
        </w:rPr>
      </w:pPr>
      <w:r>
        <w:rPr>
          <w:rFonts w:ascii="Arial" w:cs="Arial" w:eastAsia="Arial" w:hAnsi="Arial"/>
          <w:sz w:val="22"/>
          <w:szCs w:val="22"/>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497840</wp:posOffset>
            </wp:positionV>
            <wp:extent cx="72891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20"/>
          </w:cols>
          <w:pgMar w:left="400" w:top="604" w:right="279" w:bottom="1440" w:gutter="0" w:footer="0" w:header="0"/>
        </w:sectPr>
      </w:pPr>
    </w:p>
    <w:bookmarkStart w:id="105" w:name="page106"/>
    <w:bookmarkEnd w:id="105"/>
    <w:p>
      <w:pPr>
        <w:jc w:val="both"/>
        <w:ind w:left="160" w:firstLine="842"/>
        <w:spacing w:after="0" w:line="251" w:lineRule="auto"/>
        <w:rPr>
          <w:sz w:val="20"/>
          <w:szCs w:val="20"/>
          <w:color w:val="auto"/>
        </w:rPr>
      </w:pPr>
      <w:r>
        <w:rPr>
          <w:rFonts w:ascii="Arial" w:cs="Arial" w:eastAsia="Arial" w:hAnsi="Arial"/>
          <w:sz w:val="22"/>
          <w:szCs w:val="22"/>
          <w:color w:val="auto"/>
        </w:rPr>
        <w:t>IN WITNESS WHEREOF, the parties hereto have caused this Award Agreement to be duly executed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140"/>
        <w:spacing w:after="0"/>
        <w:rPr>
          <w:sz w:val="20"/>
          <w:szCs w:val="20"/>
          <w:color w:val="auto"/>
        </w:rPr>
      </w:pPr>
      <w:r>
        <w:rPr>
          <w:rFonts w:ascii="Arial" w:cs="Arial" w:eastAsia="Arial" w:hAnsi="Arial"/>
          <w:sz w:val="22"/>
          <w:szCs w:val="22"/>
          <w:b w:val="1"/>
          <w:bCs w:val="1"/>
          <w:color w:val="auto"/>
        </w:rPr>
        <w:t>BURLINGTON STORES, INC.</w:t>
      </w:r>
    </w:p>
    <w:p>
      <w:pPr>
        <w:spacing w:after="0" w:line="185" w:lineRule="exact"/>
        <w:rPr>
          <w:sz w:val="20"/>
          <w:szCs w:val="20"/>
          <w:color w:val="auto"/>
        </w:rPr>
      </w:pPr>
    </w:p>
    <w:p>
      <w:pPr>
        <w:ind w:left="6000"/>
        <w:spacing w:after="0"/>
        <w:rPr>
          <w:sz w:val="20"/>
          <w:szCs w:val="20"/>
          <w:color w:val="auto"/>
        </w:rPr>
      </w:pPr>
      <w:r>
        <w:rPr>
          <w:rFonts w:ascii="Arial" w:cs="Arial" w:eastAsia="Arial" w:hAnsi="Arial"/>
          <w:sz w:val="22"/>
          <w:szCs w:val="22"/>
          <w:color w:val="auto"/>
        </w:rPr>
        <w:t>By:</w:t>
      </w:r>
    </w:p>
    <w:p>
      <w:pPr>
        <w:ind w:left="6000"/>
        <w:spacing w:after="0" w:line="238" w:lineRule="auto"/>
        <w:rPr>
          <w:sz w:val="20"/>
          <w:szCs w:val="20"/>
          <w:color w:val="auto"/>
        </w:rPr>
      </w:pPr>
      <w:r>
        <w:rPr>
          <w:rFonts w:ascii="Arial" w:cs="Arial" w:eastAsia="Arial" w:hAnsi="Arial"/>
          <w:sz w:val="22"/>
          <w:szCs w:val="22"/>
          <w:color w:val="auto"/>
        </w:rPr>
        <w:t>Name:</w:t>
      </w:r>
    </w:p>
    <w:p>
      <w:pPr>
        <w:ind w:left="600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500"/>
        <w:spacing w:after="0"/>
        <w:rPr>
          <w:sz w:val="20"/>
          <w:szCs w:val="20"/>
          <w:color w:val="auto"/>
        </w:rPr>
      </w:pPr>
      <w:r>
        <w:rPr>
          <w:rFonts w:ascii="Arial" w:cs="Arial" w:eastAsia="Arial" w:hAnsi="Arial"/>
          <w:sz w:val="22"/>
          <w:szCs w:val="22"/>
          <w:color w:val="auto"/>
        </w:rPr>
        <w:t>ACCEPTANCE</w:t>
      </w:r>
    </w:p>
    <w:p>
      <w:pPr>
        <w:spacing w:after="0" w:line="206" w:lineRule="exact"/>
        <w:rPr>
          <w:sz w:val="20"/>
          <w:szCs w:val="20"/>
          <w:color w:val="auto"/>
        </w:rPr>
      </w:pPr>
    </w:p>
    <w:p>
      <w:pPr>
        <w:jc w:val="both"/>
        <w:ind w:left="160"/>
        <w:spacing w:after="0" w:line="252" w:lineRule="auto"/>
        <w:rPr>
          <w:sz w:val="20"/>
          <w:szCs w:val="20"/>
          <w:color w:val="auto"/>
        </w:rPr>
      </w:pPr>
      <w:r>
        <w:rPr>
          <w:rFonts w:ascii="Arial" w:cs="Arial" w:eastAsia="Arial" w:hAnsi="Arial"/>
          <w:sz w:val="21"/>
          <w:szCs w:val="21"/>
          <w:color w:val="auto"/>
        </w:rPr>
        <w:t>Participant hereby acknowledges receipt of a copy of the Plan, represents that Participant has read and understands the terms and provisions thereof, and accepts this Award subject to all the terms and conditions of the Plan and this Award Agreement. Participant acknowledges that there may be adverse tax consequences associated with this Award or disposition of the Shares associated with this Award and that Participant should consult a tax adviser.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__________________________________</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Participant</w:t>
      </w:r>
    </w:p>
    <w:p>
      <w:pPr>
        <w:sectPr>
          <w:pgSz w:w="11900" w:h="16838" w:orient="portrait"/>
          <w:cols w:equalWidth="0" w:num="1">
            <w:col w:w="11360"/>
          </w:cols>
          <w:pgMar w:left="240" w:top="604" w:right="29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234"/>
        </w:trPr>
        <w:tc>
          <w:tcPr>
            <w:tcW w:w="9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40" w:type="dxa"/>
            <w:vAlign w:val="bottom"/>
            <w:gridSpan w:val="2"/>
          </w:tcPr>
          <w:p>
            <w:pPr>
              <w:ind w:left="1280"/>
              <w:spacing w:after="0"/>
              <w:rPr>
                <w:sz w:val="20"/>
                <w:szCs w:val="20"/>
                <w:color w:val="auto"/>
              </w:rPr>
            </w:pPr>
            <w:r>
              <w:rPr>
                <w:rFonts w:ascii="Arial" w:cs="Arial" w:eastAsia="Arial" w:hAnsi="Arial"/>
                <w:sz w:val="18"/>
                <w:szCs w:val="18"/>
                <w:b w:val="1"/>
                <w:bCs w:val="1"/>
                <w:color w:val="auto"/>
                <w:w w:val="93"/>
              </w:rPr>
              <w:t>Exhibit 21.1</w:t>
            </w:r>
          </w:p>
        </w:tc>
        <w:tc>
          <w:tcPr>
            <w:tcW w:w="0" w:type="dxa"/>
            <w:vAlign w:val="bottom"/>
          </w:tcPr>
          <w:p>
            <w:pPr>
              <w:spacing w:after="0"/>
              <w:rPr>
                <w:sz w:val="1"/>
                <w:szCs w:val="1"/>
                <w:color w:val="auto"/>
              </w:rPr>
            </w:pPr>
          </w:p>
        </w:tc>
      </w:tr>
      <w:tr>
        <w:trPr>
          <w:trHeight w:val="432"/>
        </w:trPr>
        <w:tc>
          <w:tcPr>
            <w:tcW w:w="9000" w:type="dxa"/>
            <w:vAlign w:val="bottom"/>
          </w:tcPr>
          <w:p>
            <w:pPr>
              <w:ind w:left="4260"/>
              <w:spacing w:after="0"/>
              <w:rPr>
                <w:sz w:val="20"/>
                <w:szCs w:val="20"/>
                <w:color w:val="auto"/>
              </w:rPr>
            </w:pPr>
            <w:r>
              <w:rPr>
                <w:rFonts w:ascii="Arial" w:cs="Arial" w:eastAsia="Arial" w:hAnsi="Arial"/>
                <w:sz w:val="18"/>
                <w:szCs w:val="18"/>
                <w:b w:val="1"/>
                <w:bCs w:val="1"/>
                <w:color w:val="auto"/>
              </w:rPr>
              <w:t>Subsidiaries of Burlington Stores, Inc.</w:t>
            </w:r>
          </w:p>
        </w:tc>
        <w:tc>
          <w:tcPr>
            <w:tcW w:w="2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5"/>
        </w:trPr>
        <w:tc>
          <w:tcPr>
            <w:tcW w:w="9000" w:type="dxa"/>
            <w:vAlign w:val="bottom"/>
            <w:vMerge w:val="restart"/>
          </w:tcPr>
          <w:p>
            <w:pPr>
              <w:spacing w:after="0"/>
              <w:rPr>
                <w:sz w:val="20"/>
                <w:szCs w:val="20"/>
                <w:color w:val="auto"/>
              </w:rPr>
            </w:pPr>
            <w:r>
              <w:rPr>
                <w:rFonts w:ascii="Arial" w:cs="Arial" w:eastAsia="Arial" w:hAnsi="Arial"/>
                <w:sz w:val="14"/>
                <w:szCs w:val="14"/>
                <w:b w:val="1"/>
                <w:bCs w:val="1"/>
                <w:color w:val="auto"/>
              </w:rPr>
              <w:t>Exact Name of Subsidiaries of Registrant as Specified in their Charter</w:t>
            </w:r>
          </w:p>
        </w:tc>
        <w:tc>
          <w:tcPr>
            <w:tcW w:w="200" w:type="dxa"/>
            <w:vAlign w:val="bottom"/>
          </w:tcPr>
          <w:p>
            <w:pPr>
              <w:spacing w:after="0"/>
              <w:rPr>
                <w:sz w:val="24"/>
                <w:szCs w:val="24"/>
                <w:color w:val="auto"/>
              </w:rPr>
            </w:pPr>
          </w:p>
        </w:tc>
        <w:tc>
          <w:tcPr>
            <w:tcW w:w="22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3"/>
              </w:rPr>
              <w:t>State or Other Jurisdiction of</w:t>
            </w:r>
          </w:p>
        </w:tc>
        <w:tc>
          <w:tcPr>
            <w:tcW w:w="0" w:type="dxa"/>
            <w:vAlign w:val="bottom"/>
          </w:tcPr>
          <w:p>
            <w:pPr>
              <w:spacing w:after="0"/>
              <w:rPr>
                <w:sz w:val="1"/>
                <w:szCs w:val="1"/>
                <w:color w:val="auto"/>
              </w:rPr>
            </w:pPr>
          </w:p>
        </w:tc>
      </w:tr>
      <w:tr>
        <w:trPr>
          <w:trHeight w:val="191"/>
        </w:trPr>
        <w:tc>
          <w:tcPr>
            <w:tcW w:w="900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22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Incorporation or Organization</w:t>
            </w:r>
          </w:p>
        </w:tc>
        <w:tc>
          <w:tcPr>
            <w:tcW w:w="0" w:type="dxa"/>
            <w:vAlign w:val="bottom"/>
          </w:tcPr>
          <w:p>
            <w:pPr>
              <w:spacing w:after="0"/>
              <w:rPr>
                <w:sz w:val="1"/>
                <w:szCs w:val="1"/>
                <w:color w:val="auto"/>
              </w:rPr>
            </w:pPr>
          </w:p>
        </w:tc>
      </w:tr>
      <w:tr>
        <w:trPr>
          <w:trHeight w:val="189"/>
        </w:trPr>
        <w:tc>
          <w:tcPr>
            <w:tcW w:w="9000" w:type="dxa"/>
            <w:vAlign w:val="bottom"/>
          </w:tcPr>
          <w:p>
            <w:pPr>
              <w:spacing w:after="0" w:line="189" w:lineRule="exact"/>
              <w:rPr>
                <w:sz w:val="20"/>
                <w:szCs w:val="20"/>
                <w:color w:val="auto"/>
              </w:rPr>
            </w:pPr>
            <w:r>
              <w:rPr>
                <w:rFonts w:ascii="Arial" w:cs="Arial" w:eastAsia="Arial" w:hAnsi="Arial"/>
                <w:sz w:val="18"/>
                <w:szCs w:val="18"/>
                <w:color w:val="auto"/>
              </w:rPr>
              <w:t>Burlington Holdings, LLC</w:t>
            </w:r>
          </w:p>
        </w:tc>
        <w:tc>
          <w:tcPr>
            <w:tcW w:w="200" w:type="dxa"/>
            <w:vAlign w:val="bottom"/>
          </w:tcPr>
          <w:p>
            <w:pPr>
              <w:spacing w:after="0"/>
              <w:rPr>
                <w:sz w:val="16"/>
                <w:szCs w:val="16"/>
                <w:color w:val="auto"/>
              </w:rPr>
            </w:pPr>
          </w:p>
        </w:tc>
        <w:tc>
          <w:tcPr>
            <w:tcW w:w="2220" w:type="dxa"/>
            <w:vAlign w:val="bottom"/>
            <w:tcBorders>
              <w:top w:val="single" w:sz="8" w:color="auto"/>
            </w:tcBorders>
          </w:tcPr>
          <w:p>
            <w:pPr>
              <w:ind w:left="660"/>
              <w:spacing w:after="0" w:line="189" w:lineRule="exact"/>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000" w:type="dxa"/>
            <w:vAlign w:val="bottom"/>
          </w:tcPr>
          <w:p>
            <w:pPr>
              <w:spacing w:after="0"/>
              <w:rPr>
                <w:sz w:val="20"/>
                <w:szCs w:val="20"/>
                <w:color w:val="auto"/>
              </w:rPr>
            </w:pPr>
            <w:r>
              <w:rPr>
                <w:rFonts w:ascii="Arial" w:cs="Arial" w:eastAsia="Arial" w:hAnsi="Arial"/>
                <w:sz w:val="18"/>
                <w:szCs w:val="18"/>
                <w:color w:val="auto"/>
              </w:rPr>
              <w:t>Burlington Holdings Finance, Inc.</w:t>
            </w:r>
          </w:p>
        </w:tc>
        <w:tc>
          <w:tcPr>
            <w:tcW w:w="200" w:type="dxa"/>
            <w:vAlign w:val="bottom"/>
          </w:tcPr>
          <w:p>
            <w:pPr>
              <w:spacing w:after="0"/>
              <w:rPr>
                <w:sz w:val="18"/>
                <w:szCs w:val="18"/>
                <w:color w:val="auto"/>
              </w:rPr>
            </w:pPr>
          </w:p>
        </w:tc>
        <w:tc>
          <w:tcPr>
            <w:tcW w:w="2240" w:type="dxa"/>
            <w:vAlign w:val="bottom"/>
            <w:gridSpan w:val="2"/>
          </w:tcPr>
          <w:p>
            <w:pPr>
              <w:ind w:left="66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9000" w:type="dxa"/>
            <w:vAlign w:val="bottom"/>
          </w:tcPr>
          <w:p>
            <w:pPr>
              <w:spacing w:after="0"/>
              <w:rPr>
                <w:sz w:val="20"/>
                <w:szCs w:val="20"/>
                <w:color w:val="auto"/>
              </w:rPr>
            </w:pPr>
            <w:r>
              <w:rPr>
                <w:rFonts w:ascii="Arial" w:cs="Arial" w:eastAsia="Arial" w:hAnsi="Arial"/>
                <w:sz w:val="18"/>
                <w:szCs w:val="18"/>
                <w:color w:val="auto"/>
              </w:rPr>
              <w:t>Burlington Coat Factory Holdings, LLC</w:t>
            </w:r>
          </w:p>
        </w:tc>
        <w:tc>
          <w:tcPr>
            <w:tcW w:w="200" w:type="dxa"/>
            <w:vAlign w:val="bottom"/>
          </w:tcPr>
          <w:p>
            <w:pPr>
              <w:spacing w:after="0"/>
              <w:rPr>
                <w:sz w:val="18"/>
                <w:szCs w:val="18"/>
                <w:color w:val="auto"/>
              </w:rPr>
            </w:pPr>
          </w:p>
        </w:tc>
        <w:tc>
          <w:tcPr>
            <w:tcW w:w="2240" w:type="dxa"/>
            <w:vAlign w:val="bottom"/>
            <w:gridSpan w:val="2"/>
          </w:tcPr>
          <w:p>
            <w:pPr>
              <w:ind w:left="66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9000" w:type="dxa"/>
            <w:vAlign w:val="bottom"/>
          </w:tcPr>
          <w:p>
            <w:pPr>
              <w:spacing w:after="0"/>
              <w:rPr>
                <w:sz w:val="20"/>
                <w:szCs w:val="20"/>
                <w:color w:val="auto"/>
              </w:rPr>
            </w:pPr>
            <w:r>
              <w:rPr>
                <w:rFonts w:ascii="Arial" w:cs="Arial" w:eastAsia="Arial" w:hAnsi="Arial"/>
                <w:sz w:val="18"/>
                <w:szCs w:val="18"/>
                <w:color w:val="auto"/>
              </w:rPr>
              <w:t>Burlington Coat Factory Investments Holdings, Inc.</w:t>
            </w:r>
          </w:p>
        </w:tc>
        <w:tc>
          <w:tcPr>
            <w:tcW w:w="200" w:type="dxa"/>
            <w:vAlign w:val="bottom"/>
          </w:tcPr>
          <w:p>
            <w:pPr>
              <w:spacing w:after="0"/>
              <w:rPr>
                <w:sz w:val="18"/>
                <w:szCs w:val="18"/>
                <w:color w:val="auto"/>
              </w:rPr>
            </w:pPr>
          </w:p>
        </w:tc>
        <w:tc>
          <w:tcPr>
            <w:tcW w:w="2240" w:type="dxa"/>
            <w:vAlign w:val="bottom"/>
            <w:gridSpan w:val="2"/>
          </w:tcPr>
          <w:p>
            <w:pPr>
              <w:ind w:left="66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9000" w:type="dxa"/>
            <w:vAlign w:val="bottom"/>
          </w:tcPr>
          <w:p>
            <w:pPr>
              <w:spacing w:after="0"/>
              <w:rPr>
                <w:sz w:val="20"/>
                <w:szCs w:val="20"/>
                <w:color w:val="auto"/>
              </w:rPr>
            </w:pPr>
            <w:r>
              <w:rPr>
                <w:rFonts w:ascii="Arial" w:cs="Arial" w:eastAsia="Arial" w:hAnsi="Arial"/>
                <w:sz w:val="18"/>
                <w:szCs w:val="18"/>
                <w:color w:val="auto"/>
              </w:rPr>
              <w:t>Burlington Coat Factory Warehouse Corporation</w:t>
            </w:r>
          </w:p>
        </w:tc>
        <w:tc>
          <w:tcPr>
            <w:tcW w:w="200" w:type="dxa"/>
            <w:vAlign w:val="bottom"/>
          </w:tcPr>
          <w:p>
            <w:pPr>
              <w:spacing w:after="0"/>
              <w:rPr>
                <w:sz w:val="18"/>
                <w:szCs w:val="18"/>
                <w:color w:val="auto"/>
              </w:rPr>
            </w:pPr>
          </w:p>
        </w:tc>
        <w:tc>
          <w:tcPr>
            <w:tcW w:w="2240" w:type="dxa"/>
            <w:vAlign w:val="bottom"/>
            <w:gridSpan w:val="2"/>
          </w:tcPr>
          <w:p>
            <w:pPr>
              <w:ind w:left="66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9000" w:type="dxa"/>
            <w:vAlign w:val="bottom"/>
          </w:tcPr>
          <w:p>
            <w:pPr>
              <w:spacing w:after="0"/>
              <w:rPr>
                <w:sz w:val="20"/>
                <w:szCs w:val="20"/>
                <w:color w:val="auto"/>
              </w:rPr>
            </w:pPr>
            <w:r>
              <w:rPr>
                <w:rFonts w:ascii="Arial" w:cs="Arial" w:eastAsia="Arial" w:hAnsi="Arial"/>
                <w:sz w:val="18"/>
                <w:szCs w:val="18"/>
                <w:color w:val="auto"/>
              </w:rPr>
              <w:t>Burlington Merchandising Corporation</w:t>
            </w:r>
          </w:p>
        </w:tc>
        <w:tc>
          <w:tcPr>
            <w:tcW w:w="200" w:type="dxa"/>
            <w:vAlign w:val="bottom"/>
          </w:tcPr>
          <w:p>
            <w:pPr>
              <w:spacing w:after="0"/>
              <w:rPr>
                <w:sz w:val="18"/>
                <w:szCs w:val="18"/>
                <w:color w:val="auto"/>
              </w:rPr>
            </w:pPr>
          </w:p>
        </w:tc>
        <w:tc>
          <w:tcPr>
            <w:tcW w:w="2240" w:type="dxa"/>
            <w:vAlign w:val="bottom"/>
            <w:gridSpan w:val="2"/>
          </w:tcPr>
          <w:p>
            <w:pPr>
              <w:ind w:left="66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9000" w:type="dxa"/>
            <w:vAlign w:val="bottom"/>
          </w:tcPr>
          <w:p>
            <w:pPr>
              <w:spacing w:after="0"/>
              <w:rPr>
                <w:sz w:val="20"/>
                <w:szCs w:val="20"/>
                <w:color w:val="auto"/>
              </w:rPr>
            </w:pPr>
            <w:r>
              <w:rPr>
                <w:rFonts w:ascii="Arial" w:cs="Arial" w:eastAsia="Arial" w:hAnsi="Arial"/>
                <w:sz w:val="18"/>
                <w:szCs w:val="18"/>
                <w:color w:val="auto"/>
              </w:rPr>
              <w:t>Burlington Coat Factory of Texas, Inc.</w:t>
            </w:r>
          </w:p>
        </w:tc>
        <w:tc>
          <w:tcPr>
            <w:tcW w:w="200" w:type="dxa"/>
            <w:vAlign w:val="bottom"/>
          </w:tcPr>
          <w:p>
            <w:pPr>
              <w:spacing w:after="0"/>
              <w:rPr>
                <w:sz w:val="18"/>
                <w:szCs w:val="18"/>
                <w:color w:val="auto"/>
              </w:rPr>
            </w:pPr>
          </w:p>
        </w:tc>
        <w:tc>
          <w:tcPr>
            <w:tcW w:w="2240" w:type="dxa"/>
            <w:vAlign w:val="bottom"/>
            <w:gridSpan w:val="2"/>
          </w:tcPr>
          <w:p>
            <w:pPr>
              <w:ind w:left="66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9000" w:type="dxa"/>
            <w:vAlign w:val="bottom"/>
          </w:tcPr>
          <w:p>
            <w:pPr>
              <w:spacing w:after="0"/>
              <w:rPr>
                <w:sz w:val="20"/>
                <w:szCs w:val="20"/>
                <w:color w:val="auto"/>
              </w:rPr>
            </w:pPr>
            <w:r>
              <w:rPr>
                <w:rFonts w:ascii="Arial" w:cs="Arial" w:eastAsia="Arial" w:hAnsi="Arial"/>
                <w:sz w:val="18"/>
                <w:szCs w:val="18"/>
                <w:color w:val="auto"/>
              </w:rPr>
              <w:t>Burlington Coat Factory of Texas, L.P.</w:t>
            </w:r>
          </w:p>
        </w:tc>
        <w:tc>
          <w:tcPr>
            <w:tcW w:w="200" w:type="dxa"/>
            <w:vAlign w:val="bottom"/>
          </w:tcPr>
          <w:p>
            <w:pPr>
              <w:spacing w:after="0"/>
              <w:rPr>
                <w:sz w:val="18"/>
                <w:szCs w:val="18"/>
                <w:color w:val="auto"/>
              </w:rPr>
            </w:pPr>
          </w:p>
        </w:tc>
        <w:tc>
          <w:tcPr>
            <w:tcW w:w="2240" w:type="dxa"/>
            <w:vAlign w:val="bottom"/>
            <w:gridSpan w:val="2"/>
          </w:tcPr>
          <w:p>
            <w:pPr>
              <w:ind w:left="66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9000" w:type="dxa"/>
            <w:vAlign w:val="bottom"/>
          </w:tcPr>
          <w:p>
            <w:pPr>
              <w:spacing w:after="0"/>
              <w:rPr>
                <w:sz w:val="20"/>
                <w:szCs w:val="20"/>
                <w:color w:val="auto"/>
              </w:rPr>
            </w:pPr>
            <w:r>
              <w:rPr>
                <w:rFonts w:ascii="Arial" w:cs="Arial" w:eastAsia="Arial" w:hAnsi="Arial"/>
                <w:sz w:val="18"/>
                <w:szCs w:val="18"/>
                <w:color w:val="auto"/>
              </w:rPr>
              <w:t>Scottchris, LLC</w:t>
            </w:r>
          </w:p>
        </w:tc>
        <w:tc>
          <w:tcPr>
            <w:tcW w:w="200" w:type="dxa"/>
            <w:vAlign w:val="bottom"/>
          </w:tcPr>
          <w:p>
            <w:pPr>
              <w:spacing w:after="0"/>
              <w:rPr>
                <w:sz w:val="18"/>
                <w:szCs w:val="18"/>
                <w:color w:val="auto"/>
              </w:rPr>
            </w:pPr>
          </w:p>
        </w:tc>
        <w:tc>
          <w:tcPr>
            <w:tcW w:w="2240" w:type="dxa"/>
            <w:vAlign w:val="bottom"/>
            <w:gridSpan w:val="2"/>
          </w:tcPr>
          <w:p>
            <w:pPr>
              <w:ind w:left="66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9000" w:type="dxa"/>
            <w:vAlign w:val="bottom"/>
          </w:tcPr>
          <w:p>
            <w:pPr>
              <w:spacing w:after="0"/>
              <w:rPr>
                <w:sz w:val="20"/>
                <w:szCs w:val="20"/>
                <w:color w:val="auto"/>
              </w:rPr>
            </w:pPr>
            <w:r>
              <w:rPr>
                <w:rFonts w:ascii="Arial" w:cs="Arial" w:eastAsia="Arial" w:hAnsi="Arial"/>
                <w:sz w:val="18"/>
                <w:szCs w:val="18"/>
                <w:color w:val="auto"/>
              </w:rPr>
              <w:t>Burlington Coat Factory of Kentucky, Inc.</w:t>
            </w:r>
          </w:p>
        </w:tc>
        <w:tc>
          <w:tcPr>
            <w:tcW w:w="200" w:type="dxa"/>
            <w:vAlign w:val="bottom"/>
          </w:tcPr>
          <w:p>
            <w:pPr>
              <w:spacing w:after="0"/>
              <w:rPr>
                <w:sz w:val="18"/>
                <w:szCs w:val="18"/>
                <w:color w:val="auto"/>
              </w:rPr>
            </w:pPr>
          </w:p>
        </w:tc>
        <w:tc>
          <w:tcPr>
            <w:tcW w:w="2240" w:type="dxa"/>
            <w:vAlign w:val="bottom"/>
            <w:gridSpan w:val="2"/>
          </w:tcPr>
          <w:p>
            <w:pPr>
              <w:ind w:left="660"/>
              <w:spacing w:after="0"/>
              <w:rPr>
                <w:sz w:val="20"/>
                <w:szCs w:val="20"/>
                <w:color w:val="auto"/>
              </w:rPr>
            </w:pPr>
            <w:r>
              <w:rPr>
                <w:rFonts w:ascii="Arial" w:cs="Arial" w:eastAsia="Arial" w:hAnsi="Arial"/>
                <w:sz w:val="18"/>
                <w:szCs w:val="18"/>
                <w:color w:val="auto"/>
              </w:rPr>
              <w:t>Kentucky</w:t>
            </w:r>
          </w:p>
        </w:tc>
        <w:tc>
          <w:tcPr>
            <w:tcW w:w="0" w:type="dxa"/>
            <w:vAlign w:val="bottom"/>
          </w:tcPr>
          <w:p>
            <w:pPr>
              <w:spacing w:after="0"/>
              <w:rPr>
                <w:sz w:val="1"/>
                <w:szCs w:val="1"/>
                <w:color w:val="auto"/>
              </w:rPr>
            </w:pPr>
          </w:p>
        </w:tc>
      </w:tr>
      <w:tr>
        <w:trPr>
          <w:trHeight w:val="216"/>
        </w:trPr>
        <w:tc>
          <w:tcPr>
            <w:tcW w:w="9000" w:type="dxa"/>
            <w:vAlign w:val="bottom"/>
          </w:tcPr>
          <w:p>
            <w:pPr>
              <w:spacing w:after="0"/>
              <w:rPr>
                <w:sz w:val="20"/>
                <w:szCs w:val="20"/>
                <w:color w:val="auto"/>
              </w:rPr>
            </w:pPr>
            <w:r>
              <w:rPr>
                <w:rFonts w:ascii="Arial" w:cs="Arial" w:eastAsia="Arial" w:hAnsi="Arial"/>
                <w:sz w:val="18"/>
                <w:szCs w:val="18"/>
                <w:color w:val="auto"/>
              </w:rPr>
              <w:t>Burlington Coat Factory Direct Corporation</w:t>
            </w:r>
          </w:p>
        </w:tc>
        <w:tc>
          <w:tcPr>
            <w:tcW w:w="200" w:type="dxa"/>
            <w:vAlign w:val="bottom"/>
          </w:tcPr>
          <w:p>
            <w:pPr>
              <w:spacing w:after="0"/>
              <w:rPr>
                <w:sz w:val="18"/>
                <w:szCs w:val="18"/>
                <w:color w:val="auto"/>
              </w:rPr>
            </w:pPr>
          </w:p>
        </w:tc>
        <w:tc>
          <w:tcPr>
            <w:tcW w:w="2240" w:type="dxa"/>
            <w:vAlign w:val="bottom"/>
            <w:gridSpan w:val="2"/>
          </w:tcPr>
          <w:p>
            <w:pPr>
              <w:ind w:left="680"/>
              <w:spacing w:after="0"/>
              <w:rPr>
                <w:sz w:val="20"/>
                <w:szCs w:val="20"/>
                <w:color w:val="auto"/>
              </w:rPr>
            </w:pPr>
            <w:r>
              <w:rPr>
                <w:rFonts w:ascii="Arial" w:cs="Arial" w:eastAsia="Arial" w:hAnsi="Arial"/>
                <w:sz w:val="18"/>
                <w:szCs w:val="18"/>
                <w:color w:val="auto"/>
              </w:rPr>
              <w:t>New Jersey</w:t>
            </w:r>
          </w:p>
        </w:tc>
        <w:tc>
          <w:tcPr>
            <w:tcW w:w="0" w:type="dxa"/>
            <w:vAlign w:val="bottom"/>
          </w:tcPr>
          <w:p>
            <w:pPr>
              <w:spacing w:after="0"/>
              <w:rPr>
                <w:sz w:val="1"/>
                <w:szCs w:val="1"/>
                <w:color w:val="auto"/>
              </w:rPr>
            </w:pPr>
          </w:p>
        </w:tc>
      </w:tr>
      <w:tr>
        <w:trPr>
          <w:trHeight w:val="216"/>
        </w:trPr>
        <w:tc>
          <w:tcPr>
            <w:tcW w:w="9000" w:type="dxa"/>
            <w:vAlign w:val="bottom"/>
          </w:tcPr>
          <w:p>
            <w:pPr>
              <w:spacing w:after="0"/>
              <w:rPr>
                <w:sz w:val="20"/>
                <w:szCs w:val="20"/>
                <w:color w:val="auto"/>
              </w:rPr>
            </w:pPr>
            <w:r>
              <w:rPr>
                <w:rFonts w:ascii="Arial" w:cs="Arial" w:eastAsia="Arial" w:hAnsi="Arial"/>
                <w:sz w:val="18"/>
                <w:szCs w:val="18"/>
                <w:color w:val="auto"/>
              </w:rPr>
              <w:t>Burlington Coat Factory Realty of Edgewater Park, Inc.</w:t>
            </w:r>
          </w:p>
        </w:tc>
        <w:tc>
          <w:tcPr>
            <w:tcW w:w="200" w:type="dxa"/>
            <w:vAlign w:val="bottom"/>
          </w:tcPr>
          <w:p>
            <w:pPr>
              <w:spacing w:after="0"/>
              <w:rPr>
                <w:sz w:val="18"/>
                <w:szCs w:val="18"/>
                <w:color w:val="auto"/>
              </w:rPr>
            </w:pPr>
          </w:p>
        </w:tc>
        <w:tc>
          <w:tcPr>
            <w:tcW w:w="2240" w:type="dxa"/>
            <w:vAlign w:val="bottom"/>
            <w:gridSpan w:val="2"/>
          </w:tcPr>
          <w:p>
            <w:pPr>
              <w:jc w:val="center"/>
              <w:ind w:right="20"/>
              <w:spacing w:after="0"/>
              <w:rPr>
                <w:sz w:val="20"/>
                <w:szCs w:val="20"/>
                <w:color w:val="auto"/>
              </w:rPr>
            </w:pPr>
            <w:r>
              <w:rPr>
                <w:rFonts w:ascii="Arial" w:cs="Arial" w:eastAsia="Arial" w:hAnsi="Arial"/>
                <w:sz w:val="18"/>
                <w:szCs w:val="18"/>
                <w:color w:val="auto"/>
                <w:w w:val="87"/>
              </w:rPr>
              <w:t>New Jersey</w:t>
            </w:r>
          </w:p>
        </w:tc>
        <w:tc>
          <w:tcPr>
            <w:tcW w:w="0" w:type="dxa"/>
            <w:vAlign w:val="bottom"/>
          </w:tcPr>
          <w:p>
            <w:pPr>
              <w:spacing w:after="0"/>
              <w:rPr>
                <w:sz w:val="1"/>
                <w:szCs w:val="1"/>
                <w:color w:val="auto"/>
              </w:rPr>
            </w:pPr>
          </w:p>
        </w:tc>
      </w:tr>
      <w:tr>
        <w:trPr>
          <w:trHeight w:val="216"/>
        </w:trPr>
        <w:tc>
          <w:tcPr>
            <w:tcW w:w="9000" w:type="dxa"/>
            <w:vAlign w:val="bottom"/>
          </w:tcPr>
          <w:p>
            <w:pPr>
              <w:spacing w:after="0"/>
              <w:rPr>
                <w:sz w:val="20"/>
                <w:szCs w:val="20"/>
                <w:color w:val="auto"/>
              </w:rPr>
            </w:pPr>
            <w:r>
              <w:rPr>
                <w:rFonts w:ascii="Arial" w:cs="Arial" w:eastAsia="Arial" w:hAnsi="Arial"/>
                <w:sz w:val="18"/>
                <w:szCs w:val="18"/>
                <w:color w:val="auto"/>
              </w:rPr>
              <w:t>Burlington Coat Factory Realty of Pinebrook, Inc.</w:t>
            </w:r>
          </w:p>
        </w:tc>
        <w:tc>
          <w:tcPr>
            <w:tcW w:w="200" w:type="dxa"/>
            <w:vAlign w:val="bottom"/>
          </w:tcPr>
          <w:p>
            <w:pPr>
              <w:spacing w:after="0"/>
              <w:rPr>
                <w:sz w:val="18"/>
                <w:szCs w:val="18"/>
                <w:color w:val="auto"/>
              </w:rPr>
            </w:pPr>
          </w:p>
        </w:tc>
        <w:tc>
          <w:tcPr>
            <w:tcW w:w="2240" w:type="dxa"/>
            <w:vAlign w:val="bottom"/>
            <w:gridSpan w:val="2"/>
          </w:tcPr>
          <w:p>
            <w:pPr>
              <w:jc w:val="center"/>
              <w:ind w:right="20"/>
              <w:spacing w:after="0"/>
              <w:rPr>
                <w:sz w:val="20"/>
                <w:szCs w:val="20"/>
                <w:color w:val="auto"/>
              </w:rPr>
            </w:pPr>
            <w:r>
              <w:rPr>
                <w:rFonts w:ascii="Arial" w:cs="Arial" w:eastAsia="Arial" w:hAnsi="Arial"/>
                <w:sz w:val="18"/>
                <w:szCs w:val="18"/>
                <w:color w:val="auto"/>
                <w:w w:val="87"/>
              </w:rPr>
              <w:t>New Jersey</w:t>
            </w:r>
          </w:p>
        </w:tc>
        <w:tc>
          <w:tcPr>
            <w:tcW w:w="0" w:type="dxa"/>
            <w:vAlign w:val="bottom"/>
          </w:tcPr>
          <w:p>
            <w:pPr>
              <w:spacing w:after="0"/>
              <w:rPr>
                <w:sz w:val="1"/>
                <w:szCs w:val="1"/>
                <w:color w:val="auto"/>
              </w:rPr>
            </w:pPr>
          </w:p>
        </w:tc>
      </w:tr>
      <w:tr>
        <w:trPr>
          <w:trHeight w:val="216"/>
        </w:trPr>
        <w:tc>
          <w:tcPr>
            <w:tcW w:w="9000" w:type="dxa"/>
            <w:vAlign w:val="bottom"/>
          </w:tcPr>
          <w:p>
            <w:pPr>
              <w:spacing w:after="0"/>
              <w:rPr>
                <w:sz w:val="20"/>
                <w:szCs w:val="20"/>
                <w:color w:val="auto"/>
              </w:rPr>
            </w:pPr>
            <w:r>
              <w:rPr>
                <w:rFonts w:ascii="Arial" w:cs="Arial" w:eastAsia="Arial" w:hAnsi="Arial"/>
                <w:sz w:val="18"/>
                <w:szCs w:val="18"/>
                <w:color w:val="auto"/>
              </w:rPr>
              <w:t>Burlington Coat Factory Warehouse of Edgewater Park, Inc.</w:t>
            </w:r>
          </w:p>
        </w:tc>
        <w:tc>
          <w:tcPr>
            <w:tcW w:w="200" w:type="dxa"/>
            <w:vAlign w:val="bottom"/>
          </w:tcPr>
          <w:p>
            <w:pPr>
              <w:spacing w:after="0"/>
              <w:rPr>
                <w:sz w:val="18"/>
                <w:szCs w:val="18"/>
                <w:color w:val="auto"/>
              </w:rPr>
            </w:pPr>
          </w:p>
        </w:tc>
        <w:tc>
          <w:tcPr>
            <w:tcW w:w="2240" w:type="dxa"/>
            <w:vAlign w:val="bottom"/>
            <w:gridSpan w:val="2"/>
          </w:tcPr>
          <w:p>
            <w:pPr>
              <w:jc w:val="center"/>
              <w:ind w:right="20"/>
              <w:spacing w:after="0"/>
              <w:rPr>
                <w:sz w:val="20"/>
                <w:szCs w:val="20"/>
                <w:color w:val="auto"/>
              </w:rPr>
            </w:pPr>
            <w:r>
              <w:rPr>
                <w:rFonts w:ascii="Arial" w:cs="Arial" w:eastAsia="Arial" w:hAnsi="Arial"/>
                <w:sz w:val="18"/>
                <w:szCs w:val="18"/>
                <w:color w:val="auto"/>
                <w:w w:val="87"/>
              </w:rPr>
              <w:t>New Jersey</w:t>
            </w:r>
          </w:p>
        </w:tc>
        <w:tc>
          <w:tcPr>
            <w:tcW w:w="0" w:type="dxa"/>
            <w:vAlign w:val="bottom"/>
          </w:tcPr>
          <w:p>
            <w:pPr>
              <w:spacing w:after="0"/>
              <w:rPr>
                <w:sz w:val="1"/>
                <w:szCs w:val="1"/>
                <w:color w:val="auto"/>
              </w:rPr>
            </w:pPr>
          </w:p>
        </w:tc>
      </w:tr>
      <w:tr>
        <w:trPr>
          <w:trHeight w:val="216"/>
        </w:trPr>
        <w:tc>
          <w:tcPr>
            <w:tcW w:w="9000" w:type="dxa"/>
            <w:vAlign w:val="bottom"/>
          </w:tcPr>
          <w:p>
            <w:pPr>
              <w:spacing w:after="0"/>
              <w:rPr>
                <w:sz w:val="20"/>
                <w:szCs w:val="20"/>
                <w:color w:val="auto"/>
              </w:rPr>
            </w:pPr>
            <w:r>
              <w:rPr>
                <w:rFonts w:ascii="Arial" w:cs="Arial" w:eastAsia="Arial" w:hAnsi="Arial"/>
                <w:sz w:val="18"/>
                <w:szCs w:val="18"/>
                <w:color w:val="auto"/>
              </w:rPr>
              <w:t>Burlington Coat Factory Warehouse of Edgewater Park Urban Renewal Corp.</w:t>
            </w:r>
          </w:p>
        </w:tc>
        <w:tc>
          <w:tcPr>
            <w:tcW w:w="200" w:type="dxa"/>
            <w:vAlign w:val="bottom"/>
          </w:tcPr>
          <w:p>
            <w:pPr>
              <w:spacing w:after="0"/>
              <w:rPr>
                <w:sz w:val="18"/>
                <w:szCs w:val="18"/>
                <w:color w:val="auto"/>
              </w:rPr>
            </w:pPr>
          </w:p>
        </w:tc>
        <w:tc>
          <w:tcPr>
            <w:tcW w:w="2240" w:type="dxa"/>
            <w:vAlign w:val="bottom"/>
            <w:gridSpan w:val="2"/>
          </w:tcPr>
          <w:p>
            <w:pPr>
              <w:jc w:val="center"/>
              <w:ind w:right="20"/>
              <w:spacing w:after="0"/>
              <w:rPr>
                <w:sz w:val="20"/>
                <w:szCs w:val="20"/>
                <w:color w:val="auto"/>
              </w:rPr>
            </w:pPr>
            <w:r>
              <w:rPr>
                <w:rFonts w:ascii="Arial" w:cs="Arial" w:eastAsia="Arial" w:hAnsi="Arial"/>
                <w:sz w:val="18"/>
                <w:szCs w:val="18"/>
                <w:color w:val="auto"/>
                <w:w w:val="87"/>
              </w:rPr>
              <w:t>New Jersey</w:t>
            </w:r>
          </w:p>
        </w:tc>
        <w:tc>
          <w:tcPr>
            <w:tcW w:w="0" w:type="dxa"/>
            <w:vAlign w:val="bottom"/>
          </w:tcPr>
          <w:p>
            <w:pPr>
              <w:spacing w:after="0"/>
              <w:rPr>
                <w:sz w:val="1"/>
                <w:szCs w:val="1"/>
                <w:color w:val="auto"/>
              </w:rPr>
            </w:pPr>
          </w:p>
        </w:tc>
      </w:tr>
      <w:tr>
        <w:trPr>
          <w:trHeight w:val="216"/>
        </w:trPr>
        <w:tc>
          <w:tcPr>
            <w:tcW w:w="9000" w:type="dxa"/>
            <w:vAlign w:val="bottom"/>
          </w:tcPr>
          <w:p>
            <w:pPr>
              <w:spacing w:after="0"/>
              <w:rPr>
                <w:sz w:val="20"/>
                <w:szCs w:val="20"/>
                <w:color w:val="auto"/>
              </w:rPr>
            </w:pPr>
            <w:r>
              <w:rPr>
                <w:rFonts w:ascii="Arial" w:cs="Arial" w:eastAsia="Arial" w:hAnsi="Arial"/>
                <w:sz w:val="18"/>
                <w:szCs w:val="18"/>
                <w:color w:val="auto"/>
              </w:rPr>
              <w:t>Burlington Coat Factory Warehouse of New Jersey, Inc.</w:t>
            </w:r>
          </w:p>
        </w:tc>
        <w:tc>
          <w:tcPr>
            <w:tcW w:w="200" w:type="dxa"/>
            <w:vAlign w:val="bottom"/>
          </w:tcPr>
          <w:p>
            <w:pPr>
              <w:spacing w:after="0"/>
              <w:rPr>
                <w:sz w:val="18"/>
                <w:szCs w:val="18"/>
                <w:color w:val="auto"/>
              </w:rPr>
            </w:pPr>
          </w:p>
        </w:tc>
        <w:tc>
          <w:tcPr>
            <w:tcW w:w="2240" w:type="dxa"/>
            <w:vAlign w:val="bottom"/>
            <w:gridSpan w:val="2"/>
          </w:tcPr>
          <w:p>
            <w:pPr>
              <w:jc w:val="center"/>
              <w:ind w:right="20"/>
              <w:spacing w:after="0"/>
              <w:rPr>
                <w:sz w:val="20"/>
                <w:szCs w:val="20"/>
                <w:color w:val="auto"/>
              </w:rPr>
            </w:pPr>
            <w:r>
              <w:rPr>
                <w:rFonts w:ascii="Arial" w:cs="Arial" w:eastAsia="Arial" w:hAnsi="Arial"/>
                <w:sz w:val="18"/>
                <w:szCs w:val="18"/>
                <w:color w:val="auto"/>
                <w:w w:val="87"/>
              </w:rPr>
              <w:t>New Jersey</w:t>
            </w:r>
          </w:p>
        </w:tc>
        <w:tc>
          <w:tcPr>
            <w:tcW w:w="0" w:type="dxa"/>
            <w:vAlign w:val="bottom"/>
          </w:tcPr>
          <w:p>
            <w:pPr>
              <w:spacing w:after="0"/>
              <w:rPr>
                <w:sz w:val="1"/>
                <w:szCs w:val="1"/>
                <w:color w:val="auto"/>
              </w:rPr>
            </w:pPr>
          </w:p>
        </w:tc>
      </w:tr>
      <w:tr>
        <w:trPr>
          <w:trHeight w:val="216"/>
        </w:trPr>
        <w:tc>
          <w:tcPr>
            <w:tcW w:w="9000" w:type="dxa"/>
            <w:vAlign w:val="bottom"/>
          </w:tcPr>
          <w:p>
            <w:pPr>
              <w:spacing w:after="0"/>
              <w:rPr>
                <w:sz w:val="20"/>
                <w:szCs w:val="20"/>
                <w:color w:val="auto"/>
              </w:rPr>
            </w:pPr>
            <w:r>
              <w:rPr>
                <w:rFonts w:ascii="Arial" w:cs="Arial" w:eastAsia="Arial" w:hAnsi="Arial"/>
                <w:sz w:val="18"/>
                <w:szCs w:val="18"/>
                <w:color w:val="auto"/>
              </w:rPr>
              <w:t>BCF Florence Urban Renewal, L.L.C.</w:t>
            </w:r>
          </w:p>
        </w:tc>
        <w:tc>
          <w:tcPr>
            <w:tcW w:w="200" w:type="dxa"/>
            <w:vAlign w:val="bottom"/>
          </w:tcPr>
          <w:p>
            <w:pPr>
              <w:spacing w:after="0"/>
              <w:rPr>
                <w:sz w:val="18"/>
                <w:szCs w:val="18"/>
                <w:color w:val="auto"/>
              </w:rPr>
            </w:pPr>
          </w:p>
        </w:tc>
        <w:tc>
          <w:tcPr>
            <w:tcW w:w="2240" w:type="dxa"/>
            <w:vAlign w:val="bottom"/>
            <w:gridSpan w:val="2"/>
          </w:tcPr>
          <w:p>
            <w:pPr>
              <w:jc w:val="center"/>
              <w:ind w:right="20"/>
              <w:spacing w:after="0"/>
              <w:rPr>
                <w:sz w:val="20"/>
                <w:szCs w:val="20"/>
                <w:color w:val="auto"/>
              </w:rPr>
            </w:pPr>
            <w:r>
              <w:rPr>
                <w:rFonts w:ascii="Arial" w:cs="Arial" w:eastAsia="Arial" w:hAnsi="Arial"/>
                <w:sz w:val="18"/>
                <w:szCs w:val="18"/>
                <w:color w:val="auto"/>
                <w:w w:val="87"/>
              </w:rPr>
              <w:t>New Jersey</w:t>
            </w:r>
          </w:p>
        </w:tc>
        <w:tc>
          <w:tcPr>
            <w:tcW w:w="0" w:type="dxa"/>
            <w:vAlign w:val="bottom"/>
          </w:tcPr>
          <w:p>
            <w:pPr>
              <w:spacing w:after="0"/>
              <w:rPr>
                <w:sz w:val="1"/>
                <w:szCs w:val="1"/>
                <w:color w:val="auto"/>
              </w:rPr>
            </w:pPr>
          </w:p>
        </w:tc>
      </w:tr>
      <w:tr>
        <w:trPr>
          <w:trHeight w:val="216"/>
        </w:trPr>
        <w:tc>
          <w:tcPr>
            <w:tcW w:w="9000" w:type="dxa"/>
            <w:vAlign w:val="bottom"/>
          </w:tcPr>
          <w:p>
            <w:pPr>
              <w:spacing w:after="0"/>
              <w:rPr>
                <w:sz w:val="20"/>
                <w:szCs w:val="20"/>
                <w:color w:val="auto"/>
              </w:rPr>
            </w:pPr>
            <w:r>
              <w:rPr>
                <w:rFonts w:ascii="Arial" w:cs="Arial" w:eastAsia="Arial" w:hAnsi="Arial"/>
                <w:sz w:val="18"/>
                <w:szCs w:val="18"/>
                <w:color w:val="auto"/>
              </w:rPr>
              <w:t>Burlington Coat Factory Warehouse of Cleveland, Inc.</w:t>
            </w:r>
          </w:p>
        </w:tc>
        <w:tc>
          <w:tcPr>
            <w:tcW w:w="200" w:type="dxa"/>
            <w:vAlign w:val="bottom"/>
          </w:tcPr>
          <w:p>
            <w:pPr>
              <w:spacing w:after="0"/>
              <w:rPr>
                <w:sz w:val="18"/>
                <w:szCs w:val="18"/>
                <w:color w:val="auto"/>
              </w:rPr>
            </w:pPr>
          </w:p>
        </w:tc>
        <w:tc>
          <w:tcPr>
            <w:tcW w:w="2240" w:type="dxa"/>
            <w:vAlign w:val="bottom"/>
            <w:gridSpan w:val="2"/>
          </w:tcPr>
          <w:p>
            <w:pPr>
              <w:ind w:left="840"/>
              <w:spacing w:after="0"/>
              <w:rPr>
                <w:sz w:val="20"/>
                <w:szCs w:val="20"/>
                <w:color w:val="auto"/>
              </w:rPr>
            </w:pPr>
            <w:r>
              <w:rPr>
                <w:rFonts w:ascii="Arial" w:cs="Arial" w:eastAsia="Arial" w:hAnsi="Arial"/>
                <w:sz w:val="18"/>
                <w:szCs w:val="18"/>
                <w:color w:val="auto"/>
              </w:rPr>
              <w:t>Ohio</w:t>
            </w:r>
          </w:p>
        </w:tc>
        <w:tc>
          <w:tcPr>
            <w:tcW w:w="0" w:type="dxa"/>
            <w:vAlign w:val="bottom"/>
          </w:tcPr>
          <w:p>
            <w:pPr>
              <w:spacing w:after="0"/>
              <w:rPr>
                <w:sz w:val="1"/>
                <w:szCs w:val="1"/>
                <w:color w:val="auto"/>
              </w:rPr>
            </w:pPr>
          </w:p>
        </w:tc>
      </w:tr>
      <w:tr>
        <w:trPr>
          <w:trHeight w:val="216"/>
        </w:trPr>
        <w:tc>
          <w:tcPr>
            <w:tcW w:w="9000" w:type="dxa"/>
            <w:vAlign w:val="bottom"/>
          </w:tcPr>
          <w:p>
            <w:pPr>
              <w:spacing w:after="0"/>
              <w:rPr>
                <w:sz w:val="20"/>
                <w:szCs w:val="20"/>
                <w:color w:val="auto"/>
              </w:rPr>
            </w:pPr>
            <w:r>
              <w:rPr>
                <w:rFonts w:ascii="Arial" w:cs="Arial" w:eastAsia="Arial" w:hAnsi="Arial"/>
                <w:sz w:val="18"/>
                <w:szCs w:val="18"/>
                <w:color w:val="auto"/>
              </w:rPr>
              <w:t>Burlington Coat Factory of Puerto Rico, LLC</w:t>
            </w:r>
          </w:p>
        </w:tc>
        <w:tc>
          <w:tcPr>
            <w:tcW w:w="200" w:type="dxa"/>
            <w:vAlign w:val="bottom"/>
          </w:tcPr>
          <w:p>
            <w:pPr>
              <w:spacing w:after="0"/>
              <w:rPr>
                <w:sz w:val="18"/>
                <w:szCs w:val="18"/>
                <w:color w:val="auto"/>
              </w:rPr>
            </w:pPr>
          </w:p>
        </w:tc>
        <w:tc>
          <w:tcPr>
            <w:tcW w:w="2240" w:type="dxa"/>
            <w:vAlign w:val="bottom"/>
            <w:gridSpan w:val="2"/>
          </w:tcPr>
          <w:p>
            <w:pPr>
              <w:jc w:val="center"/>
              <w:ind w:left="131"/>
              <w:spacing w:after="0"/>
              <w:rPr>
                <w:sz w:val="20"/>
                <w:szCs w:val="20"/>
                <w:color w:val="auto"/>
              </w:rPr>
            </w:pPr>
            <w:r>
              <w:rPr>
                <w:rFonts w:ascii="Arial" w:cs="Arial" w:eastAsia="Arial" w:hAnsi="Arial"/>
                <w:sz w:val="18"/>
                <w:szCs w:val="18"/>
                <w:color w:val="auto"/>
                <w:w w:val="91"/>
              </w:rPr>
              <w:t>Puerto Rico</w:t>
            </w:r>
          </w:p>
        </w:tc>
        <w:tc>
          <w:tcPr>
            <w:tcW w:w="0" w:type="dxa"/>
            <w:vAlign w:val="bottom"/>
          </w:tcPr>
          <w:p>
            <w:pPr>
              <w:spacing w:after="0"/>
              <w:rPr>
                <w:sz w:val="1"/>
                <w:szCs w:val="1"/>
                <w:color w:val="auto"/>
              </w:rPr>
            </w:pPr>
          </w:p>
        </w:tc>
      </w:tr>
      <w:tr>
        <w:trPr>
          <w:trHeight w:val="216"/>
        </w:trPr>
        <w:tc>
          <w:tcPr>
            <w:tcW w:w="9000" w:type="dxa"/>
            <w:vAlign w:val="bottom"/>
          </w:tcPr>
          <w:p>
            <w:pPr>
              <w:spacing w:after="0"/>
              <w:rPr>
                <w:sz w:val="20"/>
                <w:szCs w:val="20"/>
                <w:color w:val="auto"/>
              </w:rPr>
            </w:pPr>
            <w:r>
              <w:rPr>
                <w:rFonts w:ascii="Arial" w:cs="Arial" w:eastAsia="Arial" w:hAnsi="Arial"/>
                <w:sz w:val="18"/>
                <w:szCs w:val="18"/>
                <w:color w:val="auto"/>
              </w:rPr>
              <w:t>Cohoes Fashions of Cranston, Inc.</w:t>
            </w:r>
          </w:p>
        </w:tc>
        <w:tc>
          <w:tcPr>
            <w:tcW w:w="200" w:type="dxa"/>
            <w:vAlign w:val="bottom"/>
          </w:tcPr>
          <w:p>
            <w:pPr>
              <w:spacing w:after="0"/>
              <w:rPr>
                <w:sz w:val="18"/>
                <w:szCs w:val="18"/>
                <w:color w:val="auto"/>
              </w:rPr>
            </w:pPr>
          </w:p>
        </w:tc>
        <w:tc>
          <w:tcPr>
            <w:tcW w:w="2240" w:type="dxa"/>
            <w:vAlign w:val="bottom"/>
            <w:gridSpan w:val="2"/>
          </w:tcPr>
          <w:p>
            <w:pPr>
              <w:jc w:val="center"/>
              <w:ind w:left="111"/>
              <w:spacing w:after="0"/>
              <w:rPr>
                <w:sz w:val="20"/>
                <w:szCs w:val="20"/>
                <w:color w:val="auto"/>
              </w:rPr>
            </w:pPr>
            <w:r>
              <w:rPr>
                <w:rFonts w:ascii="Arial" w:cs="Arial" w:eastAsia="Arial" w:hAnsi="Arial"/>
                <w:sz w:val="18"/>
                <w:szCs w:val="18"/>
                <w:color w:val="auto"/>
                <w:w w:val="90"/>
              </w:rPr>
              <w:t>Rhode Island</w:t>
            </w:r>
          </w:p>
        </w:tc>
        <w:tc>
          <w:tcPr>
            <w:tcW w:w="0" w:type="dxa"/>
            <w:vAlign w:val="bottom"/>
          </w:tcPr>
          <w:p>
            <w:pPr>
              <w:spacing w:after="0"/>
              <w:rPr>
                <w:sz w:val="1"/>
                <w:szCs w:val="1"/>
                <w:color w:val="auto"/>
              </w:rPr>
            </w:pPr>
          </w:p>
        </w:tc>
      </w:tr>
      <w:tr>
        <w:trPr>
          <w:trHeight w:val="216"/>
        </w:trPr>
        <w:tc>
          <w:tcPr>
            <w:tcW w:w="9000" w:type="dxa"/>
            <w:vAlign w:val="bottom"/>
          </w:tcPr>
          <w:p>
            <w:pPr>
              <w:spacing w:after="0"/>
              <w:rPr>
                <w:sz w:val="20"/>
                <w:szCs w:val="20"/>
                <w:color w:val="auto"/>
              </w:rPr>
            </w:pPr>
            <w:r>
              <w:rPr>
                <w:rFonts w:ascii="Arial" w:cs="Arial" w:eastAsia="Arial" w:hAnsi="Arial"/>
                <w:sz w:val="18"/>
                <w:szCs w:val="18"/>
                <w:color w:val="auto"/>
              </w:rPr>
              <w:t>Burlington Coat Factory Warehouse of Baytown, Inc.</w:t>
            </w:r>
          </w:p>
        </w:tc>
        <w:tc>
          <w:tcPr>
            <w:tcW w:w="200" w:type="dxa"/>
            <w:vAlign w:val="bottom"/>
          </w:tcPr>
          <w:p>
            <w:pPr>
              <w:spacing w:after="0"/>
              <w:rPr>
                <w:sz w:val="18"/>
                <w:szCs w:val="18"/>
                <w:color w:val="auto"/>
              </w:rPr>
            </w:pPr>
          </w:p>
        </w:tc>
        <w:tc>
          <w:tcPr>
            <w:tcW w:w="2240" w:type="dxa"/>
            <w:vAlign w:val="bottom"/>
            <w:gridSpan w:val="2"/>
          </w:tcPr>
          <w:p>
            <w:pPr>
              <w:jc w:val="center"/>
              <w:ind w:left="131"/>
              <w:spacing w:after="0"/>
              <w:rPr>
                <w:sz w:val="20"/>
                <w:szCs w:val="20"/>
                <w:color w:val="auto"/>
              </w:rPr>
            </w:pPr>
            <w:r>
              <w:rPr>
                <w:rFonts w:ascii="Arial" w:cs="Arial" w:eastAsia="Arial" w:hAnsi="Arial"/>
                <w:sz w:val="18"/>
                <w:szCs w:val="18"/>
                <w:color w:val="auto"/>
                <w:w w:val="85"/>
              </w:rPr>
              <w:t>Texas</w:t>
            </w:r>
          </w:p>
        </w:tc>
        <w:tc>
          <w:tcPr>
            <w:tcW w:w="0" w:type="dxa"/>
            <w:vAlign w:val="bottom"/>
          </w:tcPr>
          <w:p>
            <w:pPr>
              <w:spacing w:after="0"/>
              <w:rPr>
                <w:sz w:val="1"/>
                <w:szCs w:val="1"/>
                <w:color w:val="auto"/>
              </w:rPr>
            </w:pPr>
          </w:p>
        </w:tc>
      </w:tr>
      <w:tr>
        <w:trPr>
          <w:trHeight w:val="216"/>
        </w:trPr>
        <w:tc>
          <w:tcPr>
            <w:tcW w:w="9000" w:type="dxa"/>
            <w:vAlign w:val="bottom"/>
          </w:tcPr>
          <w:p>
            <w:pPr>
              <w:spacing w:after="0"/>
              <w:rPr>
                <w:sz w:val="20"/>
                <w:szCs w:val="20"/>
                <w:color w:val="auto"/>
              </w:rPr>
            </w:pPr>
            <w:r>
              <w:rPr>
                <w:rFonts w:ascii="Arial" w:cs="Arial" w:eastAsia="Arial" w:hAnsi="Arial"/>
                <w:sz w:val="18"/>
                <w:szCs w:val="18"/>
                <w:color w:val="auto"/>
              </w:rPr>
              <w:t>BCF Cards, Inc.</w:t>
            </w:r>
          </w:p>
        </w:tc>
        <w:tc>
          <w:tcPr>
            <w:tcW w:w="200" w:type="dxa"/>
            <w:vAlign w:val="bottom"/>
          </w:tcPr>
          <w:p>
            <w:pPr>
              <w:spacing w:after="0"/>
              <w:rPr>
                <w:sz w:val="18"/>
                <w:szCs w:val="18"/>
                <w:color w:val="auto"/>
              </w:rPr>
            </w:pPr>
          </w:p>
        </w:tc>
        <w:tc>
          <w:tcPr>
            <w:tcW w:w="2240" w:type="dxa"/>
            <w:vAlign w:val="bottom"/>
            <w:gridSpan w:val="2"/>
          </w:tcPr>
          <w:p>
            <w:pPr>
              <w:jc w:val="center"/>
              <w:ind w:left="131"/>
              <w:spacing w:after="0"/>
              <w:rPr>
                <w:sz w:val="20"/>
                <w:szCs w:val="20"/>
                <w:color w:val="auto"/>
              </w:rPr>
            </w:pPr>
            <w:r>
              <w:rPr>
                <w:rFonts w:ascii="Arial" w:cs="Arial" w:eastAsia="Arial" w:hAnsi="Arial"/>
                <w:sz w:val="18"/>
                <w:szCs w:val="18"/>
                <w:color w:val="auto"/>
                <w:w w:val="96"/>
              </w:rPr>
              <w:t>Virginia</w:t>
            </w:r>
          </w:p>
        </w:tc>
        <w:tc>
          <w:tcPr>
            <w:tcW w:w="0" w:type="dxa"/>
            <w:vAlign w:val="bottom"/>
          </w:tcPr>
          <w:p>
            <w:pPr>
              <w:spacing w:after="0"/>
              <w:rPr>
                <w:sz w:val="1"/>
                <w:szCs w:val="1"/>
                <w:color w:val="auto"/>
              </w:rPr>
            </w:pPr>
          </w:p>
        </w:tc>
      </w:tr>
      <w:tr>
        <w:trPr>
          <w:trHeight w:val="216"/>
        </w:trPr>
        <w:tc>
          <w:tcPr>
            <w:tcW w:w="9000" w:type="dxa"/>
            <w:vAlign w:val="bottom"/>
          </w:tcPr>
          <w:p>
            <w:pPr>
              <w:spacing w:after="0"/>
              <w:rPr>
                <w:sz w:val="20"/>
                <w:szCs w:val="20"/>
                <w:color w:val="auto"/>
              </w:rPr>
            </w:pPr>
            <w:r>
              <w:rPr>
                <w:rFonts w:ascii="Arial" w:cs="Arial" w:eastAsia="Arial" w:hAnsi="Arial"/>
                <w:sz w:val="18"/>
                <w:szCs w:val="18"/>
                <w:color w:val="auto"/>
              </w:rPr>
              <w:t>Burlington Coat Factory of Pocono Crossing, LLC</w:t>
            </w:r>
          </w:p>
        </w:tc>
        <w:tc>
          <w:tcPr>
            <w:tcW w:w="200" w:type="dxa"/>
            <w:vAlign w:val="bottom"/>
          </w:tcPr>
          <w:p>
            <w:pPr>
              <w:spacing w:after="0"/>
              <w:rPr>
                <w:sz w:val="18"/>
                <w:szCs w:val="18"/>
                <w:color w:val="auto"/>
              </w:rPr>
            </w:pPr>
          </w:p>
        </w:tc>
        <w:tc>
          <w:tcPr>
            <w:tcW w:w="2240" w:type="dxa"/>
            <w:vAlign w:val="bottom"/>
            <w:gridSpan w:val="2"/>
          </w:tcPr>
          <w:p>
            <w:pPr>
              <w:jc w:val="center"/>
              <w:ind w:left="131"/>
              <w:spacing w:after="0"/>
              <w:rPr>
                <w:sz w:val="20"/>
                <w:szCs w:val="20"/>
                <w:color w:val="auto"/>
              </w:rPr>
            </w:pPr>
            <w:r>
              <w:rPr>
                <w:rFonts w:ascii="Arial" w:cs="Arial" w:eastAsia="Arial" w:hAnsi="Arial"/>
                <w:sz w:val="18"/>
                <w:szCs w:val="18"/>
                <w:color w:val="auto"/>
                <w:w w:val="96"/>
              </w:rPr>
              <w:t>Virginia</w:t>
            </w:r>
          </w:p>
        </w:tc>
        <w:tc>
          <w:tcPr>
            <w:tcW w:w="0" w:type="dxa"/>
            <w:vAlign w:val="bottom"/>
          </w:tcPr>
          <w:p>
            <w:pPr>
              <w:spacing w:after="0"/>
              <w:rPr>
                <w:sz w:val="1"/>
                <w:szCs w:val="1"/>
                <w:color w:val="auto"/>
              </w:rPr>
            </w:pPr>
          </w:p>
        </w:tc>
      </w:tr>
      <w:tr>
        <w:trPr>
          <w:trHeight w:val="230"/>
        </w:trPr>
        <w:tc>
          <w:tcPr>
            <w:tcW w:w="9000" w:type="dxa"/>
            <w:vAlign w:val="bottom"/>
          </w:tcPr>
          <w:p>
            <w:pPr>
              <w:spacing w:after="0"/>
              <w:rPr>
                <w:sz w:val="20"/>
                <w:szCs w:val="20"/>
                <w:color w:val="auto"/>
              </w:rPr>
            </w:pPr>
            <w:r>
              <w:rPr>
                <w:rFonts w:ascii="Arial" w:cs="Arial" w:eastAsia="Arial" w:hAnsi="Arial"/>
                <w:sz w:val="18"/>
                <w:szCs w:val="18"/>
                <w:color w:val="auto"/>
              </w:rPr>
              <w:t>Florence Insurance Company, Inc.</w:t>
            </w:r>
          </w:p>
        </w:tc>
        <w:tc>
          <w:tcPr>
            <w:tcW w:w="200" w:type="dxa"/>
            <w:vAlign w:val="bottom"/>
          </w:tcPr>
          <w:p>
            <w:pPr>
              <w:spacing w:after="0"/>
              <w:rPr>
                <w:sz w:val="20"/>
                <w:szCs w:val="20"/>
                <w:color w:val="auto"/>
              </w:rPr>
            </w:pPr>
          </w:p>
        </w:tc>
        <w:tc>
          <w:tcPr>
            <w:tcW w:w="2240" w:type="dxa"/>
            <w:vAlign w:val="bottom"/>
            <w:gridSpan w:val="2"/>
          </w:tcPr>
          <w:p>
            <w:pPr>
              <w:jc w:val="center"/>
              <w:ind w:left="111"/>
              <w:spacing w:after="0"/>
              <w:rPr>
                <w:sz w:val="20"/>
                <w:szCs w:val="20"/>
                <w:color w:val="auto"/>
              </w:rPr>
            </w:pPr>
            <w:r>
              <w:rPr>
                <w:rFonts w:ascii="Arial" w:cs="Arial" w:eastAsia="Arial" w:hAnsi="Arial"/>
                <w:sz w:val="18"/>
                <w:szCs w:val="18"/>
                <w:color w:val="auto"/>
                <w:w w:val="89"/>
              </w:rPr>
              <w:t>New Jersey</w:t>
            </w:r>
          </w:p>
        </w:tc>
        <w:tc>
          <w:tcPr>
            <w:tcW w:w="0" w:type="dxa"/>
            <w:vAlign w:val="bottom"/>
          </w:tcPr>
          <w:p>
            <w:pPr>
              <w:spacing w:after="0"/>
              <w:rPr>
                <w:sz w:val="1"/>
                <w:szCs w:val="1"/>
                <w:color w:val="auto"/>
              </w:rPr>
            </w:pPr>
          </w:p>
        </w:tc>
      </w:tr>
    </w:tbl>
    <w:p>
      <w:pPr>
        <w:sectPr>
          <w:pgSz w:w="11900" w:h="16838" w:orient="portrait"/>
          <w:cols w:equalWidth="0" w:num="1">
            <w:col w:w="11420"/>
          </w:cols>
          <w:pgMar w:left="240" w:top="337" w:right="2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consent to the incorporation by reference in Registration Statement No. 333-191637 on Form S-8 of our reports dated March 20, 2018, relating to the consolidated financial statements and financial statement schedules of Burlington Stores, Inc. and subsidiaries, and the effectiveness of Burlington Stores, Inc. and subsidiaries' internal control over financial reporting, appearing in this Annual Report on Form 10-K of Burlington Stores, Inc. for the year ended February 3, 2018.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Parsippany, New Jersey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20, 2018</w:t>
      </w:r>
    </w:p>
    <w:p>
      <w:pPr>
        <w:sectPr>
          <w:pgSz w:w="11900" w:h="16838" w:orient="portrait"/>
          <w:cols w:equalWidth="0" w:num="1">
            <w:col w:w="11420"/>
          </w:cols>
          <w:pgMar w:left="240" w:top="121" w:right="2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Thomas A. Kingsbury, certify that:</w:t>
      </w:r>
    </w:p>
    <w:p>
      <w:pPr>
        <w:spacing w:after="0" w:line="225" w:lineRule="exact"/>
        <w:rPr>
          <w:sz w:val="20"/>
          <w:szCs w:val="20"/>
          <w:color w:val="auto"/>
        </w:rPr>
      </w:pPr>
    </w:p>
    <w:p>
      <w:pPr>
        <w:ind w:left="180" w:hanging="172"/>
        <w:spacing w:after="0"/>
        <w:tabs>
          <w:tab w:leader="none" w:pos="1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Burlington Stores, Inc.;</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right="520" w:firstLine="526"/>
        <w:spacing w:after="0" w:line="264" w:lineRule="auto"/>
        <w:tabs>
          <w:tab w:leader="none" w:pos="688"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20" w:firstLine="526"/>
        <w:spacing w:after="0" w:line="264" w:lineRule="auto"/>
        <w:tabs>
          <w:tab w:leader="none" w:pos="698"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40" w:firstLine="526"/>
        <w:spacing w:after="0" w:line="277" w:lineRule="auto"/>
        <w:tabs>
          <w:tab w:leader="none" w:pos="688" w:val="left"/>
        </w:tabs>
        <w:numPr>
          <w:ilvl w:val="1"/>
          <w:numId w:val="5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right="60" w:firstLine="526"/>
        <w:spacing w:after="0" w:line="264" w:lineRule="auto"/>
        <w:tabs>
          <w:tab w:leader="none" w:pos="698" w:val="left"/>
        </w:tabs>
        <w:numPr>
          <w:ilvl w:val="1"/>
          <w:numId w:val="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640" w:firstLine="8"/>
        <w:spacing w:after="0" w:line="308" w:lineRule="auto"/>
        <w:tabs>
          <w:tab w:leader="none" w:pos="1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right="420" w:firstLine="526"/>
        <w:spacing w:after="0" w:line="277" w:lineRule="auto"/>
        <w:tabs>
          <w:tab w:leader="none" w:pos="688" w:val="left"/>
        </w:tabs>
        <w:numPr>
          <w:ilvl w:val="1"/>
          <w:numId w:val="5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360" w:firstLine="526"/>
        <w:spacing w:after="0" w:line="277" w:lineRule="auto"/>
        <w:tabs>
          <w:tab w:leader="none" w:pos="698"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20, 2018</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/s/ Thomas A. Kingsbury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Thomas A. Kingsbury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1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Chairman, 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337" w:right="2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Marc Katz, certify that:</w:t>
      </w:r>
    </w:p>
    <w:p>
      <w:pPr>
        <w:spacing w:after="0" w:line="225" w:lineRule="exact"/>
        <w:rPr>
          <w:sz w:val="20"/>
          <w:szCs w:val="20"/>
          <w:color w:val="auto"/>
        </w:rPr>
      </w:pPr>
    </w:p>
    <w:p>
      <w:pPr>
        <w:ind w:left="180" w:hanging="172"/>
        <w:spacing w:after="0"/>
        <w:tabs>
          <w:tab w:leader="none" w:pos="1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Burlington Stores, Inc.;</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right="520" w:firstLine="526"/>
        <w:spacing w:after="0" w:line="264" w:lineRule="auto"/>
        <w:tabs>
          <w:tab w:leader="none" w:pos="688"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20" w:firstLine="526"/>
        <w:spacing w:after="0" w:line="264" w:lineRule="auto"/>
        <w:tabs>
          <w:tab w:leader="none" w:pos="698"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40" w:firstLine="526"/>
        <w:spacing w:after="0" w:line="277" w:lineRule="auto"/>
        <w:tabs>
          <w:tab w:leader="none" w:pos="688" w:val="left"/>
        </w:tabs>
        <w:numPr>
          <w:ilvl w:val="1"/>
          <w:numId w:val="5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right="60" w:firstLine="526"/>
        <w:spacing w:after="0" w:line="264" w:lineRule="auto"/>
        <w:tabs>
          <w:tab w:leader="none" w:pos="698" w:val="left"/>
        </w:tabs>
        <w:numPr>
          <w:ilvl w:val="1"/>
          <w:numId w:val="5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640" w:firstLine="8"/>
        <w:spacing w:after="0" w:line="308" w:lineRule="auto"/>
        <w:tabs>
          <w:tab w:leader="none" w:pos="18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right="420" w:firstLine="526"/>
        <w:spacing w:after="0" w:line="277" w:lineRule="auto"/>
        <w:tabs>
          <w:tab w:leader="none" w:pos="688" w:val="left"/>
        </w:tabs>
        <w:numPr>
          <w:ilvl w:val="1"/>
          <w:numId w:val="5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360" w:firstLine="526"/>
        <w:spacing w:after="0" w:line="277" w:lineRule="auto"/>
        <w:tabs>
          <w:tab w:leader="none" w:pos="698"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20, 2018</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/s/ Marc Katz</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 Katz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1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Officer/Principal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337" w:right="2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jc w:val="both"/>
        <w:ind w:right="340"/>
        <w:spacing w:after="0" w:line="286" w:lineRule="auto"/>
        <w:rPr>
          <w:sz w:val="20"/>
          <w:szCs w:val="20"/>
          <w:color w:val="auto"/>
        </w:rPr>
      </w:pPr>
      <w:r>
        <w:rPr>
          <w:rFonts w:ascii="Arial" w:cs="Arial" w:eastAsia="Arial" w:hAnsi="Arial"/>
          <w:sz w:val="17"/>
          <w:szCs w:val="17"/>
          <w:color w:val="auto"/>
        </w:rPr>
        <w:t>In connection with the Annual Report of Burlington Stores, Inc. (the “Company”) on Form 10-K for the period ending February 3, 2018, as filed with the Securities and Exchange Commission on the date hereof (the “Report”), I, Thomas A. Kingsbury, Chairman, President and Chief Executive Officer of the Company, certify, pursuant to 18 U.S.C. §1350, as adopted pursuant to §906 of the Sarbanes-Oxley Act of 2002, that:</w:t>
      </w:r>
    </w:p>
    <w:p>
      <w:pPr>
        <w:spacing w:after="0" w:line="166" w:lineRule="exact"/>
        <w:rPr>
          <w:sz w:val="20"/>
          <w:szCs w:val="20"/>
          <w:color w:val="auto"/>
        </w:rPr>
      </w:pPr>
    </w:p>
    <w:p>
      <w:pPr>
        <w:ind w:left="780" w:hanging="254"/>
        <w:spacing w:after="0"/>
        <w:tabs>
          <w:tab w:leader="none" w:pos="7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300" w:firstLine="526"/>
        <w:spacing w:after="0" w:line="516" w:lineRule="auto"/>
        <w:tabs>
          <w:tab w:leader="none" w:pos="773"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position and results of operations of the Company. Date: March 20, 2018</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 Thomas A. Kingsbury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Thomas A. Kingsbury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1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Chairman, 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337" w:right="2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In connection with the Annual Report of Burlington Stores, Inc. (the “Company”) on Form 10-K for the period ending February 3, 2018, as filed with the Securities and Exchange Commission on the date hereof (the “Report”), I, Marc Katz, Chief Financial Officer/Principal of the Company, certify, pursuant to 18 U.S.C. §1350, as adopted pursuant to §906 of the Sarbanes-Oxley Act of 2002, that:</w:t>
      </w:r>
    </w:p>
    <w:p>
      <w:pPr>
        <w:spacing w:after="0" w:line="181" w:lineRule="exact"/>
        <w:rPr>
          <w:sz w:val="20"/>
          <w:szCs w:val="20"/>
          <w:color w:val="auto"/>
        </w:rPr>
      </w:pPr>
    </w:p>
    <w:p>
      <w:pPr>
        <w:ind w:left="780" w:hanging="254"/>
        <w:spacing w:after="0"/>
        <w:tabs>
          <w:tab w:leader="none" w:pos="7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300" w:firstLine="526"/>
        <w:spacing w:after="0" w:line="516" w:lineRule="auto"/>
        <w:tabs>
          <w:tab w:leader="none" w:pos="773"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position and results of operations of the Company. Date: March 20, 2018</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 Marc Katz</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 Katz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1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Officer/Principal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
      <w:numFmt w:val="bullet"/>
      <w:start w:val="1"/>
    </w:lvl>
    <w:lvl w:ilvl="1">
      <w:lvlJc w:val="left"/>
      <w:lvlText w:val="•"/>
      <w:numFmt w:val="bullet"/>
      <w:start w:val="1"/>
    </w:lvl>
  </w:abstractNum>
  <w:abstractNum w:abstractNumId="3">
    <w:nsid w:val="836C40E"/>
    <w:multiLevelType w:val="hybridMultilevel"/>
    <w:lvl w:ilvl="0">
      <w:lvlJc w:val="left"/>
      <w:lvlText w:val="•"/>
      <w:numFmt w:val="bullet"/>
      <w:start w:val="1"/>
    </w:lvl>
  </w:abstractNum>
  <w:abstractNum w:abstractNumId="4">
    <w:nsid w:val="2901D82"/>
    <w:multiLevelType w:val="hybridMultilevel"/>
    <w:lvl w:ilvl="0">
      <w:lvlJc w:val="left"/>
      <w:lvlText w:val="•"/>
      <w:numFmt w:val="bullet"/>
      <w:start w:val="1"/>
    </w:lvl>
  </w:abstractNum>
  <w:abstractNum w:abstractNumId="5">
    <w:nsid w:val="3A95F874"/>
    <w:multiLevelType w:val="hybridMultilevel"/>
    <w:lvl w:ilvl="0">
      <w:lvlJc w:val="left"/>
      <w:lvlText w:val="•"/>
      <w:numFmt w:val="bullet"/>
      <w:start w:val="1"/>
    </w:lvl>
  </w:abstractNum>
  <w:abstractNum w:abstractNumId="6">
    <w:nsid w:val="8138641"/>
    <w:multiLevelType w:val="hybridMultilevel"/>
    <w:lvl w:ilvl="0">
      <w:lvlJc w:val="left"/>
      <w:lvlText w:val="•"/>
      <w:numFmt w:val="bullet"/>
      <w:start w:val="1"/>
    </w:lvl>
  </w:abstractNum>
  <w:abstractNum w:abstractNumId="7">
    <w:nsid w:val="1E7FF521"/>
    <w:multiLevelType w:val="hybridMultilevel"/>
    <w:lvl w:ilvl="0">
      <w:lvlJc w:val="left"/>
      <w:lvlText w:val="•"/>
      <w:numFmt w:val="bullet"/>
      <w:start w:val="1"/>
    </w:lvl>
  </w:abstractNum>
  <w:abstractNum w:abstractNumId="8">
    <w:nsid w:val="7C3DBD3D"/>
    <w:multiLevelType w:val="hybridMultilevel"/>
    <w:lvl w:ilvl="0">
      <w:lvlJc w:val="left"/>
      <w:lvlText w:val="•"/>
      <w:numFmt w:val="bullet"/>
      <w:start w:val="1"/>
    </w:lvl>
  </w:abstractNum>
  <w:abstractNum w:abstractNumId="9">
    <w:nsid w:val="737B8DDC"/>
    <w:multiLevelType w:val="hybridMultilevel"/>
    <w:lvl w:ilvl="0">
      <w:lvlJc w:val="left"/>
      <w:lvlText w:val="(%1)"/>
      <w:numFmt w:val="lowerLetter"/>
      <w:start w:val="1"/>
    </w:lvl>
  </w:abstractNum>
  <w:abstractNum w:abstractNumId="10">
    <w:nsid w:val="6CEAF087"/>
    <w:multiLevelType w:val="hybridMultilevel"/>
    <w:lvl w:ilvl="0">
      <w:lvlJc w:val="left"/>
      <w:lvlText w:val="(%1)"/>
      <w:numFmt w:val="decimal"/>
      <w:start w:val="1"/>
    </w:lvl>
  </w:abstractNum>
  <w:abstractNum w:abstractNumId="11">
    <w:nsid w:val="22221A70"/>
    <w:multiLevelType w:val="hybridMultilevel"/>
    <w:lvl w:ilvl="0">
      <w:lvlJc w:val="left"/>
      <w:lvlText w:val="(%1)"/>
      <w:numFmt w:val="decimal"/>
      <w:start w:val="1"/>
    </w:lvl>
  </w:abstractNum>
  <w:abstractNum w:abstractNumId="12">
    <w:nsid w:val="4516DDE9"/>
    <w:multiLevelType w:val="hybridMultilevel"/>
    <w:lvl w:ilvl="0">
      <w:lvlJc w:val="left"/>
      <w:lvlText w:val="(%1)"/>
      <w:numFmt w:val="decimal"/>
      <w:start w:val="5"/>
    </w:lvl>
  </w:abstractNum>
  <w:abstractNum w:abstractNumId="13">
    <w:nsid w:val="3006C83E"/>
    <w:multiLevelType w:val="hybridMultilevel"/>
    <w:lvl w:ilvl="0">
      <w:lvlJc w:val="left"/>
      <w:lvlText w:val="•"/>
      <w:numFmt w:val="bullet"/>
      <w:start w:val="1"/>
    </w:lvl>
  </w:abstractNum>
  <w:abstractNum w:abstractNumId="14">
    <w:nsid w:val="614FD4A1"/>
    <w:multiLevelType w:val="hybridMultilevel"/>
    <w:lvl w:ilvl="0">
      <w:lvlJc w:val="left"/>
      <w:lvlText w:val="•"/>
      <w:numFmt w:val="bullet"/>
      <w:start w:val="1"/>
    </w:lvl>
  </w:abstractNum>
  <w:abstractNum w:abstractNumId="15">
    <w:nsid w:val="419AC241"/>
    <w:multiLevelType w:val="hybridMultilevel"/>
    <w:lvl w:ilvl="0">
      <w:lvlJc w:val="left"/>
      <w:lvlText w:val="•"/>
      <w:numFmt w:val="bullet"/>
      <w:start w:val="1"/>
    </w:lvl>
  </w:abstractNum>
  <w:abstractNum w:abstractNumId="16">
    <w:nsid w:val="5577F8E1"/>
    <w:multiLevelType w:val="hybridMultilevel"/>
    <w:lvl w:ilvl="0">
      <w:lvlJc w:val="left"/>
      <w:lvlText w:val="•"/>
      <w:numFmt w:val="bullet"/>
      <w:start w:val="1"/>
    </w:lvl>
    <w:lvl w:ilvl="1">
      <w:lvlJc w:val="left"/>
      <w:lvlText w:val="•"/>
      <w:numFmt w:val="bullet"/>
      <w:start w:val="1"/>
    </w:lvl>
  </w:abstractNum>
  <w:abstractNum w:abstractNumId="17">
    <w:nsid w:val="440BADFC"/>
    <w:multiLevelType w:val="hybridMultilevel"/>
    <w:lvl w:ilvl="0">
      <w:lvlJc w:val="left"/>
      <w:lvlText w:val="•"/>
      <w:numFmt w:val="bullet"/>
      <w:start w:val="1"/>
    </w:lvl>
    <w:lvl w:ilvl="1">
      <w:lvlJc w:val="left"/>
      <w:lvlText w:val="•"/>
      <w:numFmt w:val="bullet"/>
      <w:start w:val="1"/>
    </w:lvl>
  </w:abstractNum>
  <w:abstractNum w:abstractNumId="18">
    <w:nsid w:val="5072367"/>
    <w:multiLevelType w:val="hybridMultilevel"/>
    <w:lvl w:ilvl="0">
      <w:lvlJc w:val="left"/>
      <w:lvlText w:val="•"/>
      <w:numFmt w:val="bullet"/>
      <w:start w:val="1"/>
    </w:lvl>
  </w:abstractNum>
  <w:abstractNum w:abstractNumId="19">
    <w:nsid w:val="3804823E"/>
    <w:multiLevelType w:val="hybridMultilevel"/>
    <w:lvl w:ilvl="0">
      <w:lvlJc w:val="left"/>
      <w:lvlText w:val="(%1)"/>
      <w:numFmt w:val="lowerRoman"/>
      <w:start w:val="3"/>
    </w:lvl>
  </w:abstractNum>
  <w:abstractNum w:abstractNumId="20">
    <w:nsid w:val="77465F01"/>
    <w:multiLevelType w:val="hybridMultilevel"/>
    <w:lvl w:ilvl="0">
      <w:lvlJc w:val="left"/>
      <w:lvlText w:val="•"/>
      <w:numFmt w:val="bullet"/>
      <w:start w:val="1"/>
    </w:lvl>
  </w:abstractNum>
  <w:abstractNum w:abstractNumId="21">
    <w:nsid w:val="7724C67E"/>
    <w:multiLevelType w:val="hybridMultilevel"/>
    <w:lvl w:ilvl="0">
      <w:lvlJc w:val="left"/>
      <w:lvlText w:val="(%1)"/>
      <w:numFmt w:val="lowerLetter"/>
      <w:start w:val="1"/>
    </w:lvl>
  </w:abstractNum>
  <w:abstractNum w:abstractNumId="22">
    <w:nsid w:val="5C482A97"/>
    <w:multiLevelType w:val="hybridMultilevel"/>
    <w:lvl w:ilvl="0">
      <w:lvlJc w:val="left"/>
      <w:lvlText w:val="•"/>
      <w:numFmt w:val="bullet"/>
      <w:start w:val="1"/>
    </w:lvl>
  </w:abstractNum>
  <w:abstractNum w:abstractNumId="23">
    <w:nsid w:val="2463B9EA"/>
    <w:multiLevelType w:val="hybridMultilevel"/>
    <w:lvl w:ilvl="0">
      <w:lvlJc w:val="left"/>
      <w:lvlText w:val="•"/>
      <w:numFmt w:val="bullet"/>
      <w:start w:val="1"/>
    </w:lvl>
  </w:abstractNum>
  <w:abstractNum w:abstractNumId="24">
    <w:nsid w:val="5E884ADC"/>
    <w:multiLevelType w:val="hybridMultilevel"/>
    <w:lvl w:ilvl="0">
      <w:lvlJc w:val="left"/>
      <w:lvlText w:val="(%1)"/>
      <w:numFmt w:val="lowerLetter"/>
      <w:start w:val="1"/>
    </w:lvl>
  </w:abstractNum>
  <w:abstractNum w:abstractNumId="25">
    <w:nsid w:val="51EAD36B"/>
    <w:multiLevelType w:val="hybridMultilevel"/>
    <w:lvl w:ilvl="0">
      <w:lvlJc w:val="left"/>
      <w:lvlText w:val="•"/>
      <w:numFmt w:val="bullet"/>
      <w:start w:val="1"/>
    </w:lvl>
  </w:abstractNum>
  <w:abstractNum w:abstractNumId="26">
    <w:nsid w:val="2D517796"/>
    <w:multiLevelType w:val="hybridMultilevel"/>
    <w:lvl w:ilvl="0">
      <w:lvlJc w:val="left"/>
      <w:lvlText w:val="•"/>
      <w:numFmt w:val="bullet"/>
      <w:start w:val="1"/>
    </w:lvl>
  </w:abstractNum>
  <w:abstractNum w:abstractNumId="27">
    <w:nsid w:val="580BD78F"/>
    <w:multiLevelType w:val="hybridMultilevel"/>
    <w:lvl w:ilvl="0">
      <w:lvlJc w:val="left"/>
      <w:lvlText w:val="(%1)"/>
      <w:numFmt w:val="lowerLetter"/>
      <w:start w:val="1"/>
    </w:lvl>
  </w:abstractNum>
  <w:abstractNum w:abstractNumId="28">
    <w:nsid w:val="153EA438"/>
    <w:multiLevelType w:val="hybridMultilevel"/>
    <w:lvl w:ilvl="0">
      <w:lvlJc w:val="left"/>
      <w:lvlText w:val="•"/>
      <w:numFmt w:val="bullet"/>
      <w:start w:val="1"/>
    </w:lvl>
  </w:abstractNum>
  <w:abstractNum w:abstractNumId="29">
    <w:nsid w:val="3855585C"/>
    <w:multiLevelType w:val="hybridMultilevel"/>
    <w:lvl w:ilvl="0">
      <w:lvlJc w:val="left"/>
      <w:lvlText w:val="•"/>
      <w:numFmt w:val="bullet"/>
      <w:start w:val="1"/>
    </w:lvl>
  </w:abstractNum>
  <w:abstractNum w:abstractNumId="30">
    <w:nsid w:val="70A64E2A"/>
    <w:multiLevelType w:val="hybridMultilevel"/>
    <w:lvl w:ilvl="0">
      <w:lvlJc w:val="left"/>
      <w:lvlText w:val="(%1)"/>
      <w:numFmt w:val="decimal"/>
      <w:start w:val="1"/>
    </w:lvl>
  </w:abstractNum>
  <w:abstractNum w:abstractNumId="31">
    <w:nsid w:val="6A2342EC"/>
    <w:multiLevelType w:val="hybridMultilevel"/>
    <w:lvl w:ilvl="0">
      <w:lvlJc w:val="left"/>
      <w:lvlText w:val="(%1)"/>
      <w:numFmt w:val="lowerLetter"/>
      <w:start w:val="1"/>
    </w:lvl>
  </w:abstractNum>
  <w:abstractNum w:abstractNumId="32">
    <w:nsid w:val="2A487CB0"/>
    <w:multiLevelType w:val="hybridMultilevel"/>
    <w:lvl w:ilvl="0">
      <w:lvlJc w:val="left"/>
      <w:lvlText w:val="(%1)"/>
      <w:numFmt w:val="lowerLetter"/>
      <w:start w:val="1"/>
    </w:lvl>
  </w:abstractNum>
  <w:abstractNum w:abstractNumId="33">
    <w:nsid w:val="1D4ED43B"/>
    <w:multiLevelType w:val="hybridMultilevel"/>
    <w:lvl w:ilvl="0">
      <w:lvlJc w:val="left"/>
      <w:lvlText w:val="(%1)"/>
      <w:numFmt w:val="lowerLetter"/>
      <w:start w:val="1"/>
    </w:lvl>
  </w:abstractNum>
  <w:abstractNum w:abstractNumId="34">
    <w:nsid w:val="725A06FB"/>
    <w:multiLevelType w:val="hybridMultilevel"/>
    <w:lvl w:ilvl="0">
      <w:lvlJc w:val="left"/>
      <w:lvlText w:val="(%1)"/>
      <w:numFmt w:val="lowerLetter"/>
      <w:start w:val="1"/>
    </w:lvl>
  </w:abstractNum>
  <w:abstractNum w:abstractNumId="35">
    <w:nsid w:val="2CD89A32"/>
    <w:multiLevelType w:val="hybridMultilevel"/>
    <w:lvl w:ilvl="0">
      <w:lvlJc w:val="left"/>
      <w:lvlText w:val="%1"/>
      <w:numFmt w:val="decimal"/>
      <w:start w:val="1"/>
    </w:lvl>
    <w:lvl w:ilvl="1">
      <w:lvlJc w:val="left"/>
      <w:lvlText w:val="(%2)"/>
      <w:numFmt w:val="lowerLetter"/>
      <w:start w:val="1"/>
    </w:lvl>
  </w:abstractNum>
  <w:abstractNum w:abstractNumId="36">
    <w:nsid w:val="57E4CCAF"/>
    <w:multiLevelType w:val="hybridMultilevel"/>
    <w:lvl w:ilvl="0">
      <w:lvlJc w:val="left"/>
      <w:lvlText w:val="%1."/>
      <w:numFmt w:val="decimal"/>
      <w:start w:val="13"/>
    </w:lvl>
    <w:lvl w:ilvl="1">
      <w:lvlJc w:val="left"/>
      <w:lvlText w:val="%2"/>
      <w:numFmt w:val="lowerLetter"/>
      <w:start w:val="1"/>
    </w:lvl>
  </w:abstractNum>
  <w:abstractNum w:abstractNumId="37">
    <w:nsid w:val="7A6D8D3C"/>
    <w:multiLevelType w:val="hybridMultilevel"/>
    <w:lvl w:ilvl="0">
      <w:lvlJc w:val="left"/>
      <w:lvlText w:val="(%1)"/>
      <w:numFmt w:val="lowerLetter"/>
      <w:start w:val="1"/>
    </w:lvl>
  </w:abstractNum>
  <w:abstractNum w:abstractNumId="38">
    <w:nsid w:val="4B588F54"/>
    <w:multiLevelType w:val="hybridMultilevel"/>
    <w:lvl w:ilvl="0">
      <w:lvlJc w:val="left"/>
      <w:lvlText w:val="(%1)"/>
      <w:numFmt w:val="lowerLetter"/>
      <w:start w:val="1"/>
    </w:lvl>
  </w:abstractNum>
  <w:abstractNum w:abstractNumId="39">
    <w:nsid w:val="542289EC"/>
    <w:multiLevelType w:val="hybridMultilevel"/>
    <w:lvl w:ilvl="0">
      <w:lvlJc w:val="left"/>
      <w:lvlText w:val="(%1)"/>
      <w:numFmt w:val="decimal"/>
      <w:start w:val="1"/>
    </w:lvl>
  </w:abstractNum>
  <w:abstractNum w:abstractNumId="40">
    <w:nsid w:val="6DE91B18"/>
    <w:multiLevelType w:val="hybridMultilevel"/>
    <w:lvl w:ilvl="0">
      <w:lvlJc w:val="left"/>
      <w:lvlText w:val="(%1)"/>
      <w:numFmt w:val="decimal"/>
      <w:start w:val="1"/>
    </w:lvl>
  </w:abstractNum>
  <w:abstractNum w:abstractNumId="41">
    <w:nsid w:val="38437FDB"/>
    <w:multiLevelType w:val="hybridMultilevel"/>
    <w:lvl w:ilvl="0">
      <w:lvlJc w:val="left"/>
      <w:lvlText w:val="•"/>
      <w:numFmt w:val="bullet"/>
      <w:start w:val="1"/>
    </w:lvl>
  </w:abstractNum>
  <w:abstractNum w:abstractNumId="42">
    <w:nsid w:val="7644A45C"/>
    <w:multiLevelType w:val="hybridMultilevel"/>
    <w:lvl w:ilvl="0">
      <w:lvlJc w:val="left"/>
      <w:lvlText w:val="(%1)"/>
      <w:numFmt w:val="lowerLetter"/>
      <w:start w:val="1"/>
    </w:lvl>
  </w:abstractNum>
  <w:abstractNum w:abstractNumId="43">
    <w:nsid w:val="32FFF902"/>
    <w:multiLevelType w:val="hybridMultilevel"/>
    <w:lvl w:ilvl="0">
      <w:lvlJc w:val="left"/>
      <w:lvlText w:val="(%1)"/>
      <w:numFmt w:val="decimal"/>
      <w:start w:val="1"/>
    </w:lvl>
  </w:abstractNum>
  <w:abstractNum w:abstractNumId="44">
    <w:nsid w:val="684A481A"/>
    <w:multiLevelType w:val="hybridMultilevel"/>
    <w:lvl w:ilvl="0">
      <w:lvlJc w:val="left"/>
      <w:lvlText w:val="+"/>
      <w:numFmt w:val="bullet"/>
      <w:start w:val="1"/>
    </w:lvl>
  </w:abstractNum>
  <w:abstractNum w:abstractNumId="45">
    <w:nsid w:val="579478FE"/>
    <w:multiLevelType w:val="hybridMultilevel"/>
    <w:lvl w:ilvl="0">
      <w:lvlJc w:val="left"/>
      <w:lvlText w:val="†"/>
      <w:numFmt w:val="bullet"/>
      <w:start w:val="1"/>
    </w:lvl>
  </w:abstractNum>
  <w:abstractNum w:abstractNumId="46">
    <w:nsid w:val="749ABB43"/>
    <w:multiLevelType w:val="hybridMultilevel"/>
    <w:lvl w:ilvl="0">
      <w:lvlJc w:val="left"/>
      <w:lvlText w:val="%1."/>
      <w:numFmt w:val="decimal"/>
      <w:start w:val="2"/>
    </w:lvl>
  </w:abstractNum>
  <w:abstractNum w:abstractNumId="47">
    <w:nsid w:val="3DC240FB"/>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2"/>
    </w:lvl>
  </w:abstractNum>
  <w:abstractNum w:abstractNumId="48">
    <w:nsid w:val="1BA026FA"/>
    <w:multiLevelType w:val="hybridMultilevel"/>
    <w:lvl w:ilvl="0">
      <w:lvlJc w:val="left"/>
      <w:lvlText w:val="%1."/>
      <w:numFmt w:val="decimal"/>
      <w:start w:val="7"/>
    </w:lvl>
  </w:abstractNum>
  <w:abstractNum w:abstractNumId="49">
    <w:nsid w:val="79A1DEAA"/>
    <w:multiLevelType w:val="hybridMultilevel"/>
    <w:lvl w:ilvl="0">
      <w:lvlJc w:val="left"/>
      <w:lvlText w:val="%1."/>
      <w:numFmt w:val="decimal"/>
      <w:start w:val="1"/>
    </w:lvl>
    <w:lvl w:ilvl="1">
      <w:lvlJc w:val="left"/>
      <w:lvlText w:val="%2."/>
      <w:numFmt w:val="lowerLetter"/>
      <w:start w:val="1"/>
    </w:lvl>
  </w:abstractNum>
  <w:abstractNum w:abstractNumId="50">
    <w:nsid w:val="75C6C33A"/>
    <w:multiLevelType w:val="hybridMultilevel"/>
    <w:lvl w:ilvl="0">
      <w:lvlJc w:val="left"/>
      <w:lvlText w:val="%1."/>
      <w:numFmt w:val="decimal"/>
      <w:start w:val="1"/>
    </w:lvl>
    <w:lvl w:ilvl="1">
      <w:lvlJc w:val="left"/>
      <w:lvlText w:val="%2."/>
      <w:numFmt w:val="lowerLetter"/>
      <w:start w:val="1"/>
    </w:lvl>
  </w:abstractNum>
  <w:abstractNum w:abstractNumId="51">
    <w:nsid w:val="12E685FB"/>
    <w:multiLevelType w:val="hybridMultilevel"/>
    <w:lvl w:ilvl="0">
      <w:lvlJc w:val="left"/>
      <w:lvlText w:val="(%1)"/>
      <w:numFmt w:val="decimal"/>
      <w:start w:val="1"/>
    </w:lvl>
  </w:abstractNum>
  <w:abstractNum w:abstractNumId="52">
    <w:nsid w:val="70C6A5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33" Type="http://schemas.openxmlformats.org/officeDocument/2006/relationships/image" Target="media/image119.png"/><Relationship Id="rId134" Type="http://schemas.openxmlformats.org/officeDocument/2006/relationships/image" Target="media/image120.png"/><Relationship Id="rId146" Type="http://schemas.openxmlformats.org/officeDocument/2006/relationships/image" Target="media/image121.png"/><Relationship Id="rId147" Type="http://schemas.openxmlformats.org/officeDocument/2006/relationships/image" Target="media/image122.png"/><Relationship Id="rId160" Type="http://schemas.openxmlformats.org/officeDocument/2006/relationships/image" Target="media/image123.png"/><Relationship Id="rId161" Type="http://schemas.openxmlformats.org/officeDocument/2006/relationships/image" Target="media/image124.png"/><Relationship Id="rId174" Type="http://schemas.openxmlformats.org/officeDocument/2006/relationships/image" Target="media/image125.png"/><Relationship Id="rId175" Type="http://schemas.openxmlformats.org/officeDocument/2006/relationships/image" Target="media/image126.png"/><Relationship Id="rId189" Type="http://schemas.openxmlformats.org/officeDocument/2006/relationships/image" Target="media/image127.png"/><Relationship Id="rId190" Type="http://schemas.openxmlformats.org/officeDocument/2006/relationships/image" Target="media/image128.png"/><Relationship Id="rId204" Type="http://schemas.openxmlformats.org/officeDocument/2006/relationships/image" Target="media/image129.png"/><Relationship Id="rId205" Type="http://schemas.openxmlformats.org/officeDocument/2006/relationships/image" Target="media/image130.png"/><Relationship Id="rId210" Type="http://schemas.openxmlformats.org/officeDocument/2006/relationships/image" Target="media/image131.png"/><Relationship Id="rId211" Type="http://schemas.openxmlformats.org/officeDocument/2006/relationships/image" Target="media/image132.png"/><Relationship Id="rId212" Type="http://schemas.openxmlformats.org/officeDocument/2006/relationships/image" Target="media/image133.png"/><Relationship Id="rId213" Type="http://schemas.openxmlformats.org/officeDocument/2006/relationships/image" Target="media/image134.png"/><Relationship Id="rId214" Type="http://schemas.openxmlformats.org/officeDocument/2006/relationships/image" Target="media/image135.png"/><Relationship Id="rId215" Type="http://schemas.openxmlformats.org/officeDocument/2006/relationships/image" Target="media/image136.png"/><Relationship Id="rId216" Type="http://schemas.openxmlformats.org/officeDocument/2006/relationships/image" Target="media/image137.png"/><Relationship Id="rId217" Type="http://schemas.openxmlformats.org/officeDocument/2006/relationships/image" Target="media/image138.png"/><Relationship Id="rId218" Type="http://schemas.openxmlformats.org/officeDocument/2006/relationships/image" Target="media/image139.png"/><Relationship Id="rId219" Type="http://schemas.openxmlformats.org/officeDocument/2006/relationships/image" Target="media/image140.png"/><Relationship Id="rId126" Type="http://schemas.openxmlformats.org/officeDocument/2006/relationships/hyperlink" Target="http://www.sec.gov/Archives/edgar/data/1579298/000119312513362941/d552507dex31.htm" TargetMode="External"/><Relationship Id="rId127" Type="http://schemas.openxmlformats.org/officeDocument/2006/relationships/hyperlink" Target="http://www.sec.gov/Archives/edgar/data/1579298/000156459018003506/burl-ex31_6.htm" TargetMode="External"/><Relationship Id="rId128" Type="http://schemas.openxmlformats.org/officeDocument/2006/relationships/hyperlink" Target="http://www.sec.gov/Archives/edgar/data/718916/000119312511045577/dex102.htm" TargetMode="External"/><Relationship Id="rId129" Type="http://schemas.openxmlformats.org/officeDocument/2006/relationships/hyperlink" Target="http://www.sec.gov/Archives/edgar/data/718916/000119312512237766/d354404dex101.htm" TargetMode="External"/><Relationship Id="rId130" Type="http://schemas.openxmlformats.org/officeDocument/2006/relationships/hyperlink" Target="http://www.sec.gov/Archives/edgar/data/718916/000119312513068973/d490107dex101.htm" TargetMode="External"/><Relationship Id="rId131" Type="http://schemas.openxmlformats.org/officeDocument/2006/relationships/hyperlink" Target="http://www.sec.gov/Archives/edgar/data/718916/000119312513231086/d541090dex101.htm" TargetMode="External"/><Relationship Id="rId132" Type="http://schemas.openxmlformats.org/officeDocument/2006/relationships/hyperlink" Target="http://www.sec.gov/Archives/edgar/data/1579298/000119312514313404/d772516dex101.htm" TargetMode="External"/><Relationship Id="rId135" Type="http://schemas.openxmlformats.org/officeDocument/2006/relationships/hyperlink" Target="http://www.sec.gov/Archives/edgar/data/1579298/000119312516664621/d164473dex101.htm" TargetMode="External"/><Relationship Id="rId136" Type="http://schemas.openxmlformats.org/officeDocument/2006/relationships/hyperlink" Target="http://www.sec.gov/Archives/edgar/data/1579298/000156459017024112/burl-ex101_99.htm" TargetMode="External"/><Relationship Id="rId137" Type="http://schemas.openxmlformats.org/officeDocument/2006/relationships/hyperlink" Target="http://www.sec.gov/Archives/edgar/data/1368775/000119312511244548/dex101.htm" TargetMode="External"/><Relationship Id="rId138" Type="http://schemas.openxmlformats.org/officeDocument/2006/relationships/hyperlink" Target="http://www.sec.gov/Archives/edgar/data/1579298/000119312514313404/d772516dex102.htm" TargetMode="External"/><Relationship Id="rId139" Type="http://schemas.openxmlformats.org/officeDocument/2006/relationships/hyperlink" Target="http://www.sec.gov/Archives/edgar/data/718916/000119312506205456/dex107.htm" TargetMode="External"/><Relationship Id="rId140" Type="http://schemas.openxmlformats.org/officeDocument/2006/relationships/hyperlink" Target="http://www.sec.gov/Archives/edgar/data/718916/000119312506205456/dex108.htm" TargetMode="External"/><Relationship Id="rId141" Type="http://schemas.openxmlformats.org/officeDocument/2006/relationships/hyperlink" Target="http://www.sec.gov/Archives/edgar/data/718916/000136877510000013/exhibit10-9.htm" TargetMode="External"/><Relationship Id="rId142" Type="http://schemas.openxmlformats.org/officeDocument/2006/relationships/hyperlink" Target="http://www.sec.gov/Archives/edgar/data/718916/000119312506205456/dex1010.htm" TargetMode="External"/><Relationship Id="rId143" Type="http://schemas.openxmlformats.org/officeDocument/2006/relationships/hyperlink" Target="http://www.sec.gov/Archives/edgar/data/718916/000119312506205456/dex1011.htm" TargetMode="External"/><Relationship Id="rId144" Type="http://schemas.openxmlformats.org/officeDocument/2006/relationships/hyperlink" Target="http://www.sec.gov/Archives/edgar/data/718916/000119312506205456/dex1012.htm" TargetMode="External"/><Relationship Id="rId145" Type="http://schemas.openxmlformats.org/officeDocument/2006/relationships/hyperlink" Target="http://www.sec.gov/Archives/edgar/data/718916/000119312506205456/dex1013.htm" TargetMode="External"/><Relationship Id="rId148" Type="http://schemas.openxmlformats.org/officeDocument/2006/relationships/hyperlink" Target="http://www.sec.gov/Archives/edgar/data/718916/000136877510000013/exhibit10-14.htm" TargetMode="External"/><Relationship Id="rId149" Type="http://schemas.openxmlformats.org/officeDocument/2006/relationships/hyperlink" Target="http://www.sec.gov/Archives/edgar/data/718916/000119312506205456/dex1015.htm" TargetMode="External"/><Relationship Id="rId150" Type="http://schemas.openxmlformats.org/officeDocument/2006/relationships/hyperlink" Target="http://www.sec.gov/Archives/edgar/data/718916/000119312506205456/dex1016.htm" TargetMode="External"/><Relationship Id="rId151" Type="http://schemas.openxmlformats.org/officeDocument/2006/relationships/hyperlink" Target="http://www.sec.gov/Archives/edgar/data/718916/000119312506205456/dex1017.htm" TargetMode="External"/><Relationship Id="rId152" Type="http://schemas.openxmlformats.org/officeDocument/2006/relationships/hyperlink" Target="http://www.sec.gov/Archives/edgar/data/718916/000119312506205456/dex1018.htm" TargetMode="External"/><Relationship Id="rId153" Type="http://schemas.openxmlformats.org/officeDocument/2006/relationships/hyperlink" Target="http://www.sec.gov/Archives/edgar/data/718916/000119312506205456/dex1019.htm" TargetMode="External"/><Relationship Id="rId154" Type="http://schemas.openxmlformats.org/officeDocument/2006/relationships/hyperlink" Target="http://www.sec.gov/Archives/edgar/data/718916/000136877510000013/exhibit10-35.htm" TargetMode="External"/><Relationship Id="rId155" Type="http://schemas.openxmlformats.org/officeDocument/2006/relationships/hyperlink" Target="http://www.sec.gov/Archives/edgar/data/718916/000136877510000013/exhibit10-35a.htm" TargetMode="External"/><Relationship Id="rId156" Type="http://schemas.openxmlformats.org/officeDocument/2006/relationships/hyperlink" Target="http://www.sec.gov/Archives/edgar/data/718916/000119312512498555/d398893dex102.htm" TargetMode="External"/><Relationship Id="rId157" Type="http://schemas.openxmlformats.org/officeDocument/2006/relationships/hyperlink" Target="http://www.sec.gov/Archives/edgar/data/718916/000136877509000011/exhibit10-2.htm" TargetMode="External"/><Relationship Id="rId158" Type="http://schemas.openxmlformats.org/officeDocument/2006/relationships/hyperlink" Target="http://www.sec.gov/Archives/edgar/data/718916/000119312512498555/d398893dex101.htm" TargetMode="External"/><Relationship Id="rId159" Type="http://schemas.openxmlformats.org/officeDocument/2006/relationships/hyperlink" Target="http://www.sec.gov/Archives/edgar/data/1579298/000119312514436994/d834807dex101.htm" TargetMode="External"/><Relationship Id="rId162" Type="http://schemas.openxmlformats.org/officeDocument/2006/relationships/hyperlink" Target="http://www.sec.gov/Archives/edgar/data/1579298/000156459015007643/burl-ex101_473.htm" TargetMode="External"/><Relationship Id="rId163" Type="http://schemas.openxmlformats.org/officeDocument/2006/relationships/hyperlink" Target="http://www.sec.gov/Archives/edgar/data/1579298/000119312515208994/d937337dex101.htm" TargetMode="External"/><Relationship Id="rId164" Type="http://schemas.openxmlformats.org/officeDocument/2006/relationships/hyperlink" Target="http://www.sec.gov/Archives/edgar/data/1579298/000119312515246777/d59816dex101.htm" TargetMode="External"/><Relationship Id="rId165" Type="http://schemas.openxmlformats.org/officeDocument/2006/relationships/hyperlink" Target="http://www.sec.gov/Archives/edgar/data/1579298/000119312517014282/d333754dex101.htm" TargetMode="External"/><Relationship Id="rId166" Type="http://schemas.openxmlformats.org/officeDocument/2006/relationships/hyperlink" Target="http://www.sec.gov/Archives/edgar/data/718916/000136877508000010/exhibit10-1.htm" TargetMode="External"/><Relationship Id="rId167" Type="http://schemas.openxmlformats.org/officeDocument/2006/relationships/hyperlink" Target="http://www.sec.gov/Archives/edgar/data/1579298/000119312513360117/d552507dex10201.htm" TargetMode="External"/><Relationship Id="rId168" Type="http://schemas.openxmlformats.org/officeDocument/2006/relationships/hyperlink" Target="http://www.sec.gov/Archives/edgar/data/718916/000136877508000013/exhibit10-1.htm" TargetMode="External"/><Relationship Id="rId169" Type="http://schemas.openxmlformats.org/officeDocument/2006/relationships/hyperlink" Target="http://www.sec.gov/Archives/edgar/data/1579298/000119312513360117/d552507dex10231.htm" TargetMode="External"/><Relationship Id="rId170" Type="http://schemas.openxmlformats.org/officeDocument/2006/relationships/hyperlink" Target="http://www.sec.gov/Archives/edgar/data/718916/000136877509000014/exhibit10-2.htm" TargetMode="External"/><Relationship Id="rId171" Type="http://schemas.openxmlformats.org/officeDocument/2006/relationships/hyperlink" Target="http://www.sec.gov/Archives/edgar/data/718916/000136877509000014/exhibit10-3.htm" TargetMode="External"/><Relationship Id="rId172" Type="http://schemas.openxmlformats.org/officeDocument/2006/relationships/hyperlink" Target="http://www.sec.gov/Archives/edgar/data/718916/000136877509000014/exhibit10-4.htm" TargetMode="External"/><Relationship Id="rId173" Type="http://schemas.openxmlformats.org/officeDocument/2006/relationships/hyperlink" Target="http://www.sec.gov/Archives/edgar/data/718916/000136877509000014/exhibit10-5.htm" TargetMode="External"/><Relationship Id="rId176" Type="http://schemas.openxmlformats.org/officeDocument/2006/relationships/hyperlink" Target="http://www.sec.gov/Archives/edgar/data/718916/000119312506205456/dex1030.htm" TargetMode="External"/><Relationship Id="rId177" Type="http://schemas.openxmlformats.org/officeDocument/2006/relationships/hyperlink" Target="http://www.sec.gov/Archives/edgar/data/1579298/000119312513362941/d552507dex1043.htm" TargetMode="External"/><Relationship Id="rId178" Type="http://schemas.openxmlformats.org/officeDocument/2006/relationships/hyperlink" Target="http://www.sec.gov/Archives/edgar/data/1579298/000119312513371490/d552507dex1044.htm" TargetMode="External"/><Relationship Id="rId179" Type="http://schemas.openxmlformats.org/officeDocument/2006/relationships/hyperlink" Target="http://www.sec.gov/Archives/edgar/data/1579298/000156459017011460/burl-ex102_13.htm" TargetMode="External"/><Relationship Id="rId180" Type="http://schemas.openxmlformats.org/officeDocument/2006/relationships/hyperlink" Target="http://www.sec.gov/Archives/edgar/data/1579298/000119312513360117/d552507dex1046.htm" TargetMode="External"/><Relationship Id="rId181" Type="http://schemas.openxmlformats.org/officeDocument/2006/relationships/hyperlink" Target="http://www.sec.gov/Archives/edgar/data/1579298/000119312513360117/d552507dex1045.htm" TargetMode="External"/><Relationship Id="rId182" Type="http://schemas.openxmlformats.org/officeDocument/2006/relationships/hyperlink" Target="http://www.sec.gov/Archives/edgar/data/1579298/000119312513360117/d552507dex1047.htm" TargetMode="External"/><Relationship Id="rId183" Type="http://schemas.openxmlformats.org/officeDocument/2006/relationships/hyperlink" Target="http://www.sec.gov/Archives/edgar/data/1579298/000119312515105212/d846695dex1048.htm" TargetMode="External"/><Relationship Id="rId184" Type="http://schemas.openxmlformats.org/officeDocument/2006/relationships/hyperlink" Target="http://www.sec.gov/Archives/edgar/data/1579298/000119312515105212/d846695dex1049.htm" TargetMode="External"/><Relationship Id="rId185" Type="http://schemas.openxmlformats.org/officeDocument/2006/relationships/hyperlink" Target="http://www.sec.gov/Archives/edgar/data/1579298/000156459016020022/burl-ex101_93.htm" TargetMode="External"/><Relationship Id="rId186" Type="http://schemas.openxmlformats.org/officeDocument/2006/relationships/hyperlink" Target="http://www.sec.gov/Archives/edgar/data/1579298/000119312515105212/d846695dex1050.htm" TargetMode="External"/><Relationship Id="rId187" Type="http://schemas.openxmlformats.org/officeDocument/2006/relationships/hyperlink" Target="http://www.sec.gov/Archives/edgar/data/1579298/000119312515105212/d846695dex1051.htm" TargetMode="External"/><Relationship Id="rId188" Type="http://schemas.openxmlformats.org/officeDocument/2006/relationships/hyperlink" Target="http://www.sec.gov/Archives/edgar/data/1579298/000119312515105212/d846695dex1052.htm" TargetMode="External"/><Relationship Id="rId191" Type="http://schemas.openxmlformats.org/officeDocument/2006/relationships/hyperlink" Target="http://www.sec.gov/Archives/edgar/data/1579298/000119312515105212/d846695dex1053.htm" TargetMode="External"/><Relationship Id="rId192" Type="http://schemas.openxmlformats.org/officeDocument/2006/relationships/hyperlink" Target="http://www.sec.gov/Archives/edgar/data/1579298/000156459015007643/burl-ex105_475.htm" TargetMode="External"/><Relationship Id="rId193" Type="http://schemas.openxmlformats.org/officeDocument/2006/relationships/hyperlink" Target="http://www.sec.gov/Archives/edgar/data/1579298/000156459017011460/burl-ex108_6.htm" TargetMode="External"/><Relationship Id="rId194" Type="http://schemas.openxmlformats.org/officeDocument/2006/relationships/hyperlink" Target="http://www.sec.gov/Archives/edgar/data/1579298/000156459016014854/burl-ex1045_498.htm" TargetMode="External"/><Relationship Id="rId195" Type="http://schemas.openxmlformats.org/officeDocument/2006/relationships/hyperlink" Target="http://www.sec.gov/Archives/edgar/data/1579298/000156459016014854/burl-ex1046_496.htm" TargetMode="External"/><Relationship Id="rId196" Type="http://schemas.openxmlformats.org/officeDocument/2006/relationships/hyperlink" Target="http://www.sec.gov/Archives/edgar/data/1579298/000156459016014854/burl-ex1047_497.htm" TargetMode="External"/><Relationship Id="rId197" Type="http://schemas.openxmlformats.org/officeDocument/2006/relationships/hyperlink" Target="http://www.sec.gov/Archives/edgar/data/1579298/000156459016014854/burl-ex1048_495.htm" TargetMode="External"/><Relationship Id="rId198" Type="http://schemas.openxmlformats.org/officeDocument/2006/relationships/hyperlink" Target="http://www.sec.gov/Archives/edgar/data/1579298/000156459016029618/burl-ex101_271.htm" TargetMode="External"/><Relationship Id="rId199" Type="http://schemas.openxmlformats.org/officeDocument/2006/relationships/hyperlink" Target="http://www.sec.gov/Archives/edgar/data/1579298/000156459016029618/burl-ex102_270.htm" TargetMode="External"/><Relationship Id="rId200" Type="http://schemas.openxmlformats.org/officeDocument/2006/relationships/hyperlink" Target="http://www.sec.gov/Archives/edgar/data/1579298/000156459016029618/burl-ex103_269.htm" TargetMode="External"/><Relationship Id="rId201" Type="http://schemas.openxmlformats.org/officeDocument/2006/relationships/hyperlink" Target="http://www.sec.gov/Archives/edgar/data/1579298/000156459016029618/burl-ex104_268.htm" TargetMode="External"/><Relationship Id="rId202" Type="http://schemas.openxmlformats.org/officeDocument/2006/relationships/hyperlink" Target="http://www.sec.gov/Archives/edgar/data/1579298/000156459017011460/burl-ex101_12.htm" TargetMode="External"/><Relationship Id="rId203" Type="http://schemas.openxmlformats.org/officeDocument/2006/relationships/hyperlink" Target="http://www.sec.gov/Archives/edgar/data/1579298/000156459017011460/burl-ex103_11.htm" TargetMode="External"/><Relationship Id="rId206" Type="http://schemas.openxmlformats.org/officeDocument/2006/relationships/hyperlink" Target="http://www.sec.gov/Archives/edgar/data/1579298/000156459017011460/burl-ex104_9.htm" TargetMode="External"/><Relationship Id="rId207" Type="http://schemas.openxmlformats.org/officeDocument/2006/relationships/hyperlink" Target="http://www.sec.gov/Archives/edgar/data/1579298/000156459017011460/burl-ex105_10.htm" TargetMode="External"/><Relationship Id="rId208" Type="http://schemas.openxmlformats.org/officeDocument/2006/relationships/hyperlink" Target="http://www.sec.gov/Archives/edgar/data/1579298/000156459017011460/burl-ex106_8.htm" TargetMode="External"/><Relationship Id="rId209" Type="http://schemas.openxmlformats.org/officeDocument/2006/relationships/hyperlink" Target="http://www.sec.gov/Archives/edgar/data/1579298/000156459017011460/burl-ex107_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2019-12-28T23:26:11Z</dcterms:created>
  <dcterms:modified xsi:type="dcterms:W3CDTF">2019-12-28T23:26:11Z</dcterms:modified>
</cp:coreProperties>
</file>