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url-20260731.htm"/>
      <w:bookmarkStart w:id="1" w:name="ksburl20260731"/>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July 31, 2026</w:t>
      </w:r>
    </w:p>
    <w:p>
      <w:pPr>
        <w:pStyle w:val="TextBody"/>
        <w:bidi w:val="0"/>
        <w:spacing w:before="80" w:after="283"/>
        <w:jc w:val="center"/>
        <w:rPr/>
      </w:pPr>
      <w:r>
        <w:rPr/>
        <w:drawing>
          <wp:inline distT="0" distB="0" distL="0" distR="0">
            <wp:extent cx="3562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819150"/>
                    </a:xfrm>
                    <a:prstGeom prst="rect">
                      <a:avLst/>
                    </a:prstGeom>
                  </pic:spPr>
                </pic:pic>
              </a:graphicData>
            </a:graphic>
          </wp:inline>
        </w:drawing>
      </w:r>
      <w:r>
        <w:rPr>
          <w:color w:val="000000"/>
        </w:rPr>
        <w:t xml:space="preserve"> </w:t>
      </w:r>
    </w:p>
    <w:p>
      <w:pPr>
        <w:pStyle w:val="TextBody"/>
        <w:bidi w:val="0"/>
        <w:spacing w:before="120" w:after="283"/>
        <w:jc w:val="center"/>
        <w:rPr>
          <w:rFonts w:ascii="Times New Roman" w:hAnsi="Times New Roman"/>
          <w:sz w:val="40"/>
        </w:rPr>
      </w:pPr>
      <w:r>
        <w:rPr>
          <w:rFonts w:ascii="Times New Roman" w:hAnsi="Times New Roman"/>
          <w:b/>
          <w:color w:val="000000"/>
          <w:sz w:val="40"/>
        </w:rPr>
        <w:t>BURLINGTON STORES, INC.</w:t>
      </w:r>
      <w:r>
        <w:rPr>
          <w:rFonts w:ascii="Times New Roman" w:hAnsi="Times New Roman"/>
          <w:color w:val="000000"/>
          <w:sz w:val="4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tbl>
      <w:tblPr>
        <w:tblW w:w="4698" w:type="dxa"/>
        <w:jc w:val="left"/>
        <w:tblInd w:w="0" w:type="dxa"/>
        <w:tblLayout w:type="fixed"/>
        <w:tblCellMar>
          <w:top w:w="28" w:type="dxa"/>
          <w:left w:w="28" w:type="dxa"/>
          <w:bottom w:w="28" w:type="dxa"/>
          <w:right w:w="28" w:type="dxa"/>
        </w:tblCellMar>
      </w:tblPr>
      <w:tblGrid>
        <w:gridCol w:w="2146"/>
        <w:gridCol w:w="106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001-36107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80-0895227</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2006 Route 130 North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Burlington, New Jersey</w:t>
      </w:r>
      <w:r>
        <w:rPr>
          <w:rFonts w:ascii="Times New Roman" w:hAnsi="Times New Roman"/>
          <w:color w:val="000000"/>
          <w:sz w:val="20"/>
        </w:rPr>
        <w:t xml:space="preserve"> </w:t>
      </w:r>
      <w:r>
        <w:rPr>
          <w:rFonts w:ascii="Times New Roman" w:hAnsi="Times New Roman"/>
          <w:b/>
          <w:color w:val="000000"/>
          <w:sz w:val="20"/>
        </w:rPr>
        <w:t>08016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(609) 387-7800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tbl>
      <w:tblPr>
        <w:tblW w:w="8357" w:type="dxa"/>
        <w:jc w:val="left"/>
        <w:tblInd w:w="0" w:type="dxa"/>
        <w:tblLayout w:type="fixed"/>
        <w:tblCellMar>
          <w:top w:w="28" w:type="dxa"/>
          <w:left w:w="28" w:type="dxa"/>
          <w:bottom w:w="28" w:type="dxa"/>
          <w:right w:w="28" w:type="dxa"/>
        </w:tblCellMar>
      </w:tblPr>
      <w:tblGrid>
        <w:gridCol w:w="331"/>
        <w:gridCol w:w="8026"/>
      </w:tblGrid>
      <w:tr>
        <w:trPr/>
        <w:tc>
          <w:tcPr>
            <w:tcW w:w="331"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Pre-commencement communications pursuant to Rule 13e-4(c) under the Exchange Act (17 CFR 240.13e-4(c)) </w:t>
            </w:r>
          </w:p>
        </w:tc>
      </w:tr>
    </w:tbl>
    <w:p>
      <w:pPr>
        <w:pStyle w:val="TextBody"/>
        <w:bidi w:val="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7893" w:type="dxa"/>
        <w:jc w:val="left"/>
        <w:tblInd w:w="0" w:type="dxa"/>
        <w:tblLayout w:type="fixed"/>
        <w:tblCellMar>
          <w:top w:w="28" w:type="dxa"/>
          <w:left w:w="28" w:type="dxa"/>
          <w:bottom w:w="28" w:type="dxa"/>
          <w:right w:w="28" w:type="dxa"/>
        </w:tblCellMar>
      </w:tblPr>
      <w:tblGrid>
        <w:gridCol w:w="3241"/>
        <w:gridCol w:w="1426"/>
        <w:gridCol w:w="3226"/>
      </w:tblGrid>
      <w:tr>
        <w:trPr/>
        <w:tc>
          <w:tcPr>
            <w:tcW w:w="32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 of each exchange on which registered</w:t>
            </w:r>
          </w:p>
        </w:tc>
      </w:tr>
      <w:tr>
        <w:trPr/>
        <w:tc>
          <w:tcPr>
            <w:tcW w:w="3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$0.0001 per share</w:t>
            </w:r>
          </w:p>
        </w:tc>
        <w:tc>
          <w:tcPr>
            <w:tcW w:w="14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BURL</w:t>
            </w:r>
          </w:p>
        </w:tc>
        <w:tc>
          <w:tcPr>
            <w:tcW w:w="3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New York Stock Exchange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80808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Item 5.02. </w:t>
      </w:r>
      <w:r>
        <w:rPr>
          <w:rFonts w:ascii="Times New Roman" w:hAnsi="Times New Roman"/>
          <w:b/>
          <w:color w:val="000000"/>
          <w:sz w:val="20"/>
          <w:u w:val="single"/>
        </w:rPr>
        <w:t>Departure of Directors or Certain Officers; Election of Directors; Appointment of Certain Officers; Compensatory Arrangements of Certain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31, 2026, Burlington Stores, Inc. (the “Company”) and Matthew Pasch, the Company’s Executive Vice President and Chief Human Resources Officer, determined that he will be departing from the Company effective September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Pasch’s departure entitles him to benefits in accordance with the terms of the Burlington Stores, Inc. Executive Severance Plan (as amended and restated on March 17, 2026), as reflected in the Severance Agreement that the parties entered into as of July 31, 2026 (the “Severance Agreement”). In addition, the Severance Agreement provides for continued vesting of his 2024 performance-based restricted stock unit award on a pro-rata basis through his Departure Date and based on actual performance during the three-year performance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description of the Severance Agreement set forth under this Item 5.02 does not purport to be complete and is qualified in its entirety by reference to the full text of the Severance Agreement, which will be filed as an exhibit to the Company’s Quarterly Report on Form 10-Q for the period ending August 1, 2026.</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Item 8.01. </w:t>
      </w:r>
      <w:r>
        <w:rPr>
          <w:rFonts w:ascii="Times New Roman" w:hAnsi="Times New Roman"/>
          <w:b/>
          <w:color w:val="000000"/>
          <w:sz w:val="20"/>
          <w:u w:val="single"/>
        </w:rPr>
        <w:t>Other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John Pershing is expected to succeed Mr. Pasch as the Company’s Executive Vice President and Chief Human Resources Officer effective October 2026. Mr. Pershing previously served as the Chief Human Resources Officer for Barnes &amp; Noble from 2024 through 2025, Executive Vice President, Chief Human Resources Officer for Canadian Tire Corporation from 2019 to 2023, and Executive Vice President, Chief Human Resources Officer of Ascena Retail Group from 2015 to 2019. Prior to joining Ascena in 2011, Mr. Pershing spent over 20 years at Best Buy in a variety of leadership roles and was most recently Executive Vice President, Human Capital.</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341" w:type="dxa"/>
        <w:jc w:val="left"/>
        <w:tblInd w:w="0" w:type="dxa"/>
        <w:tblLayout w:type="fixed"/>
        <w:tblCellMar>
          <w:top w:w="28" w:type="dxa"/>
          <w:left w:w="28" w:type="dxa"/>
          <w:bottom w:w="28" w:type="dxa"/>
          <w:right w:w="28" w:type="dxa"/>
        </w:tblCellMar>
      </w:tblPr>
      <w:tblGrid>
        <w:gridCol w:w="5341"/>
      </w:tblGrid>
      <w:tr>
        <w:trPr/>
        <w:tc>
          <w:tcPr>
            <w:tcW w:w="534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BURLINGTON STORES, INC.</w:t>
            </w:r>
          </w:p>
        </w:tc>
      </w:tr>
      <w:tr>
        <w:trPr/>
        <w:tc>
          <w:tcPr>
            <w:tcW w:w="5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Glick</w:t>
            </w:r>
          </w:p>
        </w:tc>
      </w:tr>
      <w:tr>
        <w:trPr/>
        <w:tc>
          <w:tcPr>
            <w:tcW w:w="53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David Glick</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Group Senior Vice President of Investor Relations and Treasurer</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August 4, 2026</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650</Words>
  <Characters>3556</Characters>
  <CharactersWithSpaces>4184</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