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Ferroni Stephen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2006 ROUTE 130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08016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Burlington Stores,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BURL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135.37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3,734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337.11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2,702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337.31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1,391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135.37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1,032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are exercisable as to 100% of the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Schaub, as attorney-in-fact for Stephen Ferroni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0123" TargetMode="External"/><Relationship Id="rId5" Type="http://schemas.openxmlformats.org/officeDocument/2006/relationships/hyperlink" Target="http://www.sec.gov/cgi-bin/browse-edgar?action=getcompany&amp;CIK=0001579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3301</Characters>
  <CharactersWithSpaces>3829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