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-211455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64770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5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87630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7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520" w:right="360" w:hanging="512"/>
        <w:spacing w:after="0" w:line="237" w:lineRule="auto"/>
        <w:tabs>
          <w:tab w:leader="none" w:pos="52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4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quarterly period ended July 29, 2017</w:t>
      </w:r>
    </w:p>
    <w:p>
      <w:pPr>
        <w:spacing w:after="0" w:line="7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8" w:lineRule="exact"/>
        <w:rPr>
          <w:sz w:val="24"/>
          <w:szCs w:val="24"/>
          <w:color w:val="auto"/>
        </w:rPr>
      </w:pPr>
    </w:p>
    <w:p>
      <w:pPr>
        <w:ind w:left="520" w:right="340" w:hanging="512"/>
        <w:spacing w:after="0" w:line="262" w:lineRule="auto"/>
        <w:tabs>
          <w:tab w:leader="none" w:pos="52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0" w:lineRule="exact"/>
        <w:rPr>
          <w:sz w:val="24"/>
          <w:szCs w:val="24"/>
          <w:color w:val="auto"/>
        </w:rPr>
      </w:pPr>
    </w:p>
    <w:p>
      <w:pPr>
        <w:ind w:left="3480"/>
        <w:spacing w:after="0"/>
        <w:tabs>
          <w:tab w:leader="none" w:pos="6780" w:val="left"/>
          <w:tab w:leader="none" w:pos="78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6"/>
          <w:szCs w:val="16"/>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3719195</wp:posOffset>
            </wp:positionH>
            <wp:positionV relativeFrom="paragraph">
              <wp:posOffset>-5080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7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Number 001-36107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1900555</wp:posOffset>
            </wp:positionH>
            <wp:positionV relativeFrom="paragraph">
              <wp:posOffset>80010</wp:posOffset>
            </wp:positionV>
            <wp:extent cx="3464560" cy="8407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64560" cy="8407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BURLINGTON STORES, INC.</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64770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54" w:lineRule="exact"/>
        <w:rPr>
          <w:sz w:val="24"/>
          <w:szCs w:val="24"/>
          <w:color w:val="auto"/>
        </w:rPr>
      </w:pPr>
    </w:p>
    <w:tbl>
      <w:tblPr>
        <w:tblLayout w:type="fixed"/>
        <w:tblInd w:w="1580" w:type="dxa"/>
        <w:tblCellMar>
          <w:top w:w="0" w:type="dxa"/>
          <w:left w:w="0" w:type="dxa"/>
          <w:bottom w:w="0" w:type="dxa"/>
          <w:right w:w="0" w:type="dxa"/>
        </w:tblCellMar>
      </w:tblPr>
      <w:tr>
        <w:trPr>
          <w:trHeight w:val="214"/>
        </w:trPr>
        <w:tc>
          <w:tcPr>
            <w:tcW w:w="4480" w:type="dxa"/>
            <w:vAlign w:val="bottom"/>
          </w:tcPr>
          <w:p>
            <w:pPr>
              <w:jc w:val="center"/>
              <w:ind w:right="193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12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80-0895227</w:t>
            </w:r>
          </w:p>
        </w:tc>
      </w:tr>
      <w:tr>
        <w:trPr>
          <w:trHeight w:val="149"/>
        </w:trPr>
        <w:tc>
          <w:tcPr>
            <w:tcW w:w="4480" w:type="dxa"/>
            <w:vAlign w:val="bottom"/>
          </w:tcPr>
          <w:p>
            <w:pPr>
              <w:jc w:val="center"/>
              <w:ind w:right="193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120" w:type="dxa"/>
            <w:vAlign w:val="bottom"/>
          </w:tcPr>
          <w:p>
            <w:pPr>
              <w:jc w:val="center"/>
              <w:ind w:left="192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480" w:type="dxa"/>
            <w:vAlign w:val="bottom"/>
          </w:tcPr>
          <w:p>
            <w:pPr>
              <w:jc w:val="center"/>
              <w:ind w:right="193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120" w:type="dxa"/>
            <w:vAlign w:val="bottom"/>
          </w:tcPr>
          <w:p>
            <w:pPr>
              <w:jc w:val="center"/>
              <w:ind w:left="192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58"/>
        </w:trPr>
        <w:tc>
          <w:tcPr>
            <w:tcW w:w="4480" w:type="dxa"/>
            <w:vAlign w:val="bottom"/>
          </w:tcPr>
          <w:p>
            <w:pPr>
              <w:jc w:val="center"/>
              <w:ind w:right="1939"/>
              <w:spacing w:after="0"/>
              <w:rPr>
                <w:sz w:val="20"/>
                <w:szCs w:val="20"/>
                <w:color w:val="auto"/>
              </w:rPr>
            </w:pPr>
            <w:r>
              <w:rPr>
                <w:rFonts w:ascii="Times New Roman" w:cs="Times New Roman" w:eastAsia="Times New Roman" w:hAnsi="Times New Roman"/>
                <w:sz w:val="18"/>
                <w:szCs w:val="18"/>
                <w:b w:val="1"/>
                <w:bCs w:val="1"/>
                <w:color w:val="auto"/>
              </w:rPr>
              <w:t>2006 Route 130 North</w:t>
            </w:r>
          </w:p>
        </w:tc>
        <w:tc>
          <w:tcPr>
            <w:tcW w:w="3120" w:type="dxa"/>
            <w:vAlign w:val="bottom"/>
          </w:tcPr>
          <w:p>
            <w:pPr>
              <w:spacing w:after="0"/>
              <w:rPr>
                <w:sz w:val="22"/>
                <w:szCs w:val="22"/>
                <w:color w:val="auto"/>
              </w:rPr>
            </w:pPr>
          </w:p>
        </w:tc>
      </w:tr>
      <w:tr>
        <w:trPr>
          <w:trHeight w:val="214"/>
        </w:trPr>
        <w:tc>
          <w:tcPr>
            <w:tcW w:w="4480" w:type="dxa"/>
            <w:vAlign w:val="bottom"/>
          </w:tcPr>
          <w:p>
            <w:pPr>
              <w:jc w:val="center"/>
              <w:ind w:right="1939"/>
              <w:spacing w:after="0"/>
              <w:rPr>
                <w:sz w:val="20"/>
                <w:szCs w:val="20"/>
                <w:color w:val="auto"/>
              </w:rPr>
            </w:pPr>
            <w:r>
              <w:rPr>
                <w:rFonts w:ascii="Times New Roman" w:cs="Times New Roman" w:eastAsia="Times New Roman" w:hAnsi="Times New Roman"/>
                <w:sz w:val="18"/>
                <w:szCs w:val="18"/>
                <w:b w:val="1"/>
                <w:bCs w:val="1"/>
                <w:color w:val="auto"/>
              </w:rPr>
              <w:t>Burlington, New Jersey</w:t>
            </w:r>
          </w:p>
        </w:tc>
        <w:tc>
          <w:tcPr>
            <w:tcW w:w="312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08016</w:t>
            </w:r>
          </w:p>
        </w:tc>
      </w:tr>
      <w:tr>
        <w:trPr>
          <w:trHeight w:val="190"/>
        </w:trPr>
        <w:tc>
          <w:tcPr>
            <w:tcW w:w="4480" w:type="dxa"/>
            <w:vAlign w:val="bottom"/>
          </w:tcPr>
          <w:p>
            <w:pPr>
              <w:jc w:val="center"/>
              <w:ind w:right="19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120" w:type="dxa"/>
            <w:vAlign w:val="bottom"/>
          </w:tcPr>
          <w:p>
            <w:pPr>
              <w:jc w:val="center"/>
              <w:ind w:left="19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(609) 387-7800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88265</wp:posOffset>
            </wp:positionV>
            <wp:extent cx="1449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2" w:lineRule="exact"/>
        <w:rPr>
          <w:sz w:val="24"/>
          <w:szCs w:val="24"/>
          <w:color w:val="auto"/>
        </w:rPr>
      </w:pPr>
    </w:p>
    <w:p>
      <w:pPr>
        <w:ind w:right="200" w:firstLine="518"/>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ind w:firstLine="518"/>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4" w:lineRule="exact"/>
        <w:rPr>
          <w:sz w:val="24"/>
          <w:szCs w:val="24"/>
          <w:color w:val="auto"/>
        </w:rPr>
      </w:pPr>
    </w:p>
    <w:p>
      <w:pPr>
        <w:ind w:right="140" w:firstLine="51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5100" w:type="dxa"/>
            <w:vAlign w:val="bottom"/>
          </w:tcPr>
          <w:p>
            <w:pPr>
              <w:ind w:left="740"/>
              <w:spacing w:after="0" w:line="181" w:lineRule="exact"/>
              <w:rPr>
                <w:sz w:val="20"/>
                <w:szCs w:val="20"/>
                <w:color w:val="auto"/>
              </w:rPr>
            </w:pPr>
            <w:r>
              <w:rPr>
                <w:rFonts w:ascii="MS PGothic" w:cs="MS PGothic" w:eastAsia="MS PGothic" w:hAnsi="MS PGothic"/>
                <w:sz w:val="18"/>
                <w:szCs w:val="18"/>
                <w:color w:val="auto"/>
              </w:rPr>
              <w:t>☒</w:t>
            </w:r>
          </w:p>
        </w:tc>
        <w:tc>
          <w:tcPr>
            <w:tcW w:w="31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Accelerated filer</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7"/>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5100" w:type="dxa"/>
            <w:vAlign w:val="bottom"/>
          </w:tcPr>
          <w:p>
            <w:pPr>
              <w:ind w:left="7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check if a smaller reporting company)</w:t>
            </w:r>
          </w:p>
        </w:tc>
        <w:tc>
          <w:tcPr>
            <w:tcW w:w="31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36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31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Emerging growth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9" w:lineRule="exact"/>
        <w:rPr>
          <w:sz w:val="24"/>
          <w:szCs w:val="24"/>
          <w:color w:val="auto"/>
        </w:rPr>
      </w:pPr>
    </w:p>
    <w:p>
      <w:pPr>
        <w:jc w:val="both"/>
        <w:ind w:right="120" w:firstLine="518"/>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 w:lineRule="exact"/>
        <w:rPr>
          <w:sz w:val="24"/>
          <w:szCs w:val="24"/>
          <w:color w:val="auto"/>
        </w:rPr>
      </w:pPr>
    </w:p>
    <w:p>
      <w:pPr>
        <w:ind w:left="520" w:right="1340"/>
        <w:spacing w:after="0" w:line="28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registrant had 68,972,042 shares of common stock outstanding as of July 29,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78105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417195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5" w:right="2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80" w:type="dxa"/>
            <w:vAlign w:val="bottom"/>
            <w:gridSpan w:val="9"/>
          </w:tcPr>
          <w:p>
            <w:pPr>
              <w:jc w:val="center"/>
              <w:ind w:right="3040"/>
              <w:spacing w:after="0"/>
              <w:rPr>
                <w:sz w:val="20"/>
                <w:szCs w:val="20"/>
                <w:color w:val="auto"/>
              </w:rPr>
            </w:pPr>
            <w:r>
              <w:rPr>
                <w:rFonts w:ascii="Times New Roman" w:cs="Times New Roman" w:eastAsia="Times New Roman" w:hAnsi="Times New Roman"/>
                <w:sz w:val="18"/>
                <w:szCs w:val="18"/>
                <w:b w:val="1"/>
                <w:bCs w:val="1"/>
                <w:color w:val="auto"/>
                <w:w w:val="99"/>
              </w:rPr>
              <w:t>BURLINGTON STORES, INC.</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00" w:type="dxa"/>
            <w:vAlign w:val="bottom"/>
            <w:gridSpan w:val="8"/>
          </w:tcPr>
          <w:p>
            <w:pPr>
              <w:jc w:val="center"/>
              <w:ind w:right="4320"/>
              <w:spacing w:after="0"/>
              <w:rPr>
                <w:sz w:val="20"/>
                <w:szCs w:val="20"/>
                <w:color w:val="auto"/>
              </w:rPr>
            </w:pPr>
            <w:r>
              <w:rPr>
                <w:rFonts w:ascii="Times New Roman" w:cs="Times New Roman" w:eastAsia="Times New Roman" w:hAnsi="Times New Roman"/>
                <w:sz w:val="18"/>
                <w:szCs w:val="18"/>
                <w:color w:val="auto"/>
                <w:w w:val="99"/>
              </w:rPr>
              <w:t>INDEX</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880" w:type="dxa"/>
            <w:vAlign w:val="bottom"/>
            <w:gridSpan w:val="21"/>
            <w:vMerge w:val="restart"/>
          </w:tcPr>
          <w:p>
            <w:pPr>
              <w:spacing w:after="0"/>
              <w:rPr>
                <w:rFonts w:ascii="Times New Roman" w:cs="Times New Roman" w:eastAsia="Times New Roman" w:hAnsi="Times New Roman"/>
                <w:sz w:val="18"/>
                <w:szCs w:val="18"/>
                <w:b w:val="1"/>
                <w:bCs w:val="1"/>
                <w:color w:val="0000EE"/>
              </w:rPr>
            </w:pPr>
            <w:hyperlink w:anchor="page3">
              <w:r>
                <w:rPr>
                  <w:rFonts w:ascii="Times New Roman" w:cs="Times New Roman" w:eastAsia="Times New Roman" w:hAnsi="Times New Roman"/>
                  <w:sz w:val="18"/>
                  <w:szCs w:val="18"/>
                  <w:b w:val="1"/>
                  <w:bCs w:val="1"/>
                  <w:color w:val="0000EE"/>
                </w:rPr>
                <w:t>Part I—Financial Information</w:t>
              </w:r>
            </w:hyperlink>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880" w:type="dxa"/>
            <w:vAlign w:val="bottom"/>
            <w:gridSpan w:val="21"/>
            <w:vMerge w:val="continue"/>
          </w:tcPr>
          <w:p>
            <w:pPr>
              <w:spacing w:after="0"/>
              <w:rPr>
                <w:sz w:val="17"/>
                <w:szCs w:val="17"/>
                <w:color w:val="auto"/>
              </w:rPr>
            </w:pPr>
          </w:p>
        </w:tc>
        <w:tc>
          <w:tcPr>
            <w:tcW w:w="5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40" w:type="dxa"/>
            <w:vAlign w:val="bottom"/>
          </w:tcPr>
          <w:p>
            <w:pPr>
              <w:spacing w:after="0"/>
              <w:rPr>
                <w:sz w:val="24"/>
                <w:szCs w:val="24"/>
                <w:color w:val="auto"/>
              </w:rPr>
            </w:pPr>
          </w:p>
        </w:tc>
        <w:tc>
          <w:tcPr>
            <w:tcW w:w="3160" w:type="dxa"/>
            <w:vAlign w:val="bottom"/>
            <w:tcBorders>
              <w:bottom w:val="single" w:sz="8" w:color="0000EE"/>
            </w:tcBorders>
            <w:gridSpan w:val="11"/>
          </w:tcPr>
          <w:p>
            <w:pPr>
              <w:spacing w:after="0"/>
              <w:rPr>
                <w:rFonts w:ascii="Times New Roman" w:cs="Times New Roman" w:eastAsia="Times New Roman" w:hAnsi="Times New Roman"/>
                <w:sz w:val="18"/>
                <w:szCs w:val="18"/>
                <w:b w:val="1"/>
                <w:bCs w:val="1"/>
                <w:color w:val="0000EE"/>
                <w:w w:val="99"/>
              </w:rPr>
            </w:pPr>
            <w:hyperlink w:anchor="page3">
              <w:r>
                <w:rPr>
                  <w:rFonts w:ascii="Times New Roman" w:cs="Times New Roman" w:eastAsia="Times New Roman" w:hAnsi="Times New Roman"/>
                  <w:sz w:val="18"/>
                  <w:szCs w:val="18"/>
                  <w:b w:val="1"/>
                  <w:bCs w:val="1"/>
                  <w:color w:val="0000EE"/>
                  <w:w w:val="99"/>
                </w:rPr>
                <w:t>Item 1. Financial Statements (unaudited)</w:t>
              </w:r>
            </w:hyperlink>
          </w:p>
        </w:tc>
        <w:tc>
          <w:tcPr>
            <w:tcW w:w="7280" w:type="dxa"/>
            <w:vAlign w:val="bottom"/>
            <w:gridSpan w:val="9"/>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0" w:type="dxa"/>
            <w:vAlign w:val="bottom"/>
            <w:gridSpan w:val="19"/>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Consolidated Statements of Income - Three and Six Months Ended July 29, 2017 and July 30, 2016</w:t>
              </w:r>
            </w:hyperlink>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2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7"/>
              </w:rPr>
            </w:pPr>
            <w:hyperlink w:anchor="page4">
              <w:r>
                <w:rPr>
                  <w:rFonts w:ascii="Times New Roman" w:cs="Times New Roman" w:eastAsia="Times New Roman" w:hAnsi="Times New Roman"/>
                  <w:sz w:val="18"/>
                  <w:szCs w:val="18"/>
                  <w:color w:val="0000EE"/>
                  <w:w w:val="97"/>
                </w:rPr>
                <w:t>Condensed Consolidated Statements of Comprehensive Income – Three and Six Months Ended July 29, 2017 and July 30, 2016</w:t>
              </w:r>
            </w:hyperlink>
          </w:p>
        </w:tc>
        <w:tc>
          <w:tcPr>
            <w:tcW w:w="98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0" w:type="dxa"/>
            <w:vAlign w:val="bottom"/>
            <w:gridSpan w:val="19"/>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Balance Sheets – July 29, 2017, January 28, 2017 and July 30, 2016</w:t>
              </w:r>
            </w:hyperlink>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0" w:type="dxa"/>
            <w:vAlign w:val="bottom"/>
            <w:gridSpan w:val="19"/>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Condensed Consolidated Statements of Cash Flows – Six Months Ended July 29, 2017 and July 30, 2016</w:t>
              </w:r>
            </w:hyperlink>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580" w:type="dxa"/>
            <w:vAlign w:val="bottom"/>
            <w:tcBorders>
              <w:top w:val="single" w:sz="8" w:color="0000EE"/>
            </w:tcBorders>
            <w:gridSpan w:val="16"/>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Notes to Condensed Consolidated Financial Statements</w:t>
              </w:r>
            </w:hyperlink>
          </w:p>
        </w:tc>
        <w:tc>
          <w:tcPr>
            <w:tcW w:w="2420" w:type="dxa"/>
            <w:vAlign w:val="bottom"/>
            <w:gridSpan w:val="3"/>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3020" w:type="dxa"/>
            <w:vAlign w:val="bottom"/>
            <w:gridSpan w:val="4"/>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40" w:type="dxa"/>
            <w:vAlign w:val="bottom"/>
          </w:tcPr>
          <w:p>
            <w:pPr>
              <w:spacing w:after="0"/>
              <w:rPr>
                <w:sz w:val="24"/>
                <w:szCs w:val="24"/>
                <w:color w:val="auto"/>
              </w:rPr>
            </w:pPr>
          </w:p>
        </w:tc>
        <w:tc>
          <w:tcPr>
            <w:tcW w:w="10440" w:type="dxa"/>
            <w:vAlign w:val="bottom"/>
            <w:gridSpan w:val="20"/>
          </w:tcPr>
          <w:p>
            <w:pPr>
              <w:spacing w:after="0"/>
              <w:rPr>
                <w:rFonts w:ascii="Times New Roman" w:cs="Times New Roman" w:eastAsia="Times New Roman" w:hAnsi="Times New Roman"/>
                <w:sz w:val="18"/>
                <w:szCs w:val="18"/>
                <w:b w:val="1"/>
                <w:bCs w:val="1"/>
                <w:color w:val="0000EE"/>
              </w:rPr>
            </w:pPr>
            <w:hyperlink w:anchor="page18">
              <w:r>
                <w:rPr>
                  <w:rFonts w:ascii="Times New Roman" w:cs="Times New Roman" w:eastAsia="Times New Roman" w:hAnsi="Times New Roman"/>
                  <w:sz w:val="18"/>
                  <w:szCs w:val="18"/>
                  <w:b w:val="1"/>
                  <w:bCs w:val="1"/>
                  <w:color w:val="0000EE"/>
                </w:rPr>
                <w:t>Item 2. Management’s Discussion and Analysis of Financial Condition and Results of Operations</w:t>
              </w:r>
            </w:hyperlink>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5260" w:type="dxa"/>
            <w:vAlign w:val="bottom"/>
            <w:tcBorders>
              <w:top w:val="single" w:sz="8" w:color="0000EE"/>
              <w:bottom w:val="single" w:sz="8" w:color="0000EE"/>
            </w:tcBorders>
            <w:gridSpan w:val="14"/>
          </w:tcPr>
          <w:p>
            <w:pPr>
              <w:spacing w:after="0"/>
              <w:rPr>
                <w:rFonts w:ascii="Times New Roman" w:cs="Times New Roman" w:eastAsia="Times New Roman" w:hAnsi="Times New Roman"/>
                <w:sz w:val="18"/>
                <w:szCs w:val="18"/>
                <w:b w:val="1"/>
                <w:bCs w:val="1"/>
                <w:color w:val="0000EE"/>
                <w:w w:val="99"/>
              </w:rPr>
            </w:pPr>
            <w:hyperlink w:anchor="page33">
              <w:r>
                <w:rPr>
                  <w:rFonts w:ascii="Times New Roman" w:cs="Times New Roman" w:eastAsia="Times New Roman" w:hAnsi="Times New Roman"/>
                  <w:sz w:val="18"/>
                  <w:szCs w:val="18"/>
                  <w:b w:val="1"/>
                  <w:bCs w:val="1"/>
                  <w:color w:val="0000EE"/>
                  <w:w w:val="99"/>
                </w:rPr>
                <w:t>Item 3. Quantitative and Qualitative Disclosures About Market Risk</w:t>
              </w:r>
            </w:hyperlink>
          </w:p>
        </w:tc>
        <w:tc>
          <w:tcPr>
            <w:tcW w:w="2160" w:type="dxa"/>
            <w:vAlign w:val="bottom"/>
            <w:tcBorders>
              <w:top w:val="single" w:sz="8" w:color="0000EE"/>
            </w:tcBorders>
            <w:gridSpan w:val="2"/>
          </w:tcPr>
          <w:p>
            <w:pPr>
              <w:spacing w:after="0"/>
              <w:rPr>
                <w:sz w:val="24"/>
                <w:szCs w:val="24"/>
                <w:color w:val="auto"/>
              </w:rPr>
            </w:pPr>
          </w:p>
        </w:tc>
        <w:tc>
          <w:tcPr>
            <w:tcW w:w="3020" w:type="dxa"/>
            <w:vAlign w:val="bottom"/>
            <w:gridSpan w:val="4"/>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10440" w:type="dxa"/>
            <w:vAlign w:val="bottom"/>
            <w:gridSpan w:val="20"/>
          </w:tcPr>
          <w:p>
            <w:pPr>
              <w:spacing w:after="0"/>
              <w:rPr>
                <w:rFonts w:ascii="Times New Roman" w:cs="Times New Roman" w:eastAsia="Times New Roman" w:hAnsi="Times New Roman"/>
                <w:sz w:val="18"/>
                <w:szCs w:val="18"/>
                <w:b w:val="1"/>
                <w:bCs w:val="1"/>
                <w:color w:val="0000EE"/>
              </w:rPr>
            </w:pPr>
            <w:hyperlink w:anchor="page33">
              <w:r>
                <w:rPr>
                  <w:rFonts w:ascii="Times New Roman" w:cs="Times New Roman" w:eastAsia="Times New Roman" w:hAnsi="Times New Roman"/>
                  <w:sz w:val="18"/>
                  <w:szCs w:val="18"/>
                  <w:b w:val="1"/>
                  <w:bCs w:val="1"/>
                  <w:color w:val="0000EE"/>
                </w:rPr>
                <w:t>Item 4. Controls and Procedures</w:t>
              </w:r>
            </w:hyperlink>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5280" w:type="dxa"/>
            <w:vAlign w:val="bottom"/>
            <w:gridSpan w:val="7"/>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160" w:type="dxa"/>
            <w:vAlign w:val="bottom"/>
            <w:tcBorders>
              <w:bottom w:val="single" w:sz="8" w:color="0000EE"/>
            </w:tcBorders>
            <w:gridSpan w:val="6"/>
          </w:tcPr>
          <w:p>
            <w:pPr>
              <w:spacing w:after="0"/>
              <w:rPr>
                <w:rFonts w:ascii="Times New Roman" w:cs="Times New Roman" w:eastAsia="Times New Roman" w:hAnsi="Times New Roman"/>
                <w:sz w:val="18"/>
                <w:szCs w:val="18"/>
                <w:b w:val="1"/>
                <w:bCs w:val="1"/>
                <w:color w:val="0000EE"/>
                <w:w w:val="99"/>
              </w:rPr>
            </w:pPr>
            <w:hyperlink w:anchor="page33">
              <w:r>
                <w:rPr>
                  <w:rFonts w:ascii="Times New Roman" w:cs="Times New Roman" w:eastAsia="Times New Roman" w:hAnsi="Times New Roman"/>
                  <w:sz w:val="18"/>
                  <w:szCs w:val="18"/>
                  <w:b w:val="1"/>
                  <w:bCs w:val="1"/>
                  <w:color w:val="0000EE"/>
                  <w:w w:val="99"/>
                </w:rPr>
                <w:t>Part II—Other Information</w:t>
              </w:r>
            </w:hyperlink>
          </w:p>
        </w:tc>
        <w:tc>
          <w:tcPr>
            <w:tcW w:w="8720" w:type="dxa"/>
            <w:vAlign w:val="bottom"/>
            <w:gridSpan w:val="15"/>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2000" w:type="dxa"/>
            <w:vAlign w:val="bottom"/>
            <w:tcBorders>
              <w:bottom w:val="single" w:sz="8" w:color="0000EE"/>
            </w:tcBorders>
            <w:gridSpan w:val="7"/>
          </w:tcPr>
          <w:p>
            <w:pPr>
              <w:spacing w:after="0"/>
              <w:rPr>
                <w:rFonts w:ascii="Times New Roman" w:cs="Times New Roman" w:eastAsia="Times New Roman" w:hAnsi="Times New Roman"/>
                <w:sz w:val="18"/>
                <w:szCs w:val="18"/>
                <w:b w:val="1"/>
                <w:bCs w:val="1"/>
                <w:color w:val="0000EE"/>
                <w:w w:val="99"/>
              </w:rPr>
            </w:pPr>
            <w:hyperlink w:anchor="page33">
              <w:r>
                <w:rPr>
                  <w:rFonts w:ascii="Times New Roman" w:cs="Times New Roman" w:eastAsia="Times New Roman" w:hAnsi="Times New Roman"/>
                  <w:sz w:val="18"/>
                  <w:szCs w:val="18"/>
                  <w:b w:val="1"/>
                  <w:bCs w:val="1"/>
                  <w:color w:val="0000EE"/>
                  <w:w w:val="99"/>
                </w:rPr>
                <w:t>Item 1. Legal Proceedings</w:t>
              </w:r>
            </w:hyperlink>
          </w:p>
        </w:tc>
        <w:tc>
          <w:tcPr>
            <w:tcW w:w="8440" w:type="dxa"/>
            <w:vAlign w:val="bottom"/>
            <w:gridSpan w:val="13"/>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1700" w:type="dxa"/>
            <w:vAlign w:val="bottom"/>
            <w:tcBorders>
              <w:bottom w:val="single" w:sz="8" w:color="0000EE"/>
            </w:tcBorders>
            <w:gridSpan w:val="4"/>
          </w:tcPr>
          <w:p>
            <w:pPr>
              <w:spacing w:after="0"/>
              <w:rPr>
                <w:rFonts w:ascii="Times New Roman" w:cs="Times New Roman" w:eastAsia="Times New Roman" w:hAnsi="Times New Roman"/>
                <w:sz w:val="18"/>
                <w:szCs w:val="18"/>
                <w:b w:val="1"/>
                <w:bCs w:val="1"/>
                <w:color w:val="0000EE"/>
                <w:w w:val="99"/>
              </w:rPr>
            </w:pPr>
            <w:hyperlink w:anchor="page34">
              <w:r>
                <w:rPr>
                  <w:rFonts w:ascii="Times New Roman" w:cs="Times New Roman" w:eastAsia="Times New Roman" w:hAnsi="Times New Roman"/>
                  <w:sz w:val="18"/>
                  <w:szCs w:val="18"/>
                  <w:b w:val="1"/>
                  <w:bCs w:val="1"/>
                  <w:color w:val="0000EE"/>
                  <w:w w:val="99"/>
                </w:rPr>
                <w:t>Item 1A. Risk Factors</w:t>
              </w:r>
            </w:hyperlink>
          </w:p>
        </w:tc>
        <w:tc>
          <w:tcPr>
            <w:tcW w:w="8740" w:type="dxa"/>
            <w:vAlign w:val="bottom"/>
            <w:gridSpan w:val="16"/>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10440" w:type="dxa"/>
            <w:vAlign w:val="bottom"/>
            <w:gridSpan w:val="20"/>
          </w:tcPr>
          <w:p>
            <w:pPr>
              <w:spacing w:after="0"/>
              <w:rPr>
                <w:rFonts w:ascii="Times New Roman" w:cs="Times New Roman" w:eastAsia="Times New Roman" w:hAnsi="Times New Roman"/>
                <w:sz w:val="18"/>
                <w:szCs w:val="18"/>
                <w:b w:val="1"/>
                <w:bCs w:val="1"/>
                <w:color w:val="0000EE"/>
              </w:rPr>
            </w:pPr>
            <w:hyperlink w:anchor="page34">
              <w:r>
                <w:rPr>
                  <w:rFonts w:ascii="Times New Roman" w:cs="Times New Roman" w:eastAsia="Times New Roman" w:hAnsi="Times New Roman"/>
                  <w:sz w:val="18"/>
                  <w:szCs w:val="18"/>
                  <w:b w:val="1"/>
                  <w:bCs w:val="1"/>
                  <w:color w:val="0000EE"/>
                </w:rPr>
                <w:t>Item 2. Unregistered Sales of Equity Securities and Use of Proceeds</w:t>
              </w:r>
            </w:hyperlink>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3040" w:type="dxa"/>
            <w:vAlign w:val="bottom"/>
            <w:tcBorders>
              <w:top w:val="single" w:sz="8" w:color="0000EE"/>
              <w:bottom w:val="single" w:sz="8" w:color="0000EE"/>
            </w:tcBorders>
            <w:gridSpan w:val="10"/>
          </w:tcPr>
          <w:p>
            <w:pPr>
              <w:spacing w:after="0"/>
              <w:rPr>
                <w:rFonts w:ascii="Times New Roman" w:cs="Times New Roman" w:eastAsia="Times New Roman" w:hAnsi="Times New Roman"/>
                <w:sz w:val="18"/>
                <w:szCs w:val="18"/>
                <w:b w:val="1"/>
                <w:bCs w:val="1"/>
                <w:color w:val="0000EE"/>
                <w:w w:val="99"/>
              </w:rPr>
            </w:pPr>
            <w:hyperlink w:anchor="page34">
              <w:r>
                <w:rPr>
                  <w:rFonts w:ascii="Times New Roman" w:cs="Times New Roman" w:eastAsia="Times New Roman" w:hAnsi="Times New Roman"/>
                  <w:sz w:val="18"/>
                  <w:szCs w:val="18"/>
                  <w:b w:val="1"/>
                  <w:bCs w:val="1"/>
                  <w:color w:val="0000EE"/>
                  <w:w w:val="99"/>
                </w:rPr>
                <w:t>Item 3. Defaults Upon Senior Securities</w:t>
              </w:r>
            </w:hyperlink>
          </w:p>
        </w:tc>
        <w:tc>
          <w:tcPr>
            <w:tcW w:w="2120" w:type="dxa"/>
            <w:vAlign w:val="bottom"/>
            <w:tcBorders>
              <w:top w:val="single" w:sz="8" w:color="0000EE"/>
            </w:tcBorders>
            <w:gridSpan w:val="3"/>
          </w:tcPr>
          <w:p>
            <w:pPr>
              <w:spacing w:after="0"/>
              <w:rPr>
                <w:sz w:val="24"/>
                <w:szCs w:val="24"/>
                <w:color w:val="auto"/>
              </w:rPr>
            </w:pPr>
          </w:p>
        </w:tc>
        <w:tc>
          <w:tcPr>
            <w:tcW w:w="5280" w:type="dxa"/>
            <w:vAlign w:val="bottom"/>
            <w:gridSpan w:val="7"/>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2500" w:type="dxa"/>
            <w:vAlign w:val="bottom"/>
            <w:tcBorders>
              <w:bottom w:val="single" w:sz="8" w:color="0000EE"/>
            </w:tcBorders>
            <w:gridSpan w:val="9"/>
          </w:tcPr>
          <w:p>
            <w:pPr>
              <w:spacing w:after="0"/>
              <w:rPr>
                <w:rFonts w:ascii="Times New Roman" w:cs="Times New Roman" w:eastAsia="Times New Roman" w:hAnsi="Times New Roman"/>
                <w:sz w:val="18"/>
                <w:szCs w:val="18"/>
                <w:b w:val="1"/>
                <w:bCs w:val="1"/>
                <w:color w:val="0000EE"/>
              </w:rPr>
            </w:pPr>
            <w:hyperlink w:anchor="page34">
              <w:r>
                <w:rPr>
                  <w:rFonts w:ascii="Times New Roman" w:cs="Times New Roman" w:eastAsia="Times New Roman" w:hAnsi="Times New Roman"/>
                  <w:sz w:val="18"/>
                  <w:szCs w:val="18"/>
                  <w:b w:val="1"/>
                  <w:bCs w:val="1"/>
                  <w:color w:val="0000EE"/>
                </w:rPr>
                <w:t>Item 4. Mine Safety Disclosures</w:t>
              </w:r>
            </w:hyperlink>
          </w:p>
        </w:tc>
        <w:tc>
          <w:tcPr>
            <w:tcW w:w="7940" w:type="dxa"/>
            <w:vAlign w:val="bottom"/>
            <w:gridSpan w:val="11"/>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2040" w:type="dxa"/>
            <w:vAlign w:val="bottom"/>
            <w:tcBorders>
              <w:bottom w:val="single" w:sz="8" w:color="0000EE"/>
            </w:tcBorders>
            <w:gridSpan w:val="8"/>
          </w:tcPr>
          <w:p>
            <w:pPr>
              <w:spacing w:after="0"/>
              <w:rPr>
                <w:rFonts w:ascii="Times New Roman" w:cs="Times New Roman" w:eastAsia="Times New Roman" w:hAnsi="Times New Roman"/>
                <w:sz w:val="18"/>
                <w:szCs w:val="18"/>
                <w:b w:val="1"/>
                <w:bCs w:val="1"/>
                <w:color w:val="0000EE"/>
                <w:w w:val="99"/>
              </w:rPr>
            </w:pPr>
            <w:hyperlink w:anchor="page34">
              <w:r>
                <w:rPr>
                  <w:rFonts w:ascii="Times New Roman" w:cs="Times New Roman" w:eastAsia="Times New Roman" w:hAnsi="Times New Roman"/>
                  <w:sz w:val="18"/>
                  <w:szCs w:val="18"/>
                  <w:b w:val="1"/>
                  <w:bCs w:val="1"/>
                  <w:color w:val="0000EE"/>
                  <w:w w:val="99"/>
                </w:rPr>
                <w:t>Item 5. Other Information</w:t>
              </w:r>
            </w:hyperlink>
          </w:p>
        </w:tc>
        <w:tc>
          <w:tcPr>
            <w:tcW w:w="8400" w:type="dxa"/>
            <w:vAlign w:val="bottom"/>
            <w:gridSpan w:val="12"/>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1240" w:type="dxa"/>
            <w:vAlign w:val="bottom"/>
            <w:tcBorders>
              <w:bottom w:val="single" w:sz="8" w:color="0000EE"/>
            </w:tcBorders>
            <w:gridSpan w:val="3"/>
          </w:tcPr>
          <w:p>
            <w:pPr>
              <w:spacing w:after="0"/>
              <w:rPr>
                <w:rFonts w:ascii="Times New Roman" w:cs="Times New Roman" w:eastAsia="Times New Roman" w:hAnsi="Times New Roman"/>
                <w:sz w:val="18"/>
                <w:szCs w:val="18"/>
                <w:b w:val="1"/>
                <w:bCs w:val="1"/>
                <w:color w:val="0000EE"/>
                <w:w w:val="99"/>
              </w:rPr>
            </w:pPr>
            <w:hyperlink w:anchor="page35">
              <w:r>
                <w:rPr>
                  <w:rFonts w:ascii="Times New Roman" w:cs="Times New Roman" w:eastAsia="Times New Roman" w:hAnsi="Times New Roman"/>
                  <w:sz w:val="18"/>
                  <w:szCs w:val="18"/>
                  <w:b w:val="1"/>
                  <w:bCs w:val="1"/>
                  <w:color w:val="0000EE"/>
                  <w:w w:val="99"/>
                </w:rPr>
                <w:t>Item 6. Exhibits</w:t>
              </w:r>
            </w:hyperlink>
          </w:p>
        </w:tc>
        <w:tc>
          <w:tcPr>
            <w:tcW w:w="9200" w:type="dxa"/>
            <w:vAlign w:val="bottom"/>
            <w:gridSpan w:val="17"/>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318"/>
        </w:trPr>
        <w:tc>
          <w:tcPr>
            <w:tcW w:w="10880" w:type="dxa"/>
            <w:vAlign w:val="bottom"/>
            <w:gridSpan w:val="21"/>
          </w:tcPr>
          <w:p>
            <w:pPr>
              <w:spacing w:after="0"/>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SIGNATURES</w:t>
              </w:r>
            </w:hyperlink>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BURLINGTON STORES,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per share data)</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5"/>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7"/>
        </w:trPr>
        <w:tc>
          <w:tcPr>
            <w:tcW w:w="47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July 29,</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July 30,</w:t>
            </w:r>
          </w:p>
        </w:tc>
        <w:tc>
          <w:tcPr>
            <w:tcW w:w="180" w:type="dxa"/>
            <w:vAlign w:val="bottom"/>
          </w:tcPr>
          <w:p>
            <w:pPr>
              <w:spacing w:after="0"/>
              <w:rPr>
                <w:sz w:val="23"/>
                <w:szCs w:val="23"/>
                <w:color w:val="auto"/>
              </w:rPr>
            </w:pPr>
          </w:p>
        </w:tc>
        <w:tc>
          <w:tcPr>
            <w:tcW w:w="108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July 29,</w:t>
            </w:r>
          </w:p>
        </w:tc>
        <w:tc>
          <w:tcPr>
            <w:tcW w:w="180" w:type="dxa"/>
            <w:vAlign w:val="bottom"/>
          </w:tcPr>
          <w:p>
            <w:pPr>
              <w:spacing w:after="0"/>
              <w:rPr>
                <w:sz w:val="23"/>
                <w:szCs w:val="23"/>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July 30,</w:t>
            </w:r>
          </w:p>
        </w:tc>
        <w:tc>
          <w:tcPr>
            <w:tcW w:w="0" w:type="dxa"/>
            <w:vAlign w:val="bottom"/>
          </w:tcPr>
          <w:p>
            <w:pPr>
              <w:spacing w:after="0"/>
              <w:rPr>
                <w:sz w:val="1"/>
                <w:szCs w:val="1"/>
                <w:color w:val="auto"/>
              </w:rPr>
            </w:pPr>
          </w:p>
        </w:tc>
      </w:tr>
      <w:tr>
        <w:trPr>
          <w:trHeight w:val="240"/>
        </w:trPr>
        <w:tc>
          <w:tcPr>
            <w:tcW w:w="47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4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2017</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40" w:type="dxa"/>
            <w:vAlign w:val="bottom"/>
            <w:vMerge w:val="continue"/>
          </w:tcPr>
          <w:p>
            <w:pPr>
              <w:spacing w:after="0"/>
              <w:rPr>
                <w:sz w:val="19"/>
                <w:szCs w:val="19"/>
                <w:color w:val="auto"/>
              </w:rPr>
            </w:pPr>
          </w:p>
        </w:tc>
        <w:tc>
          <w:tcPr>
            <w:tcW w:w="1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62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1,363,224</w:t>
            </w:r>
          </w:p>
        </w:tc>
        <w:tc>
          <w:tcPr>
            <w:tcW w:w="160" w:type="dxa"/>
            <w:vAlign w:val="bottom"/>
            <w:shd w:val="clear" w:color="auto" w:fill="CFF0FC"/>
          </w:tcPr>
          <w:p>
            <w:pPr>
              <w:spacing w:after="0"/>
              <w:rPr>
                <w:sz w:val="21"/>
                <w:szCs w:val="21"/>
                <w:color w:val="auto"/>
              </w:rPr>
            </w:pPr>
          </w:p>
        </w:tc>
        <w:tc>
          <w:tcPr>
            <w:tcW w:w="3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1,255,053</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2,709,769</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2,537,723</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4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140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5,756</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5,663</w:t>
            </w:r>
          </w:p>
        </w:tc>
        <w:tc>
          <w:tcPr>
            <w:tcW w:w="24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11,430</w:t>
            </w:r>
          </w:p>
        </w:tc>
        <w:tc>
          <w:tcPr>
            <w:tcW w:w="24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11,877</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1,368,980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1,260,716</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2,721,199</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2,549,600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1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4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808,126</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757,622</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1,604,522</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1,526,303</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437,196</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407,102</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858,052</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810,487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Costs related to debt amendments</w:t>
            </w:r>
          </w:p>
        </w:tc>
        <w:tc>
          <w:tcPr>
            <w:tcW w:w="14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 modification expense</w:t>
            </w:r>
          </w:p>
        </w:tc>
        <w:tc>
          <w:tcPr>
            <w:tcW w:w="1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48,700</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44,613</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96,712</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90,158</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charges - long-lived assets</w:t>
            </w:r>
          </w:p>
        </w:tc>
        <w:tc>
          <w:tcPr>
            <w:tcW w:w="1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 net</w:t>
            </w:r>
          </w:p>
        </w:tc>
        <w:tc>
          <w:tcPr>
            <w:tcW w:w="14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(3,680)</w:t>
            </w: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(1,717)</w:t>
            </w:r>
          </w:p>
        </w:tc>
        <w:tc>
          <w:tcPr>
            <w:tcW w:w="18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(5,586)</w:t>
            </w:r>
          </w:p>
        </w:tc>
        <w:tc>
          <w:tcPr>
            <w:tcW w:w="18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(5,886)</w:t>
            </w:r>
          </w:p>
        </w:tc>
        <w:tc>
          <w:tcPr>
            <w:tcW w:w="0" w:type="dxa"/>
            <w:vAlign w:val="bottom"/>
          </w:tcPr>
          <w:p>
            <w:pPr>
              <w:spacing w:after="0"/>
              <w:rPr>
                <w:sz w:val="1"/>
                <w:szCs w:val="1"/>
                <w:color w:val="auto"/>
              </w:rPr>
            </w:pPr>
          </w:p>
        </w:tc>
      </w:tr>
      <w:tr>
        <w:trPr>
          <w:trHeight w:val="24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3,805</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40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14,544</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15,084</w:t>
            </w:r>
          </w:p>
        </w:tc>
        <w:tc>
          <w:tcPr>
            <w:tcW w:w="240" w:type="dxa"/>
            <w:vAlign w:val="bottom"/>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28,058</w:t>
            </w:r>
          </w:p>
        </w:tc>
        <w:tc>
          <w:tcPr>
            <w:tcW w:w="240" w:type="dxa"/>
            <w:vAlign w:val="bottom"/>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30,036</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7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Total costs and expenses</w:t>
            </w:r>
          </w:p>
        </w:tc>
        <w:tc>
          <w:tcPr>
            <w:tcW w:w="14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1,305,916</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1,228,033</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2,582,851</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2,456,772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 expense</w:t>
            </w:r>
          </w:p>
        </w:tc>
        <w:tc>
          <w:tcPr>
            <w:tcW w:w="1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63,064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32,683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138,348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92,828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74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40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16,162</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12,289</w:t>
            </w:r>
          </w:p>
        </w:tc>
        <w:tc>
          <w:tcPr>
            <w:tcW w:w="24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39,078</w:t>
            </w:r>
          </w:p>
        </w:tc>
        <w:tc>
          <w:tcPr>
            <w:tcW w:w="24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34,920</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74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4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46,902</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20,394</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99,270</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57,908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1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740" w:type="dxa"/>
            <w:vAlign w:val="bottom"/>
            <w:vMerge w:val="continue"/>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Common stock - basic</w:t>
            </w:r>
          </w:p>
        </w:tc>
        <w:tc>
          <w:tcPr>
            <w:tcW w:w="162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60" w:type="dxa"/>
            <w:vAlign w:val="bottom"/>
            <w:shd w:val="clear" w:color="auto" w:fill="CFF0FC"/>
          </w:tcPr>
          <w:p>
            <w:pPr>
              <w:spacing w:after="0"/>
              <w:rPr>
                <w:sz w:val="21"/>
                <w:szCs w:val="21"/>
                <w:color w:val="auto"/>
              </w:rPr>
            </w:pPr>
          </w:p>
        </w:tc>
        <w:tc>
          <w:tcPr>
            <w:tcW w:w="3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CFF0FC"/>
            </w:tcBorders>
          </w:tcPr>
          <w:p>
            <w:pPr>
              <w:spacing w:after="0" w:line="20" w:lineRule="exact"/>
              <w:rPr>
                <w:sz w:val="1"/>
                <w:szCs w:val="1"/>
                <w:color w:val="auto"/>
              </w:rPr>
            </w:pPr>
          </w:p>
        </w:tc>
        <w:tc>
          <w:tcPr>
            <w:tcW w:w="14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Common stock - diluted</w:t>
            </w:r>
          </w:p>
        </w:tc>
        <w:tc>
          <w:tcPr>
            <w:tcW w:w="140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24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4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w:t>
            </w:r>
          </w:p>
        </w:tc>
        <w:tc>
          <w:tcPr>
            <w:tcW w:w="1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47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Common stock - basic</w:t>
            </w:r>
          </w:p>
        </w:tc>
        <w:tc>
          <w:tcPr>
            <w:tcW w:w="1400" w:type="dxa"/>
            <w:vAlign w:val="bottom"/>
            <w:tcBorders>
              <w:bottom w:val="single" w:sz="8" w:color="CFF0FC"/>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68,807</w:t>
            </w:r>
          </w:p>
        </w:tc>
        <w:tc>
          <w:tcPr>
            <w:tcW w:w="160" w:type="dxa"/>
            <w:vAlign w:val="bottom"/>
            <w:tcBorders>
              <w:bottom w:val="single" w:sz="8" w:color="CFF0FC"/>
            </w:tcBorders>
          </w:tcPr>
          <w:p>
            <w:pPr>
              <w:spacing w:after="0"/>
              <w:rPr>
                <w:sz w:val="24"/>
                <w:szCs w:val="24"/>
                <w:color w:val="auto"/>
              </w:rPr>
            </w:pPr>
          </w:p>
        </w:tc>
        <w:tc>
          <w:tcPr>
            <w:tcW w:w="80" w:type="dxa"/>
            <w:vAlign w:val="bottom"/>
            <w:tcBorders>
              <w:bottom w:val="single" w:sz="8" w:color="CFF0FC"/>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70,757</w:t>
            </w:r>
          </w:p>
        </w:tc>
        <w:tc>
          <w:tcPr>
            <w:tcW w:w="240" w:type="dxa"/>
            <w:vAlign w:val="bottom"/>
            <w:tcBorders>
              <w:bottom w:val="single" w:sz="8" w:color="CFF0FC"/>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69,070</w:t>
            </w:r>
          </w:p>
        </w:tc>
        <w:tc>
          <w:tcPr>
            <w:tcW w:w="240" w:type="dxa"/>
            <w:vAlign w:val="bottom"/>
            <w:tcBorders>
              <w:bottom w:val="single" w:sz="8" w:color="CFF0FC"/>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70,962</w:t>
            </w:r>
          </w:p>
        </w:tc>
        <w:tc>
          <w:tcPr>
            <w:tcW w:w="12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74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Common stock - diluted</w:t>
            </w:r>
          </w:p>
        </w:tc>
        <w:tc>
          <w:tcPr>
            <w:tcW w:w="14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70,801</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71,987</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71,153</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72,205</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-1165860</wp:posOffset>
            </wp:positionV>
            <wp:extent cx="3807460" cy="11576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807460" cy="11576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-3952875</wp:posOffset>
            </wp:positionV>
            <wp:extent cx="7169150" cy="24784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9150" cy="247840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BURLINGTON STORES,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4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20" w:type="dxa"/>
            <w:vAlign w:val="bottom"/>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44"/>
        </w:trPr>
        <w:tc>
          <w:tcPr>
            <w:tcW w:w="5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jc w:val="right"/>
              <w:ind w:right="420"/>
              <w:spacing w:after="0" w:line="145" w:lineRule="exact"/>
              <w:rPr>
                <w:sz w:val="20"/>
                <w:szCs w:val="20"/>
                <w:color w:val="auto"/>
              </w:rPr>
            </w:pPr>
            <w:r>
              <w:rPr>
                <w:rFonts w:ascii="Times New Roman" w:cs="Times New Roman" w:eastAsia="Times New Roman" w:hAnsi="Times New Roman"/>
                <w:sz w:val="14"/>
                <w:szCs w:val="14"/>
                <w:b w:val="1"/>
                <w:bCs w:val="1"/>
                <w:color w:val="auto"/>
              </w:rPr>
              <w:t>July 29,</w:t>
            </w: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175"/>
              <w:spacing w:after="0" w:line="145" w:lineRule="exact"/>
              <w:rPr>
                <w:sz w:val="20"/>
                <w:szCs w:val="20"/>
                <w:color w:val="auto"/>
              </w:rPr>
            </w:pPr>
            <w:r>
              <w:rPr>
                <w:rFonts w:ascii="Times New Roman" w:cs="Times New Roman" w:eastAsia="Times New Roman" w:hAnsi="Times New Roman"/>
                <w:sz w:val="14"/>
                <w:szCs w:val="14"/>
                <w:b w:val="1"/>
                <w:bCs w:val="1"/>
                <w:color w:val="auto"/>
              </w:rPr>
              <w:t>July 30,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jc w:val="right"/>
              <w:ind w:right="520"/>
              <w:spacing w:after="0" w:line="145" w:lineRule="exact"/>
              <w:rPr>
                <w:sz w:val="20"/>
                <w:szCs w:val="20"/>
                <w:color w:val="auto"/>
              </w:rPr>
            </w:pPr>
            <w:r>
              <w:rPr>
                <w:rFonts w:ascii="Times New Roman" w:cs="Times New Roman" w:eastAsia="Times New Roman" w:hAnsi="Times New Roman"/>
                <w:sz w:val="14"/>
                <w:szCs w:val="14"/>
                <w:b w:val="1"/>
                <w:bCs w:val="1"/>
                <w:color w:val="auto"/>
              </w:rPr>
              <w:t>July 29,</w:t>
            </w:r>
          </w:p>
        </w:tc>
        <w:tc>
          <w:tcPr>
            <w:tcW w:w="1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195"/>
              <w:spacing w:after="0" w:line="145" w:lineRule="exact"/>
              <w:rPr>
                <w:sz w:val="20"/>
                <w:szCs w:val="20"/>
                <w:color w:val="auto"/>
              </w:rPr>
            </w:pPr>
            <w:r>
              <w:rPr>
                <w:rFonts w:ascii="Times New Roman" w:cs="Times New Roman" w:eastAsia="Times New Roman" w:hAnsi="Times New Roman"/>
                <w:sz w:val="14"/>
                <w:szCs w:val="14"/>
                <w:b w:val="1"/>
                <w:bCs w:val="1"/>
                <w:color w:val="auto"/>
              </w:rPr>
              <w:t>July 30,</w:t>
            </w:r>
          </w:p>
        </w:tc>
        <w:tc>
          <w:tcPr>
            <w:tcW w:w="120" w:type="dxa"/>
            <w:vAlign w:val="bottom"/>
          </w:tcPr>
          <w:p>
            <w:pPr>
              <w:spacing w:after="0"/>
              <w:rPr>
                <w:sz w:val="12"/>
                <w:szCs w:val="12"/>
                <w:color w:val="auto"/>
              </w:rPr>
            </w:pPr>
          </w:p>
        </w:tc>
      </w:tr>
      <w:tr>
        <w:trPr>
          <w:trHeight w:val="173"/>
        </w:trPr>
        <w:tc>
          <w:tcPr>
            <w:tcW w:w="5240" w:type="dxa"/>
            <w:vAlign w:val="bottom"/>
            <w:tcBorders>
              <w:bottom w:val="single" w:sz="8" w:color="CFF0FC"/>
            </w:tcBorders>
          </w:tcPr>
          <w:p>
            <w:pPr>
              <w:spacing w:after="0"/>
              <w:rPr>
                <w:sz w:val="15"/>
                <w:szCs w:val="15"/>
                <w:color w:val="auto"/>
              </w:rPr>
            </w:pPr>
          </w:p>
        </w:tc>
        <w:tc>
          <w:tcPr>
            <w:tcW w:w="126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2017</w:t>
            </w:r>
          </w:p>
        </w:tc>
        <w:tc>
          <w:tcPr>
            <w:tcW w:w="26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FF0FC"/>
            </w:tcBorders>
          </w:tcPr>
          <w:p>
            <w:pPr>
              <w:spacing w:after="0"/>
              <w:rPr>
                <w:sz w:val="15"/>
                <w:szCs w:val="15"/>
                <w:color w:val="auto"/>
              </w:rPr>
            </w:pPr>
          </w:p>
        </w:tc>
      </w:tr>
      <w:tr>
        <w:trPr>
          <w:trHeight w:val="223"/>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46,902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20,394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99,270</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57,908</w:t>
            </w:r>
          </w:p>
        </w:tc>
        <w:tc>
          <w:tcPr>
            <w:tcW w:w="120" w:type="dxa"/>
            <w:vAlign w:val="bottom"/>
            <w:shd w:val="clear" w:color="auto" w:fill="CFF0FC"/>
          </w:tcPr>
          <w:p>
            <w:pPr>
              <w:spacing w:after="0"/>
              <w:rPr>
                <w:sz w:val="19"/>
                <w:szCs w:val="19"/>
                <w:color w:val="auto"/>
              </w:rPr>
            </w:pPr>
          </w:p>
        </w:tc>
      </w:tr>
      <w:tr>
        <w:trPr>
          <w:trHeight w:val="230"/>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2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rate cap contracts:</w:t>
            </w:r>
          </w:p>
        </w:tc>
        <w:tc>
          <w:tcPr>
            <w:tcW w:w="1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2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unrealized (losses) arising during the period</w:t>
            </w: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(1,098)</w:t>
            </w:r>
          </w:p>
        </w:tc>
        <w:tc>
          <w:tcPr>
            <w:tcW w:w="18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(3,293)</w:t>
            </w:r>
          </w:p>
        </w:tc>
      </w:tr>
      <w:tr>
        <w:trPr>
          <w:trHeight w:val="230"/>
        </w:trPr>
        <w:tc>
          <w:tcPr>
            <w:tcW w:w="52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Reclassification into earnings during the period</w:t>
            </w:r>
          </w:p>
        </w:tc>
        <w:tc>
          <w:tcPr>
            <w:tcW w:w="1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20" w:type="dxa"/>
            <w:vAlign w:val="bottom"/>
            <w:shd w:val="clear" w:color="auto" w:fill="CFF0FC"/>
          </w:tcPr>
          <w:p>
            <w:pPr>
              <w:spacing w:after="0"/>
              <w:rPr>
                <w:sz w:val="19"/>
                <w:szCs w:val="19"/>
                <w:color w:val="auto"/>
              </w:rPr>
            </w:pPr>
          </w:p>
        </w:tc>
      </w:tr>
      <w:tr>
        <w:trPr>
          <w:trHeight w:val="223"/>
        </w:trPr>
        <w:tc>
          <w:tcPr>
            <w:tcW w:w="52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(1,881)</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(2,875)</w:t>
            </w:r>
          </w:p>
        </w:tc>
        <w:tc>
          <w:tcPr>
            <w:tcW w:w="120" w:type="dxa"/>
            <w:vAlign w:val="bottom"/>
            <w:tcBorders>
              <w:bottom w:val="single" w:sz="8" w:color="CFF0FC"/>
            </w:tcBorders>
          </w:tcPr>
          <w:p>
            <w:pPr>
              <w:spacing w:after="0"/>
              <w:rPr>
                <w:sz w:val="19"/>
                <w:szCs w:val="19"/>
                <w:color w:val="auto"/>
              </w:rPr>
            </w:pPr>
          </w:p>
        </w:tc>
      </w:tr>
      <w:tr>
        <w:trPr>
          <w:trHeight w:val="223"/>
        </w:trPr>
        <w:tc>
          <w:tcPr>
            <w:tcW w:w="5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12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47,155</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18,513</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99,917</w:t>
            </w:r>
          </w:p>
        </w:tc>
        <w:tc>
          <w:tcPr>
            <w:tcW w:w="2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55,033</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BURLINGTON STORES,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and per share data)</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July 29,</w:t>
            </w:r>
          </w:p>
        </w:tc>
        <w:tc>
          <w:tcPr>
            <w:tcW w:w="180" w:type="dxa"/>
            <w:vAlign w:val="bottom"/>
          </w:tcPr>
          <w:p>
            <w:pPr>
              <w:spacing w:after="0"/>
              <w:rPr>
                <w:sz w:val="14"/>
                <w:szCs w:val="14"/>
                <w:color w:val="auto"/>
              </w:rPr>
            </w:pPr>
          </w:p>
        </w:tc>
        <w:tc>
          <w:tcPr>
            <w:tcW w:w="14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January 28,</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July 30,</w:t>
            </w:r>
          </w:p>
        </w:tc>
        <w:tc>
          <w:tcPr>
            <w:tcW w:w="0" w:type="dxa"/>
            <w:vAlign w:val="bottom"/>
          </w:tcPr>
          <w:p>
            <w:pPr>
              <w:spacing w:after="0"/>
              <w:rPr>
                <w:sz w:val="1"/>
                <w:szCs w:val="1"/>
                <w:color w:val="auto"/>
              </w:rPr>
            </w:pPr>
          </w:p>
        </w:tc>
      </w:tr>
      <w:tr>
        <w:trPr>
          <w:trHeight w:val="173"/>
        </w:trPr>
        <w:tc>
          <w:tcPr>
            <w:tcW w:w="65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2017</w:t>
            </w:r>
          </w:p>
        </w:tc>
        <w:tc>
          <w:tcPr>
            <w:tcW w:w="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2017</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65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32,648</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81,597</w:t>
            </w:r>
          </w:p>
        </w:tc>
        <w:tc>
          <w:tcPr>
            <w:tcW w:w="2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10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30,469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27,800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27,800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receivable—net</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58,941</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43,252</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Merchandise inventories</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726,985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701,891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744,965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102,089</w:t>
            </w:r>
          </w:p>
        </w:tc>
        <w:tc>
          <w:tcPr>
            <w:tcW w:w="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73,784</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86,895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948,463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928,324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932,031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equipment—net</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1,080,181</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1,049,447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1,024,919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Tradenames</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238,000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238,000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Favorable leases—net</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201,221</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213,180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226,581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47,064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47,064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7,282</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5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89,557</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90,495</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97,659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2,611,768</w:t>
            </w:r>
          </w:p>
        </w:tc>
        <w:tc>
          <w:tcPr>
            <w:tcW w:w="2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2,574,483</w:t>
            </w:r>
          </w:p>
        </w:tc>
        <w:tc>
          <w:tcPr>
            <w:tcW w:w="2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2,566,254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65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4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603,960</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640,326</w:t>
            </w:r>
          </w:p>
        </w:tc>
        <w:tc>
          <w:tcPr>
            <w:tcW w:w="2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10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546,035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317,513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354,870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291,353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maturities of long term debt</w:t>
            </w: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923,296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996,834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838,900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 term debt</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1,276,443</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1,128,843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1,351,830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289,891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290,683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284,083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218,038</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207,935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195,175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(Notes 2, 9, 10 and 11)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Preferred stock, $0.0001 par value: authorized: 50,000,000</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shares; no shares issued and outstanding</w:t>
            </w:r>
          </w:p>
        </w:tc>
        <w:tc>
          <w:tcPr>
            <w:tcW w:w="1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$0.0001 par value:</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Authorized: 500,000,000 shares;</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Issued: 78,225,750 shares, 77,653,924 shares and 77,316,292 shares, respectively;</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Outstanding: 68,972,042 shares, 70,180,713 shares and 71,340,072 shares, respectively</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Additional paid-in-capital</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1,439,231</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1,420,581</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1,403,085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(961,246)</w:t>
            </w:r>
          </w:p>
        </w:tc>
        <w:tc>
          <w:tcPr>
            <w:tcW w:w="18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(1,060,099)</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(1,218,064)</w:t>
            </w:r>
          </w:p>
        </w:tc>
        <w:tc>
          <w:tcPr>
            <w:tcW w:w="0" w:type="dxa"/>
            <w:vAlign w:val="bottom"/>
          </w:tcPr>
          <w:p>
            <w:pPr>
              <w:spacing w:after="0"/>
              <w:rPr>
                <w:sz w:val="1"/>
                <w:szCs w:val="1"/>
                <w:color w:val="auto"/>
              </w:rPr>
            </w:pPr>
          </w:p>
        </w:tc>
      </w:tr>
      <w:tr>
        <w:trPr>
          <w:trHeight w:val="230"/>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(6,544)</w:t>
            </w:r>
          </w:p>
        </w:tc>
        <w:tc>
          <w:tcPr>
            <w:tcW w:w="1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(7,191)</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(11,867)</w:t>
            </w:r>
          </w:p>
        </w:tc>
        <w:tc>
          <w:tcPr>
            <w:tcW w:w="0" w:type="dxa"/>
            <w:vAlign w:val="bottom"/>
          </w:tcPr>
          <w:p>
            <w:pPr>
              <w:spacing w:after="0"/>
              <w:rPr>
                <w:sz w:val="1"/>
                <w:szCs w:val="1"/>
                <w:color w:val="auto"/>
              </w:rPr>
            </w:pPr>
          </w:p>
        </w:tc>
      </w:tr>
      <w:tr>
        <w:trPr>
          <w:trHeight w:val="230"/>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Treasury stock, at cost</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(567,348)</w:t>
            </w:r>
          </w:p>
        </w:tc>
        <w:tc>
          <w:tcPr>
            <w:tcW w:w="18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(403,110)</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(276,895)</w:t>
            </w:r>
          </w:p>
        </w:tc>
        <w:tc>
          <w:tcPr>
            <w:tcW w:w="0" w:type="dxa"/>
            <w:vAlign w:val="bottom"/>
          </w:tcPr>
          <w:p>
            <w:pPr>
              <w:spacing w:after="0"/>
              <w:rPr>
                <w:sz w:val="1"/>
                <w:szCs w:val="1"/>
                <w:color w:val="auto"/>
              </w:rPr>
            </w:pPr>
          </w:p>
        </w:tc>
      </w:tr>
      <w:tr>
        <w:trPr>
          <w:trHeight w:val="223"/>
        </w:trPr>
        <w:tc>
          <w:tcPr>
            <w:tcW w:w="6560" w:type="dxa"/>
            <w:vAlign w:val="bottom"/>
            <w:tcBorders>
              <w:top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1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(95,900)</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(49,812)</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(103,734)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2,611,768</w:t>
            </w:r>
          </w:p>
        </w:tc>
        <w:tc>
          <w:tcPr>
            <w:tcW w:w="260" w:type="dxa"/>
            <w:vAlign w:val="bottom"/>
          </w:tcPr>
          <w:p>
            <w:pPr>
              <w:spacing w:after="0"/>
              <w:rPr>
                <w:sz w:val="19"/>
                <w:szCs w:val="19"/>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2,574,483</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2,566,254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BURLINGTON STORES,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7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40" w:type="dxa"/>
            <w:vAlign w:val="bottom"/>
            <w:gridSpan w:val="2"/>
          </w:tcPr>
          <w:p>
            <w:pPr>
              <w:jc w:val="right"/>
              <w:ind w:right="720"/>
              <w:spacing w:after="0" w:line="145" w:lineRule="exact"/>
              <w:rPr>
                <w:sz w:val="20"/>
                <w:szCs w:val="20"/>
                <w:color w:val="auto"/>
              </w:rPr>
            </w:pPr>
            <w:r>
              <w:rPr>
                <w:rFonts w:ascii="Times New Roman" w:cs="Times New Roman" w:eastAsia="Times New Roman" w:hAnsi="Times New Roman"/>
                <w:sz w:val="14"/>
                <w:szCs w:val="14"/>
                <w:b w:val="1"/>
                <w:bCs w:val="1"/>
                <w:color w:val="auto"/>
              </w:rPr>
              <w:t>July 29,</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20" w:type="dxa"/>
            <w:vAlign w:val="bottom"/>
          </w:tcPr>
          <w:p>
            <w:pPr>
              <w:jc w:val="right"/>
              <w:ind w:right="499"/>
              <w:spacing w:after="0" w:line="145" w:lineRule="exact"/>
              <w:rPr>
                <w:sz w:val="20"/>
                <w:szCs w:val="20"/>
                <w:color w:val="auto"/>
              </w:rPr>
            </w:pPr>
            <w:r>
              <w:rPr>
                <w:rFonts w:ascii="Times New Roman" w:cs="Times New Roman" w:eastAsia="Times New Roman" w:hAnsi="Times New Roman"/>
                <w:sz w:val="14"/>
                <w:szCs w:val="14"/>
                <w:b w:val="1"/>
                <w:bCs w:val="1"/>
                <w:color w:val="auto"/>
              </w:rPr>
              <w:t>July 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8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3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78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99,270</w:t>
            </w:r>
          </w:p>
        </w:tc>
        <w:tc>
          <w:tcPr>
            <w:tcW w:w="16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57,908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60" w:type="dxa"/>
            <w:vAlign w:val="bottom"/>
          </w:tcPr>
          <w:p>
            <w:pPr>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96,712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90,158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Impairment charges—long-lived assets</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Accretion of long term debt instruments</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Deferred income taxes</w:t>
            </w: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10,365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(4,603)</w:t>
            </w:r>
          </w:p>
        </w:tc>
        <w:tc>
          <w:tcPr>
            <w:tcW w:w="0" w:type="dxa"/>
            <w:vAlign w:val="bottom"/>
          </w:tcPr>
          <w:p>
            <w:pPr>
              <w:spacing w:after="0"/>
              <w:rPr>
                <w:sz w:val="1"/>
                <w:szCs w:val="1"/>
                <w:color w:val="auto"/>
              </w:rPr>
            </w:pPr>
          </w:p>
        </w:tc>
      </w:tr>
      <w:tr>
        <w:trPr>
          <w:trHeight w:val="202"/>
        </w:trPr>
        <w:tc>
          <w:tcPr>
            <w:tcW w:w="78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Non-cash loss on extinguishment of debt—write-off of deferred financing costs</w:t>
            </w: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and original issue discount</w:t>
            </w:r>
          </w:p>
        </w:tc>
        <w:tc>
          <w:tcPr>
            <w:tcW w:w="30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Non-cash stock compensation expense</w:t>
            </w: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12,487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Non-cash rent</w:t>
            </w:r>
          </w:p>
        </w:tc>
        <w:tc>
          <w:tcPr>
            <w:tcW w:w="30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(13,667)</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(15,712)</w:t>
            </w:r>
          </w:p>
        </w:tc>
        <w:tc>
          <w:tcPr>
            <w:tcW w:w="0" w:type="dxa"/>
            <w:vAlign w:val="bottom"/>
          </w:tcPr>
          <w:p>
            <w:pPr>
              <w:spacing w:after="0"/>
              <w:rPr>
                <w:sz w:val="1"/>
                <w:szCs w:val="1"/>
                <w:color w:val="auto"/>
              </w:rPr>
            </w:pPr>
          </w:p>
        </w:tc>
      </w:tr>
      <w:tr>
        <w:trPr>
          <w:trHeight w:val="219"/>
        </w:trPr>
        <w:tc>
          <w:tcPr>
            <w:tcW w:w="7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Deferred rent incentives</w:t>
            </w: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10,275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60" w:type="dxa"/>
            <w:vAlign w:val="bottom"/>
          </w:tcPr>
          <w:p>
            <w:pPr>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Accounts receivable</w:t>
            </w:r>
          </w:p>
        </w:tc>
        <w:tc>
          <w:tcPr>
            <w:tcW w:w="3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(11,111)</w:t>
            </w: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(5,034)</w:t>
            </w:r>
          </w:p>
        </w:tc>
        <w:tc>
          <w:tcPr>
            <w:tcW w:w="0" w:type="dxa"/>
            <w:vAlign w:val="bottom"/>
          </w:tcPr>
          <w:p>
            <w:pPr>
              <w:spacing w:after="0"/>
              <w:rPr>
                <w:sz w:val="1"/>
                <w:szCs w:val="1"/>
                <w:color w:val="auto"/>
              </w:rPr>
            </w:pPr>
          </w:p>
        </w:tc>
      </w:tr>
      <w:tr>
        <w:trPr>
          <w:trHeight w:val="213"/>
        </w:trPr>
        <w:tc>
          <w:tcPr>
            <w:tcW w:w="78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Merchandise inventories</w:t>
            </w:r>
          </w:p>
        </w:tc>
        <w:tc>
          <w:tcPr>
            <w:tcW w:w="30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(25,094)</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Prepaid and other current assets</w:t>
            </w:r>
          </w:p>
        </w:tc>
        <w:tc>
          <w:tcPr>
            <w:tcW w:w="3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(28,701)</w:t>
            </w: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(20,374)</w:t>
            </w:r>
          </w:p>
        </w:tc>
        <w:tc>
          <w:tcPr>
            <w:tcW w:w="0" w:type="dxa"/>
            <w:vAlign w:val="bottom"/>
          </w:tcPr>
          <w:p>
            <w:pPr>
              <w:spacing w:after="0"/>
              <w:rPr>
                <w:sz w:val="1"/>
                <w:szCs w:val="1"/>
                <w:color w:val="auto"/>
              </w:rPr>
            </w:pPr>
          </w:p>
        </w:tc>
      </w:tr>
      <w:tr>
        <w:trPr>
          <w:trHeight w:val="213"/>
        </w:trPr>
        <w:tc>
          <w:tcPr>
            <w:tcW w:w="78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(35,447)</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(53,238)</w:t>
            </w:r>
          </w:p>
        </w:tc>
        <w:tc>
          <w:tcPr>
            <w:tcW w:w="0" w:type="dxa"/>
            <w:vAlign w:val="bottom"/>
          </w:tcPr>
          <w:p>
            <w:pPr>
              <w:spacing w:after="0"/>
              <w:rPr>
                <w:sz w:val="1"/>
                <w:szCs w:val="1"/>
                <w:color w:val="auto"/>
              </w:rPr>
            </w:pPr>
          </w:p>
        </w:tc>
      </w:tr>
      <w:tr>
        <w:trPr>
          <w:trHeight w:val="219"/>
        </w:trPr>
        <w:tc>
          <w:tcPr>
            <w:tcW w:w="7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3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(48,934)</w:t>
            </w: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(3,870)</w:t>
            </w:r>
          </w:p>
        </w:tc>
        <w:tc>
          <w:tcPr>
            <w:tcW w:w="0" w:type="dxa"/>
            <w:vAlign w:val="bottom"/>
          </w:tcPr>
          <w:p>
            <w:pPr>
              <w:spacing w:after="0"/>
              <w:rPr>
                <w:sz w:val="1"/>
                <w:szCs w:val="1"/>
                <w:color w:val="auto"/>
              </w:rPr>
            </w:pPr>
          </w:p>
        </w:tc>
      </w:tr>
      <w:tr>
        <w:trPr>
          <w:trHeight w:val="210"/>
        </w:trPr>
        <w:tc>
          <w:tcPr>
            <w:tcW w:w="78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Other long term assets and long term liabilities</w:t>
            </w:r>
          </w:p>
        </w:tc>
        <w:tc>
          <w:tcPr>
            <w:tcW w:w="30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(1,105)</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operating activities</w:t>
            </w:r>
          </w:p>
        </w:tc>
        <w:tc>
          <w:tcPr>
            <w:tcW w:w="3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4,332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8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3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72,177</w:t>
            </w:r>
          </w:p>
        </w:tc>
        <w:tc>
          <w:tcPr>
            <w:tcW w:w="1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109,647</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60" w:type="dxa"/>
            <w:vAlign w:val="bottom"/>
          </w:tcPr>
          <w:p>
            <w:pPr>
              <w:spacing w:after="0"/>
              <w:rPr>
                <w:sz w:val="20"/>
                <w:szCs w:val="20"/>
                <w:color w:val="auto"/>
              </w:rPr>
            </w:pPr>
            <w:r>
              <w:rPr>
                <w:rFonts w:ascii="Times New Roman" w:cs="Times New Roman" w:eastAsia="Times New Roman" w:hAnsi="Times New Roman"/>
                <w:sz w:val="16"/>
                <w:szCs w:val="16"/>
                <w:color w:val="auto"/>
              </w:rPr>
              <w:t>Cash paid for property and equipment</w:t>
            </w:r>
          </w:p>
        </w:tc>
        <w:tc>
          <w:tcPr>
            <w:tcW w:w="30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(107,800)</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(75,949)</w:t>
            </w:r>
          </w:p>
        </w:tc>
        <w:tc>
          <w:tcPr>
            <w:tcW w:w="0" w:type="dxa"/>
            <w:vAlign w:val="bottom"/>
          </w:tcPr>
          <w:p>
            <w:pPr>
              <w:spacing w:after="0"/>
              <w:rPr>
                <w:sz w:val="1"/>
                <w:szCs w:val="1"/>
                <w:color w:val="auto"/>
              </w:rPr>
            </w:pPr>
          </w:p>
        </w:tc>
      </w:tr>
      <w:tr>
        <w:trPr>
          <w:trHeight w:val="222"/>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3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8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3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(106,700)</w:t>
            </w:r>
          </w:p>
        </w:tc>
        <w:tc>
          <w:tcPr>
            <w:tcW w:w="1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(75,746)</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6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long term debt—ABL Line of Credit</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680,900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887,400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Principal payments on long term debt—ABL Line of Credit</w:t>
            </w:r>
          </w:p>
        </w:tc>
        <w:tc>
          <w:tcPr>
            <w:tcW w:w="3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(533,500)</w:t>
            </w: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(831,500)</w:t>
            </w:r>
          </w:p>
        </w:tc>
        <w:tc>
          <w:tcPr>
            <w:tcW w:w="0" w:type="dxa"/>
            <w:vAlign w:val="bottom"/>
          </w:tcPr>
          <w:p>
            <w:pPr>
              <w:spacing w:after="0"/>
              <w:rPr>
                <w:sz w:val="1"/>
                <w:szCs w:val="1"/>
                <w:color w:val="auto"/>
              </w:rPr>
            </w:pPr>
          </w:p>
        </w:tc>
      </w:tr>
      <w:tr>
        <w:trPr>
          <w:trHeight w:val="210"/>
        </w:trPr>
        <w:tc>
          <w:tcPr>
            <w:tcW w:w="786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long term debt—Term B-4 Loans</w:t>
            </w:r>
          </w:p>
        </w:tc>
        <w:tc>
          <w:tcPr>
            <w:tcW w:w="30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1,114,208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Principal payments on long term debt—Term B-3 Loans</w:t>
            </w:r>
          </w:p>
        </w:tc>
        <w:tc>
          <w:tcPr>
            <w:tcW w:w="3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(1,117,000)</w:t>
            </w:r>
          </w:p>
        </w:tc>
        <w:tc>
          <w:tcPr>
            <w:tcW w:w="0" w:type="dxa"/>
            <w:vAlign w:val="bottom"/>
          </w:tcPr>
          <w:p>
            <w:pPr>
              <w:spacing w:after="0"/>
              <w:rPr>
                <w:sz w:val="1"/>
                <w:szCs w:val="1"/>
                <w:color w:val="auto"/>
              </w:rPr>
            </w:pPr>
          </w:p>
        </w:tc>
      </w:tr>
      <w:tr>
        <w:trPr>
          <w:trHeight w:val="210"/>
        </w:trPr>
        <w:tc>
          <w:tcPr>
            <w:tcW w:w="7860" w:type="dxa"/>
            <w:vAlign w:val="bottom"/>
          </w:tcPr>
          <w:p>
            <w:pPr>
              <w:spacing w:after="0"/>
              <w:rPr>
                <w:sz w:val="20"/>
                <w:szCs w:val="20"/>
                <w:color w:val="auto"/>
              </w:rPr>
            </w:pPr>
            <w:r>
              <w:rPr>
                <w:rFonts w:ascii="Times New Roman" w:cs="Times New Roman" w:eastAsia="Times New Roman" w:hAnsi="Times New Roman"/>
                <w:sz w:val="16"/>
                <w:szCs w:val="16"/>
                <w:color w:val="auto"/>
              </w:rPr>
              <w:t>Purchase of treasury shares</w:t>
            </w:r>
          </w:p>
        </w:tc>
        <w:tc>
          <w:tcPr>
            <w:tcW w:w="30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(164,238)</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(76,155)</w:t>
            </w:r>
          </w:p>
        </w:tc>
        <w:tc>
          <w:tcPr>
            <w:tcW w:w="0" w:type="dxa"/>
            <w:vAlign w:val="bottom"/>
          </w:tcPr>
          <w:p>
            <w:pPr>
              <w:spacing w:after="0"/>
              <w:rPr>
                <w:sz w:val="1"/>
                <w:szCs w:val="1"/>
                <w:color w:val="auto"/>
              </w:rPr>
            </w:pPr>
          </w:p>
        </w:tc>
      </w:tr>
      <w:tr>
        <w:trPr>
          <w:trHeight w:val="222"/>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Proceeds from stock option exercises</w:t>
            </w: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5,748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60" w:type="dxa"/>
            <w:vAlign w:val="bottom"/>
          </w:tcPr>
          <w:p>
            <w:pPr>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30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(3,336)</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(3,807)</w:t>
            </w:r>
          </w:p>
        </w:tc>
        <w:tc>
          <w:tcPr>
            <w:tcW w:w="0" w:type="dxa"/>
            <w:vAlign w:val="bottom"/>
          </w:tcPr>
          <w:p>
            <w:pPr>
              <w:spacing w:after="0"/>
              <w:rPr>
                <w:sz w:val="1"/>
                <w:szCs w:val="1"/>
                <w:color w:val="auto"/>
              </w:rPr>
            </w:pPr>
          </w:p>
        </w:tc>
      </w:tr>
      <w:tr>
        <w:trPr>
          <w:trHeight w:val="212"/>
        </w:trPr>
        <w:tc>
          <w:tcPr>
            <w:tcW w:w="78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(14,426)</w:t>
            </w: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480" w:type="dxa"/>
            <w:vAlign w:val="bottom"/>
            <w:tcBorders>
              <w:top w:val="single" w:sz="8" w:color="auto"/>
              <w:bottom w:val="single" w:sz="8" w:color="auto"/>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(24,347)</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7860" w:type="dxa"/>
            <w:vAlign w:val="bottom"/>
          </w:tcPr>
          <w:p>
            <w:pPr>
              <w:spacing w:after="0"/>
              <w:rPr>
                <w:sz w:val="20"/>
                <w:szCs w:val="20"/>
                <w:color w:val="auto"/>
              </w:rPr>
            </w:pPr>
            <w:r>
              <w:rPr>
                <w:rFonts w:ascii="Times New Roman" w:cs="Times New Roman" w:eastAsia="Times New Roman" w:hAnsi="Times New Roman"/>
                <w:sz w:val="16"/>
                <w:szCs w:val="16"/>
                <w:color w:val="auto"/>
              </w:rPr>
              <w:t>(Decrease) increase in cash and cash equivalents</w:t>
            </w:r>
          </w:p>
        </w:tc>
        <w:tc>
          <w:tcPr>
            <w:tcW w:w="3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(48,949)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3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81,597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20,915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78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at end of period</w:t>
            </w:r>
          </w:p>
        </w:tc>
        <w:tc>
          <w:tcPr>
            <w:tcW w:w="3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32,648</w:t>
            </w:r>
          </w:p>
        </w:tc>
        <w:tc>
          <w:tcPr>
            <w:tcW w:w="16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4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30,469</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3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7860" w:type="dxa"/>
            <w:vAlign w:val="bottom"/>
          </w:tcPr>
          <w:p>
            <w:pPr>
              <w:spacing w:after="0"/>
              <w:rPr>
                <w:sz w:val="20"/>
                <w:szCs w:val="20"/>
                <w:color w:val="auto"/>
              </w:rPr>
            </w:pPr>
            <w:r>
              <w:rPr>
                <w:rFonts w:ascii="Times New Roman" w:cs="Times New Roman" w:eastAsia="Times New Roman" w:hAnsi="Times New Roman"/>
                <w:sz w:val="16"/>
                <w:szCs w:val="16"/>
                <w:color w:val="auto"/>
              </w:rPr>
              <w:t>Interest paid</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22,425</w:t>
            </w:r>
          </w:p>
        </w:tc>
        <w:tc>
          <w:tcPr>
            <w:tcW w:w="160" w:type="dxa"/>
            <w:vAlign w:val="bottom"/>
          </w:tcPr>
          <w:p>
            <w:pPr>
              <w:spacing w:after="0"/>
              <w:rPr>
                <w:sz w:val="22"/>
                <w:szCs w:val="22"/>
                <w:color w:val="auto"/>
              </w:rPr>
            </w:pPr>
          </w:p>
        </w:tc>
        <w:tc>
          <w:tcPr>
            <w:tcW w:w="600" w:type="dxa"/>
            <w:vAlign w:val="bottom"/>
            <w:gridSpan w:val="2"/>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29,779</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78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tax payments - net</w:t>
            </w:r>
          </w:p>
        </w:tc>
        <w:tc>
          <w:tcPr>
            <w:tcW w:w="300" w:type="dxa"/>
            <w:vAlign w:val="bottom"/>
            <w:tcBorders>
              <w:top w:val="single" w:sz="8" w:color="auto"/>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96,648</w:t>
            </w:r>
          </w:p>
        </w:tc>
        <w:tc>
          <w:tcPr>
            <w:tcW w:w="16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480" w:type="dxa"/>
            <w:vAlign w:val="bottom"/>
            <w:tcBorders>
              <w:top w:val="single" w:sz="8" w:color="auto"/>
              <w:bottom w:val="single" w:sz="8" w:color="auto"/>
            </w:tcBorders>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50,626</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Non-cash investing activities:</w:t>
            </w: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78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Accrued purchases of property and equipment</w:t>
            </w:r>
          </w:p>
        </w:tc>
        <w:tc>
          <w:tcPr>
            <w:tcW w:w="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33,306</w:t>
            </w:r>
          </w:p>
        </w:tc>
        <w:tc>
          <w:tcPr>
            <w:tcW w:w="16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31,335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6" w:name="page7"/>
    <w:bookmarkEnd w:id="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BURLINGTON STORES,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July 29, 2017</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Significant Accounting Policies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19" w:lineRule="exact"/>
        <w:rPr>
          <w:sz w:val="20"/>
          <w:szCs w:val="20"/>
          <w:color w:val="auto"/>
        </w:rPr>
      </w:pPr>
    </w:p>
    <w:p>
      <w:pPr>
        <w:ind w:right="120" w:firstLine="518"/>
        <w:spacing w:after="0" w:line="282" w:lineRule="auto"/>
        <w:rPr>
          <w:sz w:val="20"/>
          <w:szCs w:val="20"/>
          <w:color w:val="auto"/>
        </w:rPr>
      </w:pPr>
      <w:r>
        <w:rPr>
          <w:rFonts w:ascii="Times New Roman" w:cs="Times New Roman" w:eastAsia="Times New Roman" w:hAnsi="Times New Roman"/>
          <w:sz w:val="18"/>
          <w:szCs w:val="18"/>
          <w:color w:val="auto"/>
        </w:rPr>
        <w:t>As of July 29, 2017, Burlington Stores, Inc., a Delaware Corporation, and its subsidiaries (collectively, the Company), through its indirect subsidiary Burlington Coat Factory Warehouse Corporation (BCFWC), has expanded its store base to 600 retail stores, inclusive of an internet store.</w:t>
      </w:r>
    </w:p>
    <w:p>
      <w:pPr>
        <w:spacing w:after="0" w:line="162"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include the accounts of Burlington Stores, Inc. and its subsidiaries. All inter-company accounts and transactions have been eliminated in consolidation. The Condensed Consolidated Financial Statements are unaudited, but in the opinion of management reflect all adjustments (which are of a normal and recurring nature) necessary for the fair presentation of the results of operations for the interim periods presented. Certain information and note disclosures normally included in financial statements prepared in accordance with accounting principles generally accepted in the United States of America (GAAP) have been condensed or omitted. These Condensed Consolidated Financial Statements should be read in conjunction with the audited Consolidated Financial Statements and notes thereto included in the Company’s Annual Report on Form 10-K for the fiscal year ended January 28, 2017 (Fiscal 2016 10-K). The balance sheet at January 28, 2017 presented herein has been derived from the audited Consolidated Financial Statements contained in the Fiscal 2016 10-K. Because the Company’s business is seasonal in nature, the operating results for the three and six month periods ended July 29, 2017 are not necessarily indicative of results for the fiscal year ending February 3, 2018 (Fiscal 2017).</w:t>
      </w:r>
    </w:p>
    <w:p>
      <w:pPr>
        <w:spacing w:after="0" w:line="189" w:lineRule="exact"/>
        <w:rPr>
          <w:sz w:val="20"/>
          <w:szCs w:val="20"/>
          <w:color w:val="auto"/>
        </w:rPr>
      </w:pPr>
    </w:p>
    <w:p>
      <w:pPr>
        <w:ind w:right="480" w:firstLine="518"/>
        <w:spacing w:after="0" w:line="407" w:lineRule="auto"/>
        <w:rPr>
          <w:sz w:val="20"/>
          <w:szCs w:val="20"/>
          <w:color w:val="auto"/>
        </w:rPr>
      </w:pPr>
      <w:r>
        <w:rPr>
          <w:rFonts w:ascii="Times New Roman" w:cs="Times New Roman" w:eastAsia="Times New Roman" w:hAnsi="Times New Roman"/>
          <w:sz w:val="18"/>
          <w:szCs w:val="18"/>
          <w:color w:val="auto"/>
        </w:rPr>
        <w:t xml:space="preserve">Accounting policies followed by the Company are described in Note 1 to the Fiscal 2016 10-K, “Summary of Significant Accounting Policies.” </w:t>
      </w:r>
      <w:r>
        <w:rPr>
          <w:rFonts w:ascii="Times New Roman" w:cs="Times New Roman" w:eastAsia="Times New Roman" w:hAnsi="Times New Roman"/>
          <w:sz w:val="18"/>
          <w:szCs w:val="18"/>
          <w:i w:val="1"/>
          <w:iCs w:val="1"/>
          <w:color w:val="auto"/>
        </w:rPr>
        <w:t>Adopted Accounting Standards</w:t>
      </w:r>
    </w:p>
    <w:p>
      <w:pPr>
        <w:spacing w:after="0" w:line="54"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In March 2016, the Financial Accounting Standards Board (FASB) issued Accounting Standard Update (ASU) No. 2016-09, “Improvements to Employee Share-Based Payment Accounting” (ASU 2016-09). ASU 2016-09 changes how companies account for certain aspects of share-based payments to employees including: (i) requiring all income tax effects of awards to be recognized in the income statement, rather than in additional paid in capital, when the awards vest or are settled, (ii) eliminating the requirement that excess tax benefits be realized before companies can recognize them, (iii) requiring companies to present excess tax benefits as an operating activity on the statement of cash flows rather than as a financing activity, (iv) increasing the amount an employer can withhold to cover income taxes on awards and still qualify for the exception to liability classification for shares used to satisfy the employer’s statutory income tax withholding obligation, (v) requiring an employer to classify the cash paid to a tax authority when shares are withheld to satisfy its statutory income tax withholding obligation as a financing activity on its statement of cash flows and (vi) requiring an employer to elect whether to account for forfeitures of share-based payments by (a) recognizing forfeitures of awards as they occur or (b) estimating the number of awards expected to be forfeited and adjusting the estimate when it is likely to change, as is currently required. ASU 2016-09 is effective for fiscal years beginning after December 15, 2016. The Company adopted this standard effective January 29, 2017.</w:t>
      </w:r>
    </w:p>
    <w:p>
      <w:pPr>
        <w:spacing w:after="0" w:line="193" w:lineRule="exact"/>
        <w:rPr>
          <w:sz w:val="20"/>
          <w:szCs w:val="20"/>
          <w:color w:val="auto"/>
        </w:rPr>
      </w:pPr>
    </w:p>
    <w:p>
      <w:pPr>
        <w:jc w:val="both"/>
        <w:ind w:right="200" w:firstLine="518"/>
        <w:spacing w:after="0" w:line="266" w:lineRule="auto"/>
        <w:rPr>
          <w:sz w:val="20"/>
          <w:szCs w:val="20"/>
          <w:color w:val="auto"/>
        </w:rPr>
      </w:pPr>
      <w:r>
        <w:rPr>
          <w:rFonts w:ascii="Times New Roman" w:cs="Times New Roman" w:eastAsia="Times New Roman" w:hAnsi="Times New Roman"/>
          <w:sz w:val="18"/>
          <w:szCs w:val="18"/>
          <w:color w:val="auto"/>
        </w:rPr>
        <w:t>The primary impact of adoption was the prospective recognition of excess tax benefits in the income statement as an income tax benefit rather than equity, which increased net income per share during the three and six month periods ended July 29, 2017 by $0.09 and $0.16, respectively, by lowering the Company’s effective tax rate approximately 1,140 basis points and 880 basis points, respectively.</w:t>
      </w:r>
    </w:p>
    <w:p>
      <w:pPr>
        <w:spacing w:after="0" w:line="176" w:lineRule="exact"/>
        <w:rPr>
          <w:sz w:val="20"/>
          <w:szCs w:val="20"/>
          <w:color w:val="auto"/>
        </w:rPr>
      </w:pPr>
    </w:p>
    <w:p>
      <w:pPr>
        <w:ind w:right="220" w:firstLine="518"/>
        <w:spacing w:after="0" w:line="266" w:lineRule="auto"/>
        <w:rPr>
          <w:sz w:val="20"/>
          <w:szCs w:val="20"/>
          <w:color w:val="auto"/>
        </w:rPr>
      </w:pPr>
      <w:r>
        <w:rPr>
          <w:rFonts w:ascii="Times New Roman" w:cs="Times New Roman" w:eastAsia="Times New Roman" w:hAnsi="Times New Roman"/>
          <w:sz w:val="18"/>
          <w:szCs w:val="18"/>
          <w:color w:val="auto"/>
        </w:rPr>
        <w:t>The Company has applied the amendment relating to the presentation of the excess tax benefits on the Condensed Consolidated Statements of Cash Flows retrospectively, resulting in the reclassification of $6.5 million of excess tax benefits from cash flows from financing activities to cash flows from operating activities for the six month period ended July 30, 2016.</w:t>
      </w:r>
    </w:p>
    <w:p>
      <w:pPr>
        <w:spacing w:after="0" w:line="176" w:lineRule="exact"/>
        <w:rPr>
          <w:sz w:val="20"/>
          <w:szCs w:val="20"/>
          <w:color w:val="auto"/>
        </w:rPr>
      </w:pPr>
    </w:p>
    <w:p>
      <w:pPr>
        <w:ind w:right="80" w:firstLine="518"/>
        <w:spacing w:after="0" w:line="282" w:lineRule="auto"/>
        <w:rPr>
          <w:sz w:val="20"/>
          <w:szCs w:val="20"/>
          <w:color w:val="auto"/>
        </w:rPr>
      </w:pPr>
      <w:r>
        <w:rPr>
          <w:rFonts w:ascii="Times New Roman" w:cs="Times New Roman" w:eastAsia="Times New Roman" w:hAnsi="Times New Roman"/>
          <w:sz w:val="18"/>
          <w:szCs w:val="18"/>
          <w:color w:val="auto"/>
        </w:rPr>
        <w:t>The Company has elected to account for forfeitures of share-based awards as they occur, on a modified retrospective basis, resulting in a $0.4 million cumulative-effect adjustment to retained earnings as of January 29, 2017.</w:t>
      </w:r>
    </w:p>
    <w:p>
      <w:pPr>
        <w:spacing w:after="0" w:line="162" w:lineRule="exact"/>
        <w:rPr>
          <w:sz w:val="20"/>
          <w:szCs w:val="20"/>
          <w:color w:val="auto"/>
        </w:rPr>
      </w:pPr>
    </w:p>
    <w:p>
      <w:pPr>
        <w:ind w:right="140" w:firstLine="518"/>
        <w:spacing w:after="0" w:line="282" w:lineRule="auto"/>
        <w:rPr>
          <w:sz w:val="20"/>
          <w:szCs w:val="20"/>
          <w:color w:val="auto"/>
        </w:rPr>
      </w:pPr>
      <w:r>
        <w:rPr>
          <w:rFonts w:ascii="Times New Roman" w:cs="Times New Roman" w:eastAsia="Times New Roman" w:hAnsi="Times New Roman"/>
          <w:sz w:val="18"/>
          <w:szCs w:val="18"/>
          <w:color w:val="auto"/>
        </w:rPr>
        <w:t>The presentation requirements for cash flows related to employee taxes paid for withheld shares had no impact to any of the periods presented in the Company’s Condensed Consolidated Statements of Cash Flows since such cash flows have historically been presented as a financing activity.</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17" w:right="2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i w:val="1"/>
          <w:iCs w:val="1"/>
          <w:color w:val="auto"/>
        </w:rPr>
        <w:t>Pending Accounting Standards</w:t>
      </w:r>
    </w:p>
    <w:p>
      <w:pPr>
        <w:spacing w:after="0" w:line="119"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In May 2014, the FASB issued ASU 2014-09, “Revenue from Contracts with Customers,” which converges revenue recognition under U.S. GAAP and International Financial Reporting Standards. The new guidance supersedes most preexisting revenue recognition guidance, and provides a five-step analysis of transactions to determine when and how revenue is recognized. The core principle of the guidance is that an entity should recognize revenue to depict the transfer of promised goods or services to customers in an amount that reflects the consideration to which the entity expects to be entitled in exchange for those goods or services. In August 2015, the FASB issued ASU 2015-14, which deferred the effective date of ASU 2014-09 for public companies to periods beginning after December 15, 2017, with early adoption permitted. The standard shall be applied either retrospectively to each period presented or as a cumulative-effect adjustment as of the date of adoption. This ASU will be effective for the Company as of the beginning of the fiscal year ending February 2, 2019 (Fiscal 2018). The Company is in the process of determining the impact of the adoption of this guidance on its consolidated financial statements or notes thereto. The Company believes that there will be no change in the timing or amount of revenue recognized under the new standard as it relates to revenue from point of sale at the registers in our stores, which constitutes more than 99% of the Company’s revenue. The new standard will require a change in the presentation of the Company’s sales return reserve on the balance sheet, which is currently recorded net. The new standard will require the reserve to be established at the gross sales value with an asset established for the value of the merchandise returned. The Company does not, however, anticipate that the new guidance will have a significant impact on its consolidated financial statements.</w:t>
      </w:r>
    </w:p>
    <w:p>
      <w:pPr>
        <w:spacing w:after="0" w:line="189"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In February 2016, the FASB issued ASU 2016-02, “Leases.” The standard’s core principle is to increase transparency and comparability among organizations by recognizing lease assets and liabilities on the balance sheet and disclosing key information about leasing arrangements. This standard is effective for fiscal years beginning after December 15, 2018, including interim periods within those fiscal years. This ASU will be effective for the Company as of the beginning of the fiscal year ending February 1, 2020 (Fiscal 2019). Early adoption is permitted. While the Company is continuing to evaluate the impact of the adoption of this guidance on its consolidated financial statements or notes thereto, it does expect that this new guidance will result in a significant increase to the assets and liabilities presented on its consolidated balance sheets. Refer to Note 13 to the Company’s Consolidated Financial Statements included in the Fiscal 2016 10-K (entitled “Lease Commitments”) for further detail of the Company’s future minimum lease payments. This guidance is not expected, however, to have a material impact on the Company's liquidity.</w:t>
      </w:r>
    </w:p>
    <w:p>
      <w:pPr>
        <w:spacing w:after="0" w:line="185" w:lineRule="exact"/>
        <w:rPr>
          <w:sz w:val="20"/>
          <w:szCs w:val="20"/>
          <w:color w:val="auto"/>
        </w:rPr>
      </w:pPr>
    </w:p>
    <w:p>
      <w:pPr>
        <w:ind w:right="60" w:firstLine="518"/>
        <w:spacing w:after="0" w:line="258" w:lineRule="auto"/>
        <w:rPr>
          <w:sz w:val="20"/>
          <w:szCs w:val="20"/>
          <w:color w:val="auto"/>
        </w:rPr>
      </w:pPr>
      <w:r>
        <w:rPr>
          <w:rFonts w:ascii="Times New Roman" w:cs="Times New Roman" w:eastAsia="Times New Roman" w:hAnsi="Times New Roman"/>
          <w:sz w:val="18"/>
          <w:szCs w:val="18"/>
          <w:color w:val="auto"/>
        </w:rPr>
        <w:t>On August 26, 2016, the FASB issued ASU 2016-15, “Statement of Cash Flows: Classification of Certain Cash Receipts and Cash Payments.” The primary purpose of this ASU is to reduce the diversity in practice that has resulted from the lack of consistent principles on this topic. This ASU is effective for fiscal years beginning after December 15, 2017. This ASU will be effective for the Company as of the beginning of Fiscal 2018. Early adoption is permitted in any interim or annual period. The Company does not anticipate that the new guidance will have a significant impact on its consolidated financial statements.</w:t>
      </w:r>
    </w:p>
    <w:p>
      <w:pPr>
        <w:spacing w:after="0" w:line="184"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On November 17, 2016, the FASB issued ASU 2016-18, “Statement of Cash Flows: Restricted Cash.” The primary purpose of this ASU is to reduce the diversity in practice that exists in the classification and presentation of changes in restricted cash on the statement of cash flows. This ASU will require that a statement of cash flows explain the change during 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amounts shown on the statement of cash flows. This ASU is effective for fiscal years beginning after December 15, 2017. This ASU will be effective for the Company as of the beginning of Fiscal 2018. Early adoption is permitted in any interim or annual period. While the Company is still in the process of determining the impact of the adoption of this guidance on its consolidated financial statements or notes thereto, it does not anticipate that the new guidance will have a significant impact on its consolidated financial statements.</w:t>
      </w:r>
    </w:p>
    <w:p>
      <w:pPr>
        <w:spacing w:after="0" w:line="185"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On January 26, 2017, the FASB issued ASU 2017-04, “Intangibles—Goodwill and Other: Simplifying the Test for Goodwill Impairment,” which aims to simplify the subsequent measurement of goodwill by eliminating Step 2 from the goodwill impairment test. Under the new guidance, goodwill impairment will be measured as the amount by which the carrying value exceeds the fair value. The loss recognized should not exceed the total amount of goodwill allocated to the reporting unit. The new guidance will be effective for annual reporting periods beginning after December 15, 2019, including interim periods. This ASU will be effective for the Company as of the beginning of Fiscal 2020. Early adoption is permitted for annual or interim goodwill impairment tests performed on testing dates after January 1, 2017. The Company does not anticipate that the new guidance will have a significant impact on its consolidated financial statements.</w:t>
      </w:r>
    </w:p>
    <w:p>
      <w:pPr>
        <w:spacing w:after="0" w:line="189" w:lineRule="exact"/>
        <w:rPr>
          <w:sz w:val="20"/>
          <w:szCs w:val="20"/>
          <w:color w:val="auto"/>
        </w:rPr>
      </w:pPr>
    </w:p>
    <w:p>
      <w:pPr>
        <w:jc w:val="both"/>
        <w:ind w:right="80" w:firstLine="518"/>
        <w:spacing w:after="0" w:line="266" w:lineRule="auto"/>
        <w:rPr>
          <w:sz w:val="20"/>
          <w:szCs w:val="20"/>
          <w:color w:val="auto"/>
        </w:rPr>
      </w:pPr>
      <w:r>
        <w:rPr>
          <w:rFonts w:ascii="Times New Roman" w:cs="Times New Roman" w:eastAsia="Times New Roman" w:hAnsi="Times New Roman"/>
          <w:sz w:val="18"/>
          <w:szCs w:val="18"/>
          <w:color w:val="auto"/>
        </w:rPr>
        <w:t>There were no other new accounting standards that had a material impact on the Company’s Condensed Consolidated Financial Statements during the three and six month periods ended July 29, 2017, and there were no other new accounting standards or pronouncements that were issued but not yet effective as of July 29, 2017 that the Company expects to have a material impact on its financial position or results of operations upon becoming effective.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1" w:right="2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2. Long Term Debt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Long term debt consists of:</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4"/>
        </w:trPr>
        <w:tc>
          <w:tcPr>
            <w:tcW w:w="6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right"/>
              <w:ind w:right="600"/>
              <w:spacing w:after="0" w:line="145" w:lineRule="exact"/>
              <w:rPr>
                <w:sz w:val="20"/>
                <w:szCs w:val="20"/>
                <w:color w:val="auto"/>
              </w:rPr>
            </w:pPr>
            <w:r>
              <w:rPr>
                <w:rFonts w:ascii="Times New Roman" w:cs="Times New Roman" w:eastAsia="Times New Roman" w:hAnsi="Times New Roman"/>
                <w:sz w:val="14"/>
                <w:szCs w:val="14"/>
                <w:b w:val="1"/>
                <w:bCs w:val="1"/>
                <w:color w:val="auto"/>
              </w:rPr>
              <w:t>July 29,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340"/>
              <w:spacing w:after="0" w:line="145" w:lineRule="exact"/>
              <w:rPr>
                <w:sz w:val="20"/>
                <w:szCs w:val="20"/>
                <w:color w:val="auto"/>
              </w:rPr>
            </w:pPr>
            <w:r>
              <w:rPr>
                <w:rFonts w:ascii="Times New Roman" w:cs="Times New Roman" w:eastAsia="Times New Roman" w:hAnsi="Times New Roman"/>
                <w:sz w:val="14"/>
                <w:szCs w:val="14"/>
                <w:b w:val="1"/>
                <w:bCs w:val="1"/>
                <w:color w:val="auto"/>
              </w:rPr>
              <w:t>January 28,</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right"/>
              <w:ind w:right="354"/>
              <w:spacing w:after="0" w:line="145" w:lineRule="exact"/>
              <w:rPr>
                <w:sz w:val="20"/>
                <w:szCs w:val="20"/>
                <w:color w:val="auto"/>
              </w:rPr>
            </w:pPr>
            <w:r>
              <w:rPr>
                <w:rFonts w:ascii="Times New Roman" w:cs="Times New Roman" w:eastAsia="Times New Roman" w:hAnsi="Times New Roman"/>
                <w:sz w:val="14"/>
                <w:szCs w:val="14"/>
                <w:b w:val="1"/>
                <w:bCs w:val="1"/>
                <w:color w:val="auto"/>
              </w:rPr>
              <w:t>July 30,</w:t>
            </w:r>
          </w:p>
        </w:tc>
        <w:tc>
          <w:tcPr>
            <w:tcW w:w="100" w:type="dxa"/>
            <w:vAlign w:val="bottom"/>
          </w:tcPr>
          <w:p>
            <w:pPr>
              <w:spacing w:after="0"/>
              <w:rPr>
                <w:sz w:val="12"/>
                <w:szCs w:val="12"/>
                <w:color w:val="auto"/>
              </w:rPr>
            </w:pPr>
          </w:p>
        </w:tc>
      </w:tr>
      <w:tr>
        <w:trPr>
          <w:trHeight w:val="173"/>
        </w:trPr>
        <w:tc>
          <w:tcPr>
            <w:tcW w:w="6540" w:type="dxa"/>
            <w:vAlign w:val="bottom"/>
            <w:tcBorders>
              <w:bottom w:val="single" w:sz="8" w:color="CFF0FC"/>
            </w:tcBorders>
          </w:tcPr>
          <w:p>
            <w:pPr>
              <w:spacing w:after="0"/>
              <w:rPr>
                <w:sz w:val="15"/>
                <w:szCs w:val="15"/>
                <w:color w:val="auto"/>
              </w:rPr>
            </w:pPr>
          </w:p>
        </w:tc>
        <w:tc>
          <w:tcPr>
            <w:tcW w:w="24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6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FF0FC"/>
            </w:tcBorders>
          </w:tcPr>
          <w:p>
            <w:pPr>
              <w:spacing w:after="0"/>
              <w:rPr>
                <w:sz w:val="15"/>
                <w:szCs w:val="15"/>
                <w:color w:val="auto"/>
              </w:rPr>
            </w:pPr>
          </w:p>
        </w:tc>
      </w:tr>
      <w:tr>
        <w:trPr>
          <w:trHeight w:val="205"/>
        </w:trPr>
        <w:tc>
          <w:tcPr>
            <w:tcW w:w="654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$1,200,000 senior secured term loan facility (Term B-4 Loans), LIBOR (with a floor of</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0.75%) plus 2.75%, matures on August 13, 2021</w:t>
            </w:r>
          </w:p>
        </w:tc>
        <w:tc>
          <w:tcPr>
            <w:tcW w:w="5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1,112,588</w:t>
            </w:r>
          </w:p>
        </w:tc>
        <w:tc>
          <w:tcPr>
            <w:tcW w:w="160" w:type="dxa"/>
            <w:vAlign w:val="bottom"/>
            <w:shd w:val="clear" w:color="auto" w:fill="CFF0FC"/>
          </w:tcPr>
          <w:p>
            <w:pPr>
              <w:spacing w:after="0"/>
              <w:rPr>
                <w:sz w:val="20"/>
                <w:szCs w:val="20"/>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1,112,044</w:t>
            </w:r>
          </w:p>
        </w:tc>
        <w:tc>
          <w:tcPr>
            <w:tcW w:w="160" w:type="dxa"/>
            <w:vAlign w:val="bottom"/>
            <w:shd w:val="clear" w:color="auto" w:fill="CFF0FC"/>
          </w:tcPr>
          <w:p>
            <w:pPr>
              <w:spacing w:after="0"/>
              <w:rPr>
                <w:sz w:val="20"/>
                <w:szCs w:val="20"/>
                <w:color w:val="auto"/>
              </w:rPr>
            </w:pPr>
          </w:p>
        </w:tc>
        <w:tc>
          <w:tcPr>
            <w:tcW w:w="36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1,111,500</w:t>
            </w:r>
          </w:p>
        </w:tc>
        <w:tc>
          <w:tcPr>
            <w:tcW w:w="100" w:type="dxa"/>
            <w:vAlign w:val="bottom"/>
            <w:shd w:val="clear" w:color="auto" w:fill="CFF0FC"/>
          </w:tcPr>
          <w:p>
            <w:pPr>
              <w:spacing w:after="0"/>
              <w:rPr>
                <w:sz w:val="20"/>
                <w:szCs w:val="20"/>
                <w:color w:val="auto"/>
              </w:rPr>
            </w:pPr>
          </w:p>
        </w:tc>
      </w:tr>
      <w:tr>
        <w:trPr>
          <w:trHeight w:val="211"/>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$600,000 ABL senior secured revolving facility, LIBOR plus spread based on average</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balance, matures on August 13, 2019</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147,400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223,300</w:t>
            </w:r>
          </w:p>
        </w:tc>
        <w:tc>
          <w:tcPr>
            <w:tcW w:w="100" w:type="dxa"/>
            <w:vAlign w:val="bottom"/>
          </w:tcPr>
          <w:p>
            <w:pPr>
              <w:spacing w:after="0"/>
              <w:rPr>
                <w:sz w:val="20"/>
                <w:szCs w:val="20"/>
                <w:color w:val="auto"/>
              </w:rPr>
            </w:pPr>
          </w:p>
        </w:tc>
      </w:tr>
      <w:tr>
        <w:trPr>
          <w:trHeight w:val="230"/>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 lease obligations</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22,912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23,643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24,296</w:t>
            </w:r>
          </w:p>
        </w:tc>
        <w:tc>
          <w:tcPr>
            <w:tcW w:w="100" w:type="dxa"/>
            <w:vAlign w:val="bottom"/>
            <w:shd w:val="clear" w:color="auto" w:fill="CFF0FC"/>
          </w:tcPr>
          <w:p>
            <w:pPr>
              <w:spacing w:after="0"/>
              <w:rPr>
                <w:sz w:val="19"/>
                <w:szCs w:val="19"/>
                <w:color w:val="auto"/>
              </w:rPr>
            </w:pPr>
          </w:p>
        </w:tc>
      </w:tr>
      <w:tr>
        <w:trPr>
          <w:trHeight w:val="230"/>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Unamortized deferred financing costs</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(5,754)</w:t>
            </w:r>
          </w:p>
        </w:tc>
      </w:tr>
      <w:tr>
        <w:trPr>
          <w:trHeight w:val="223"/>
        </w:trPr>
        <w:tc>
          <w:tcPr>
            <w:tcW w:w="65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debt</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1,278,266</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1,130,481</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1,353,342</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maturities</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(1,512)</w:t>
            </w:r>
          </w:p>
        </w:tc>
      </w:tr>
      <w:tr>
        <w:trPr>
          <w:trHeight w:val="223"/>
        </w:trPr>
        <w:tc>
          <w:tcPr>
            <w:tcW w:w="65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 term debt, net of current maturities</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1,276,443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1,128,843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1,351,830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 Facility</w:t>
      </w:r>
    </w:p>
    <w:p>
      <w:pPr>
        <w:spacing w:after="0" w:line="227" w:lineRule="exact"/>
        <w:rPr>
          <w:sz w:val="20"/>
          <w:szCs w:val="20"/>
          <w:color w:val="auto"/>
        </w:rPr>
      </w:pPr>
    </w:p>
    <w:p>
      <w:pPr>
        <w:ind w:right="100" w:firstLine="518"/>
        <w:spacing w:after="0" w:line="282" w:lineRule="auto"/>
        <w:rPr>
          <w:sz w:val="20"/>
          <w:szCs w:val="20"/>
          <w:color w:val="auto"/>
        </w:rPr>
      </w:pPr>
      <w:r>
        <w:rPr>
          <w:rFonts w:ascii="Times New Roman" w:cs="Times New Roman" w:eastAsia="Times New Roman" w:hAnsi="Times New Roman"/>
          <w:sz w:val="18"/>
          <w:szCs w:val="18"/>
          <w:color w:val="auto"/>
        </w:rPr>
        <w:t>At July 29, 2017 and July 30, 2016, the Company’s borrowing rate related to its $1.2 billion senior secured term loan facility (the Term Loan Facility) was 4.0% and 3.5%, respectively.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ABL Line of Credit</w:t>
      </w:r>
    </w:p>
    <w:p>
      <w:pPr>
        <w:spacing w:after="0" w:line="227"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At July 29, 2017, the Company had $363.1 million available under the Second Amended and Restated Credit Agreement, dated September 2, 2011, governing BCFWC’s existing senior secured asset-based revolving credit facility (the ABL Line of Credit). The maximum borrowings under the facility during the three and six month periods ended July 29, 2017 amounted to $180.3 million for both periods. Average borrowings during the three and six month periods ended July 29, 2017 amounted to $79.0 million and $55.5 million, respectively, at average interest rates of 2.8% and 2.7%, respectively.</w:t>
      </w:r>
    </w:p>
    <w:p>
      <w:pPr>
        <w:spacing w:after="0" w:line="180"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At July 30, 2016, the Company had $311.5 million available under the ABL Line of Credit. The maximum borrowings under the facility during the three and six month periods ended July 30, 2016 amounted to $350.0 million. Average borrowings during the three and six month periods ended July 30, 2016 amounted to $224.1 million and $224.5 million, respectively, at average interest rates of 1.8% for both periods.</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Derivative Instruments and Hedging Activities</w:t>
      </w:r>
    </w:p>
    <w:p>
      <w:pPr>
        <w:spacing w:after="0" w:line="121" w:lineRule="exact"/>
        <w:rPr>
          <w:sz w:val="20"/>
          <w:szCs w:val="20"/>
          <w:color w:val="auto"/>
        </w:rPr>
      </w:pPr>
    </w:p>
    <w:p>
      <w:pPr>
        <w:ind w:right="120" w:firstLine="518"/>
        <w:spacing w:after="0" w:line="272" w:lineRule="auto"/>
        <w:rPr>
          <w:sz w:val="20"/>
          <w:szCs w:val="20"/>
          <w:color w:val="auto"/>
        </w:rPr>
      </w:pPr>
      <w:r>
        <w:rPr>
          <w:rFonts w:ascii="Times New Roman" w:cs="Times New Roman" w:eastAsia="Times New Roman" w:hAnsi="Times New Roman"/>
          <w:sz w:val="17"/>
          <w:szCs w:val="17"/>
          <w:color w:val="auto"/>
        </w:rPr>
        <w:t>The Company accounts for derivatives and hedging activities in accordance with ASC Topic No. 815 “Derivatives and Hedging” (Topic No. 815). As required by Topic No. 815, the Company records all derivatives on the balance sheet at fair value and adjusts to market on a quarterly basis. In addition, to comply with the provisions of ASC Topic No. 820, “Fair Value Measurements” (Topic No. 820), credit valuation adjustments, which consider the impact of any credit enhancements to the contracts, are incorporated in the fair values to account for potential nonperformance risk. In adjusting the fair value of its derivative contracts for the effect of nonperformance risk, the Company has considered any applicable credit enhancements such as collateral postings, thresholds, mutual puts, and guarantees. In accordance with Topic No. 820, the Company made an accounting policy election to measure the credit risk of its derivative financial instruments that are subject to master netting agreements on a net basis by counterparty portfolio. There is no impact of netting because the Company’s only derivatives are interest rate cap contracts that are with separate counterparties and are under separate master netting agreements.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 Hedges of Interest Rate Risk</w:t>
      </w:r>
    </w:p>
    <w:p>
      <w:pPr>
        <w:spacing w:after="0" w:line="119" w:lineRule="exact"/>
        <w:rPr>
          <w:sz w:val="20"/>
          <w:szCs w:val="20"/>
          <w:color w:val="auto"/>
        </w:rPr>
      </w:pPr>
    </w:p>
    <w:p>
      <w:pPr>
        <w:ind w:right="220" w:firstLine="518"/>
        <w:spacing w:after="0" w:line="289" w:lineRule="auto"/>
        <w:rPr>
          <w:sz w:val="20"/>
          <w:szCs w:val="20"/>
          <w:color w:val="auto"/>
        </w:rPr>
      </w:pPr>
      <w:r>
        <w:rPr>
          <w:rFonts w:ascii="Times New Roman" w:cs="Times New Roman" w:eastAsia="Times New Roman" w:hAnsi="Times New Roman"/>
          <w:sz w:val="17"/>
          <w:szCs w:val="17"/>
          <w:color w:val="auto"/>
        </w:rPr>
        <w:t>The Company’s objectives in using interest rate derivatives are to add stability to interest expense and to manage its exposure to interest rate movements. To accomplish these objectives, the Company primarily uses interest rate caps as part of its interest rate risk management strategy. Interest rate caps designated as cash flow hedges involve the receipt of variable amounts from a counterparty if interest rates rise above the strike rate on the contract.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9" w:name="page10"/>
    <w:bookmarkEnd w:id="9"/>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The Company did not record any hedge ineffectiveness in its earnings during the three and six month periods ended July 29, 2017 or July 30, 2016. The Company financed the cost of the interest rate cap contracts, which will be amortized through the life of the caps. During the three and six month periods ended July 29, 2017, the Company paid $0.5 million and $1.6 million, respectively, net of $0.4 million and $1.0 million of taxes, respectively, related to the financing of these interest rate cap contracts. During the three and six month periods ended July 30, 2016, the Company paid $0.8 million and $1.6 million, respectively, net of $0.5 million and $1.1 million of taxes, respectively, related to the financing of these interest rate cap contracts. These costs were included in the line item “Accumulated other comprehensive loss” on the Company’s Condensed Consolidated Balance Sheets. The Company estimates that approximately $6.2 million will be reclassified into interest expense during the next twelve months.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July 29, 2017, the Company had the following outstanding interest rate derivatives that were designated as cash flow hedges of interest rate risk:</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Interest Rate Derivative</w:t>
            </w:r>
          </w:p>
        </w:tc>
        <w:tc>
          <w:tcPr>
            <w:tcW w:w="20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Notional Aggregate</w:t>
            </w:r>
          </w:p>
        </w:tc>
        <w:tc>
          <w:tcPr>
            <w:tcW w:w="2000" w:type="dxa"/>
            <w:vAlign w:val="bottom"/>
            <w:gridSpan w:val="2"/>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0" w:type="dxa"/>
            <w:vAlign w:val="bottom"/>
          </w:tcPr>
          <w:p>
            <w:pPr>
              <w:spacing w:after="0"/>
              <w:rPr>
                <w:sz w:val="1"/>
                <w:szCs w:val="1"/>
                <w:color w:val="auto"/>
              </w:rPr>
            </w:pPr>
          </w:p>
        </w:tc>
      </w:tr>
      <w:tr>
        <w:trPr>
          <w:trHeight w:val="173"/>
        </w:trPr>
        <w:tc>
          <w:tcPr>
            <w:tcW w:w="3540" w:type="dxa"/>
            <w:vAlign w:val="bottom"/>
            <w:gridSpan w:val="2"/>
            <w:vMerge w:val="continue"/>
          </w:tcPr>
          <w:p>
            <w:pPr>
              <w:spacing w:after="0"/>
              <w:rPr>
                <w:sz w:val="15"/>
                <w:szCs w:val="15"/>
                <w:color w:val="auto"/>
              </w:rPr>
            </w:pPr>
          </w:p>
        </w:tc>
        <w:tc>
          <w:tcPr>
            <w:tcW w:w="2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2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200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Cap Rate</w:t>
            </w:r>
          </w:p>
        </w:tc>
        <w:tc>
          <w:tcPr>
            <w:tcW w:w="1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3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rate cap contracts</w:t>
            </w:r>
          </w:p>
        </w:tc>
        <w:tc>
          <w:tcPr>
            <w:tcW w:w="180" w:type="dxa"/>
            <w:vAlign w:val="bottom"/>
            <w:tcBorders>
              <w:top w:val="single" w:sz="8" w:color="CFF0FC"/>
            </w:tcBorders>
            <w:shd w:val="clear" w:color="auto" w:fill="CFF0FC"/>
          </w:tcPr>
          <w:p>
            <w:pPr>
              <w:spacing w:after="0"/>
              <w:rPr>
                <w:sz w:val="19"/>
                <w:szCs w:val="19"/>
                <w:color w:val="auto"/>
              </w:rPr>
            </w:pPr>
          </w:p>
        </w:tc>
        <w:tc>
          <w:tcPr>
            <w:tcW w:w="190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Two</w:t>
            </w:r>
          </w:p>
        </w:tc>
        <w:tc>
          <w:tcPr>
            <w:tcW w:w="180" w:type="dxa"/>
            <w:vAlign w:val="bottom"/>
            <w:tcBorders>
              <w:top w:val="single" w:sz="8" w:color="CFF0FC"/>
            </w:tcBorders>
            <w:shd w:val="clear" w:color="auto" w:fill="CFF0FC"/>
          </w:tcPr>
          <w:p>
            <w:pPr>
              <w:spacing w:after="0"/>
              <w:rPr>
                <w:sz w:val="19"/>
                <w:szCs w:val="19"/>
                <w:color w:val="auto"/>
              </w:rPr>
            </w:pPr>
          </w:p>
        </w:tc>
        <w:tc>
          <w:tcPr>
            <w:tcW w:w="182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$ 800.0 million</w:t>
            </w:r>
          </w:p>
        </w:tc>
        <w:tc>
          <w:tcPr>
            <w:tcW w:w="180" w:type="dxa"/>
            <w:vAlign w:val="bottom"/>
            <w:tcBorders>
              <w:top w:val="single" w:sz="8" w:color="CFF0FC"/>
            </w:tcBorders>
            <w:shd w:val="clear" w:color="auto" w:fill="CFF0FC"/>
          </w:tcPr>
          <w:p>
            <w:pPr>
              <w:spacing w:after="0"/>
              <w:rPr>
                <w:sz w:val="19"/>
                <w:szCs w:val="19"/>
                <w:color w:val="auto"/>
              </w:rPr>
            </w:pPr>
          </w:p>
        </w:tc>
        <w:tc>
          <w:tcPr>
            <w:tcW w:w="1700" w:type="dxa"/>
            <w:vAlign w:val="bottom"/>
            <w:tcBorders>
              <w:top w:val="single" w:sz="8" w:color="auto"/>
            </w:tcBorders>
            <w:shd w:val="clear" w:color="auto" w:fill="CFF0FC"/>
          </w:tcPr>
          <w:p>
            <w:pPr>
              <w:jc w:val="right"/>
              <w:ind w:right="542"/>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tcBorders>
              <w:top w:val="single" w:sz="8" w:color="CFF0FC"/>
            </w:tcBorders>
            <w:shd w:val="clear" w:color="auto" w:fill="CFF0FC"/>
          </w:tcPr>
          <w:p>
            <w:pPr>
              <w:spacing w:after="0"/>
              <w:rPr>
                <w:sz w:val="19"/>
                <w:szCs w:val="19"/>
                <w:color w:val="auto"/>
              </w:rPr>
            </w:pPr>
          </w:p>
        </w:tc>
        <w:tc>
          <w:tcPr>
            <w:tcW w:w="180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May 31, 2019</w:t>
            </w:r>
          </w:p>
        </w:tc>
        <w:tc>
          <w:tcPr>
            <w:tcW w:w="0" w:type="dxa"/>
            <w:vAlign w:val="bottom"/>
          </w:tcPr>
          <w:p>
            <w:pPr>
              <w:spacing w:after="0"/>
              <w:rPr>
                <w:sz w:val="1"/>
                <w:szCs w:val="1"/>
                <w:color w:val="auto"/>
              </w:rPr>
            </w:pPr>
          </w:p>
        </w:tc>
      </w:tr>
    </w:tbl>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Tabular Disclosure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table below presents the fair value of the Company’s derivative financial instruments on a gross basis as well as their classification on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Condensed Consolidated Balance Sheets: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center"/>
              <w:ind w:left="565"/>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6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580" w:type="dxa"/>
            <w:vAlign w:val="bottom"/>
            <w:tcBorders>
              <w:bottom w:val="single" w:sz="8" w:color="auto"/>
            </w:tcBorders>
            <w:gridSpan w:val="6"/>
          </w:tcPr>
          <w:p>
            <w:pPr>
              <w:jc w:val="center"/>
              <w:ind w:right="20"/>
              <w:spacing w:after="0" w:line="155" w:lineRule="exact"/>
              <w:rPr>
                <w:sz w:val="20"/>
                <w:szCs w:val="20"/>
                <w:color w:val="auto"/>
              </w:rPr>
            </w:pPr>
            <w:r>
              <w:rPr>
                <w:rFonts w:ascii="Times New Roman" w:cs="Times New Roman" w:eastAsia="Times New Roman" w:hAnsi="Times New Roman"/>
                <w:sz w:val="14"/>
                <w:szCs w:val="14"/>
                <w:b w:val="1"/>
                <w:bCs w:val="1"/>
                <w:color w:val="auto"/>
              </w:rPr>
              <w:t>Fair Values of Derivative Instruments</w:t>
            </w:r>
          </w:p>
        </w:tc>
        <w:tc>
          <w:tcPr>
            <w:tcW w:w="1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gridSpan w:val="5"/>
          </w:tcPr>
          <w:p>
            <w:pPr>
              <w:jc w:val="center"/>
              <w:ind w:right="220"/>
              <w:spacing w:after="0" w:line="155" w:lineRule="exact"/>
              <w:rPr>
                <w:sz w:val="20"/>
                <w:szCs w:val="20"/>
                <w:color w:val="auto"/>
              </w:rPr>
            </w:pPr>
            <w:r>
              <w:rPr>
                <w:rFonts w:ascii="Times New Roman" w:cs="Times New Roman" w:eastAsia="Times New Roman" w:hAnsi="Times New Roman"/>
                <w:sz w:val="14"/>
                <w:szCs w:val="14"/>
                <w:b w:val="1"/>
                <w:bCs w:val="1"/>
                <w:color w:val="auto"/>
              </w:rPr>
              <w:t>Liability Derivatives</w:t>
            </w:r>
          </w:p>
        </w:tc>
        <w:tc>
          <w:tcPr>
            <w:tcW w:w="1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Borders>
              <w:bottom w:val="single" w:sz="8" w:color="auto"/>
            </w:tcBorders>
            <w:gridSpan w:val="3"/>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July 29, 2017</w:t>
            </w:r>
          </w:p>
        </w:tc>
        <w:tc>
          <w:tcPr>
            <w:tcW w:w="6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140" w:type="dxa"/>
            <w:vAlign w:val="bottom"/>
            <w:tcBorders>
              <w:bottom w:val="single" w:sz="8" w:color="auto"/>
            </w:tcBorders>
            <w:gridSpan w:val="4"/>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January 28, 2017</w:t>
            </w:r>
          </w:p>
        </w:tc>
        <w:tc>
          <w:tcPr>
            <w:tcW w:w="220" w:type="dxa"/>
            <w:vAlign w:val="bottom"/>
          </w:tcPr>
          <w:p>
            <w:pPr>
              <w:spacing w:after="0"/>
              <w:rPr>
                <w:sz w:val="13"/>
                <w:szCs w:val="13"/>
                <w:color w:val="auto"/>
              </w:rPr>
            </w:pPr>
          </w:p>
        </w:tc>
        <w:tc>
          <w:tcPr>
            <w:tcW w:w="1480" w:type="dxa"/>
            <w:vAlign w:val="bottom"/>
            <w:tcBorders>
              <w:bottom w:val="single" w:sz="8" w:color="auto"/>
            </w:tcBorders>
            <w:gridSpan w:val="3"/>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July 30, 2016</w:t>
            </w:r>
          </w:p>
        </w:tc>
        <w:tc>
          <w:tcPr>
            <w:tcW w:w="6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4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3"/>
          </w:tcPr>
          <w:p>
            <w:pPr>
              <w:jc w:val="center"/>
              <w:ind w:right="250"/>
              <w:spacing w:after="0" w:line="131" w:lineRule="exact"/>
              <w:rPr>
                <w:sz w:val="20"/>
                <w:szCs w:val="20"/>
                <w:color w:val="auto"/>
              </w:rPr>
            </w:pPr>
            <w:r>
              <w:rPr>
                <w:rFonts w:ascii="Times New Roman" w:cs="Times New Roman" w:eastAsia="Times New Roman" w:hAnsi="Times New Roman"/>
                <w:sz w:val="14"/>
                <w:szCs w:val="14"/>
                <w:b w:val="1"/>
                <w:bCs w:val="1"/>
                <w:color w:val="auto"/>
              </w:rPr>
              <w:t>Balance</w:t>
            </w:r>
          </w:p>
        </w:tc>
        <w:tc>
          <w:tcPr>
            <w:tcW w:w="640" w:type="dxa"/>
            <w:vAlign w:val="bottom"/>
            <w:vMerge w:val="restart"/>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Fair</w:t>
            </w:r>
          </w:p>
        </w:tc>
        <w:tc>
          <w:tcPr>
            <w:tcW w:w="220" w:type="dxa"/>
            <w:vAlign w:val="bottom"/>
          </w:tcPr>
          <w:p>
            <w:pPr>
              <w:spacing w:after="0"/>
              <w:rPr>
                <w:sz w:val="11"/>
                <w:szCs w:val="11"/>
                <w:color w:val="auto"/>
              </w:rPr>
            </w:pPr>
          </w:p>
        </w:tc>
        <w:tc>
          <w:tcPr>
            <w:tcW w:w="1500" w:type="dxa"/>
            <w:vAlign w:val="bottom"/>
            <w:gridSpan w:val="3"/>
          </w:tcPr>
          <w:p>
            <w:pPr>
              <w:jc w:val="center"/>
              <w:ind w:right="275"/>
              <w:spacing w:after="0" w:line="131" w:lineRule="exact"/>
              <w:rPr>
                <w:sz w:val="20"/>
                <w:szCs w:val="20"/>
                <w:color w:val="auto"/>
              </w:rPr>
            </w:pPr>
            <w:r>
              <w:rPr>
                <w:rFonts w:ascii="Times New Roman" w:cs="Times New Roman" w:eastAsia="Times New Roman" w:hAnsi="Times New Roman"/>
                <w:sz w:val="14"/>
                <w:szCs w:val="14"/>
                <w:b w:val="1"/>
                <w:bCs w:val="1"/>
                <w:color w:val="auto"/>
              </w:rPr>
              <w:t>Balance</w:t>
            </w:r>
          </w:p>
        </w:tc>
        <w:tc>
          <w:tcPr>
            <w:tcW w:w="86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480" w:type="dxa"/>
            <w:vAlign w:val="bottom"/>
            <w:gridSpan w:val="3"/>
          </w:tcPr>
          <w:p>
            <w:pPr>
              <w:jc w:val="center"/>
              <w:ind w:right="270"/>
              <w:spacing w:after="0" w:line="131" w:lineRule="exact"/>
              <w:rPr>
                <w:sz w:val="20"/>
                <w:szCs w:val="20"/>
                <w:color w:val="auto"/>
              </w:rPr>
            </w:pPr>
            <w:r>
              <w:rPr>
                <w:rFonts w:ascii="Times New Roman" w:cs="Times New Roman" w:eastAsia="Times New Roman" w:hAnsi="Times New Roman"/>
                <w:sz w:val="14"/>
                <w:szCs w:val="14"/>
                <w:b w:val="1"/>
                <w:bCs w:val="1"/>
                <w:color w:val="auto"/>
              </w:rPr>
              <w:t>Balance</w:t>
            </w:r>
          </w:p>
        </w:tc>
        <w:tc>
          <w:tcPr>
            <w:tcW w:w="7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9"/>
        </w:trPr>
        <w:tc>
          <w:tcPr>
            <w:tcW w:w="4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Derivatives Designated as Hedging Instruments</w:t>
            </w:r>
          </w:p>
        </w:tc>
        <w:tc>
          <w:tcPr>
            <w:tcW w:w="1480" w:type="dxa"/>
            <w:vAlign w:val="bottom"/>
            <w:gridSpan w:val="3"/>
          </w:tcPr>
          <w:p>
            <w:pPr>
              <w:jc w:val="center"/>
              <w:ind w:right="250"/>
              <w:spacing w:after="0" w:line="149" w:lineRule="exact"/>
              <w:rPr>
                <w:sz w:val="20"/>
                <w:szCs w:val="20"/>
                <w:color w:val="auto"/>
              </w:rPr>
            </w:pPr>
            <w:r>
              <w:rPr>
                <w:rFonts w:ascii="Times New Roman" w:cs="Times New Roman" w:eastAsia="Times New Roman" w:hAnsi="Times New Roman"/>
                <w:sz w:val="14"/>
                <w:szCs w:val="14"/>
                <w:b w:val="1"/>
                <w:bCs w:val="1"/>
                <w:color w:val="auto"/>
              </w:rPr>
              <w:t>Sheet</w:t>
            </w:r>
          </w:p>
        </w:tc>
        <w:tc>
          <w:tcPr>
            <w:tcW w:w="6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3"/>
          </w:tcPr>
          <w:p>
            <w:pPr>
              <w:jc w:val="center"/>
              <w:ind w:right="275"/>
              <w:spacing w:after="0" w:line="149" w:lineRule="exact"/>
              <w:rPr>
                <w:sz w:val="20"/>
                <w:szCs w:val="20"/>
                <w:color w:val="auto"/>
              </w:rPr>
            </w:pPr>
            <w:r>
              <w:rPr>
                <w:rFonts w:ascii="Times New Roman" w:cs="Times New Roman" w:eastAsia="Times New Roman" w:hAnsi="Times New Roman"/>
                <w:sz w:val="14"/>
                <w:szCs w:val="14"/>
                <w:b w:val="1"/>
                <w:bCs w:val="1"/>
                <w:color w:val="auto"/>
              </w:rPr>
              <w:t>Sheet</w:t>
            </w:r>
          </w:p>
        </w:tc>
        <w:tc>
          <w:tcPr>
            <w:tcW w:w="860" w:type="dxa"/>
            <w:vAlign w:val="bottom"/>
            <w:gridSpan w:val="2"/>
            <w:vMerge w:val="continue"/>
          </w:tcPr>
          <w:p>
            <w:pPr>
              <w:spacing w:after="0"/>
              <w:rPr>
                <w:sz w:val="12"/>
                <w:szCs w:val="12"/>
                <w:color w:val="auto"/>
              </w:rPr>
            </w:pPr>
          </w:p>
        </w:tc>
        <w:tc>
          <w:tcPr>
            <w:tcW w:w="1480" w:type="dxa"/>
            <w:vAlign w:val="bottom"/>
            <w:gridSpan w:val="3"/>
          </w:tcPr>
          <w:p>
            <w:pPr>
              <w:jc w:val="center"/>
              <w:ind w:right="270"/>
              <w:spacing w:after="0" w:line="149" w:lineRule="exact"/>
              <w:rPr>
                <w:sz w:val="20"/>
                <w:szCs w:val="20"/>
                <w:color w:val="auto"/>
              </w:rPr>
            </w:pPr>
            <w:r>
              <w:rPr>
                <w:rFonts w:ascii="Times New Roman" w:cs="Times New Roman" w:eastAsia="Times New Roman" w:hAnsi="Times New Roman"/>
                <w:sz w:val="14"/>
                <w:szCs w:val="14"/>
                <w:b w:val="1"/>
                <w:bCs w:val="1"/>
                <w:color w:val="auto"/>
                <w:w w:val="97"/>
              </w:rPr>
              <w:t>Sheet</w:t>
            </w: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500" w:type="dxa"/>
            <w:vAlign w:val="bottom"/>
            <w:gridSpan w:val="2"/>
            <w:vMerge w:val="continue"/>
          </w:tcPr>
          <w:p>
            <w:pPr>
              <w:spacing w:after="0"/>
              <w:rPr>
                <w:sz w:val="15"/>
                <w:szCs w:val="15"/>
                <w:color w:val="auto"/>
              </w:rPr>
            </w:pPr>
          </w:p>
        </w:tc>
        <w:tc>
          <w:tcPr>
            <w:tcW w:w="1480" w:type="dxa"/>
            <w:vAlign w:val="bottom"/>
            <w:gridSpan w:val="3"/>
          </w:tcPr>
          <w:p>
            <w:pPr>
              <w:jc w:val="center"/>
              <w:ind w:right="25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64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20" w:type="dxa"/>
            <w:vAlign w:val="bottom"/>
          </w:tcPr>
          <w:p>
            <w:pPr>
              <w:spacing w:after="0"/>
              <w:rPr>
                <w:sz w:val="15"/>
                <w:szCs w:val="15"/>
                <w:color w:val="auto"/>
              </w:rPr>
            </w:pPr>
          </w:p>
        </w:tc>
        <w:tc>
          <w:tcPr>
            <w:tcW w:w="1500" w:type="dxa"/>
            <w:vAlign w:val="bottom"/>
            <w:gridSpan w:val="3"/>
          </w:tcPr>
          <w:p>
            <w:pPr>
              <w:jc w:val="center"/>
              <w:ind w:right="275"/>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86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480" w:type="dxa"/>
            <w:vAlign w:val="bottom"/>
            <w:gridSpan w:val="3"/>
          </w:tcPr>
          <w:p>
            <w:pPr>
              <w:jc w:val="center"/>
              <w:ind w:right="27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7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3"/>
        </w:trPr>
        <w:tc>
          <w:tcPr>
            <w:tcW w:w="4400" w:type="dxa"/>
            <w:vAlign w:val="bottom"/>
            <w:tcBorders>
              <w:top w:val="single" w:sz="8" w:color="auto"/>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rate cap contracts</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Other liabilities</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Other liabilities</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11,267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8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unrealized losses deferred to accumulated other comprehensive loss resulting from the Company’s derivative instruments designated as cash flow hedging instruments for each of the reporting periods.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300" w:type="dxa"/>
            <w:vAlign w:val="bottom"/>
            <w:tcBorders>
              <w:bottom w:val="single" w:sz="8" w:color="auto"/>
            </w:tcBorders>
            <w:gridSpan w:val="5"/>
          </w:tcPr>
          <w:p>
            <w:pPr>
              <w:ind w:left="104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Interest Rate Cap Contracts:</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0" w:type="dxa"/>
            <w:vAlign w:val="bottom"/>
            <w:gridSpan w:val="5"/>
          </w:tcPr>
          <w:p>
            <w:pPr>
              <w:ind w:left="700"/>
              <w:spacing w:after="0" w:line="155"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3120" w:type="dxa"/>
            <w:vAlign w:val="bottom"/>
            <w:gridSpan w:val="4"/>
          </w:tcPr>
          <w:p>
            <w:pPr>
              <w:jc w:val="right"/>
              <w:ind w:right="1034"/>
              <w:spacing w:after="0" w:line="155" w:lineRule="exact"/>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4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gridSpan w:val="2"/>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July 29, 2017</w:t>
            </w:r>
          </w:p>
        </w:tc>
        <w:tc>
          <w:tcPr>
            <w:tcW w:w="2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217"/>
              <w:spacing w:after="0" w:line="155" w:lineRule="exact"/>
              <w:rPr>
                <w:sz w:val="20"/>
                <w:szCs w:val="20"/>
                <w:color w:val="auto"/>
              </w:rPr>
            </w:pPr>
            <w:r>
              <w:rPr>
                <w:rFonts w:ascii="Times New Roman" w:cs="Times New Roman" w:eastAsia="Times New Roman" w:hAnsi="Times New Roman"/>
                <w:sz w:val="14"/>
                <w:szCs w:val="14"/>
                <w:b w:val="1"/>
                <w:bCs w:val="1"/>
                <w:color w:val="auto"/>
              </w:rPr>
              <w:t>July 30, 2016</w:t>
            </w:r>
          </w:p>
        </w:tc>
        <w:tc>
          <w:tcPr>
            <w:tcW w:w="3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gridSpan w:val="2"/>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July 29, 2017</w:t>
            </w:r>
          </w:p>
        </w:tc>
        <w:tc>
          <w:tcPr>
            <w:tcW w:w="22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ind w:right="294"/>
              <w:spacing w:after="0" w:line="155" w:lineRule="exact"/>
              <w:rPr>
                <w:sz w:val="20"/>
                <w:szCs w:val="20"/>
                <w:color w:val="auto"/>
              </w:rPr>
            </w:pPr>
            <w:r>
              <w:rPr>
                <w:rFonts w:ascii="Times New Roman" w:cs="Times New Roman" w:eastAsia="Times New Roman" w:hAnsi="Times New Roman"/>
                <w:sz w:val="14"/>
                <w:szCs w:val="14"/>
                <w:b w:val="1"/>
                <w:bCs w:val="1"/>
                <w:color w:val="auto"/>
              </w:rPr>
              <w:t>July 30, 2016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4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Unrealized (losses), before taxes</w:t>
            </w:r>
          </w:p>
        </w:tc>
        <w:tc>
          <w:tcPr>
            <w:tcW w:w="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(3,569)</w:t>
            </w:r>
          </w:p>
        </w:tc>
        <w:tc>
          <w:tcPr>
            <w:tcW w:w="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3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3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Unrealized (losses), net of taxes</w:t>
            </w:r>
          </w:p>
        </w:tc>
        <w:tc>
          <w:tcPr>
            <w:tcW w:w="1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2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(2,142)</w:t>
            </w:r>
          </w:p>
        </w:tc>
        <w:tc>
          <w:tcPr>
            <w:tcW w:w="3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3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24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reclassification of losses from accumulated other comprehensive loss into earnings related to the Company’s derivative instruments designated as cash flow hedging instruments for each of the reporting periods.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gridSpan w:val="5"/>
          </w:tcPr>
          <w:p>
            <w:pPr>
              <w:jc w:val="right"/>
              <w:ind w:right="128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4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4"/>
          </w:tcPr>
          <w:p>
            <w:pPr>
              <w:jc w:val="right"/>
              <w:ind w:right="81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5"/>
          </w:tcPr>
          <w:p>
            <w:pPr>
              <w:jc w:val="right"/>
              <w:ind w:right="103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Pr>
          <w:p>
            <w:pPr>
              <w:spacing w:after="0"/>
              <w:rPr>
                <w:sz w:val="20"/>
                <w:szCs w:val="20"/>
                <w:color w:val="auto"/>
              </w:rPr>
            </w:pPr>
          </w:p>
        </w:tc>
      </w:tr>
      <w:tr>
        <w:trPr>
          <w:trHeight w:val="237"/>
        </w:trPr>
        <w:tc>
          <w:tcPr>
            <w:tcW w:w="4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Component of Earnings:</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July 29, 2017</w:t>
            </w:r>
          </w:p>
        </w:tc>
        <w:tc>
          <w:tcPr>
            <w:tcW w:w="200" w:type="dxa"/>
            <w:vAlign w:val="bottom"/>
          </w:tcPr>
          <w:p>
            <w:pPr>
              <w:spacing w:after="0"/>
              <w:rPr>
                <w:sz w:val="20"/>
                <w:szCs w:val="20"/>
                <w:color w:val="auto"/>
              </w:rPr>
            </w:pPr>
          </w:p>
        </w:tc>
        <w:tc>
          <w:tcPr>
            <w:tcW w:w="150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July 30, 2016</w:t>
            </w:r>
          </w:p>
        </w:tc>
        <w:tc>
          <w:tcPr>
            <w:tcW w:w="220" w:type="dxa"/>
            <w:vAlign w:val="bottom"/>
          </w:tcPr>
          <w:p>
            <w:pPr>
              <w:spacing w:after="0"/>
              <w:rPr>
                <w:sz w:val="20"/>
                <w:szCs w:val="20"/>
                <w:color w:val="auto"/>
              </w:rPr>
            </w:pPr>
          </w:p>
        </w:tc>
        <w:tc>
          <w:tcPr>
            <w:tcW w:w="14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July 29, 2017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July 30, 2016</w:t>
            </w:r>
          </w:p>
        </w:tc>
      </w:tr>
      <w:tr>
        <w:trPr>
          <w:trHeight w:val="223"/>
        </w:trPr>
        <w:tc>
          <w:tcPr>
            <w:tcW w:w="44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2,902</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(596)</w:t>
            </w:r>
          </w:p>
        </w:tc>
        <w:tc>
          <w:tcPr>
            <w:tcW w:w="200" w:type="dxa"/>
            <w:vAlign w:val="bottom"/>
          </w:tcPr>
          <w:p>
            <w:pPr>
              <w:spacing w:after="0"/>
              <w:rPr>
                <w:sz w:val="19"/>
                <w:szCs w:val="19"/>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(173)</w:t>
            </w:r>
          </w:p>
        </w:tc>
        <w:tc>
          <w:tcPr>
            <w:tcW w:w="22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(1,157)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(278)</w:t>
            </w:r>
          </w:p>
        </w:tc>
      </w:tr>
      <w:tr>
        <w:trPr>
          <w:trHeight w:val="223"/>
        </w:trPr>
        <w:tc>
          <w:tcPr>
            <w:tcW w:w="44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4. Accumulated Other Comprehensive Loss</w:t>
      </w:r>
    </w:p>
    <w:p>
      <w:pPr>
        <w:spacing w:after="0" w:line="121" w:lineRule="exact"/>
        <w:rPr>
          <w:sz w:val="20"/>
          <w:szCs w:val="20"/>
          <w:color w:val="auto"/>
        </w:rPr>
      </w:pPr>
    </w:p>
    <w:p>
      <w:pPr>
        <w:ind w:right="100" w:firstLine="518"/>
        <w:spacing w:after="0" w:line="282" w:lineRule="auto"/>
        <w:rPr>
          <w:sz w:val="20"/>
          <w:szCs w:val="20"/>
          <w:color w:val="auto"/>
        </w:rPr>
      </w:pPr>
      <w:r>
        <w:rPr>
          <w:rFonts w:ascii="Times New Roman" w:cs="Times New Roman" w:eastAsia="Times New Roman" w:hAnsi="Times New Roman"/>
          <w:sz w:val="18"/>
          <w:szCs w:val="18"/>
          <w:color w:val="auto"/>
        </w:rPr>
        <w:t>Amounts included in accumulated other comprehensive loss are recorded net of the related income tax effects. The following table details the changes in accumulated other comprehensive loss: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18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0" w:type="dxa"/>
            <w:vAlign w:val="bottom"/>
          </w:tcPr>
          <w:p>
            <w:pPr>
              <w:spacing w:after="0"/>
              <w:rPr>
                <w:sz w:val="1"/>
                <w:szCs w:val="1"/>
                <w:color w:val="auto"/>
              </w:rPr>
            </w:pPr>
          </w:p>
        </w:tc>
      </w:tr>
      <w:tr>
        <w:trPr>
          <w:trHeight w:val="131"/>
        </w:trPr>
        <w:tc>
          <w:tcPr>
            <w:tcW w:w="718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640" w:type="dxa"/>
            <w:vAlign w:val="bottom"/>
            <w:tcBorders>
              <w:top w:val="single" w:sz="8" w:color="auto"/>
            </w:tcBorders>
          </w:tcPr>
          <w:p>
            <w:pPr>
              <w:jc w:val="center"/>
              <w:ind w:right="238"/>
              <w:spacing w:after="0" w:line="131"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7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at January 28, 2017</w:t>
            </w:r>
          </w:p>
        </w:tc>
        <w:tc>
          <w:tcPr>
            <w:tcW w:w="2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0" w:type="dxa"/>
            <w:vAlign w:val="bottom"/>
          </w:tcPr>
          <w:p>
            <w:pPr>
              <w:spacing w:after="0"/>
              <w:rPr>
                <w:sz w:val="1"/>
                <w:szCs w:val="1"/>
                <w:color w:val="auto"/>
              </w:rPr>
            </w:pPr>
          </w:p>
        </w:tc>
      </w:tr>
      <w:tr>
        <w:trPr>
          <w:trHeight w:val="223"/>
        </w:trPr>
        <w:tc>
          <w:tcPr>
            <w:tcW w:w="7180" w:type="dxa"/>
            <w:vAlign w:val="bottom"/>
            <w:vMerge w:val="continue"/>
          </w:tcPr>
          <w:p>
            <w:pPr>
              <w:spacing w:after="0"/>
              <w:rPr>
                <w:sz w:val="19"/>
                <w:szCs w:val="19"/>
                <w:color w:val="auto"/>
              </w:rPr>
            </w:pPr>
          </w:p>
        </w:tc>
        <w:tc>
          <w:tcPr>
            <w:tcW w:w="2180" w:type="dxa"/>
            <w:vAlign w:val="bottom"/>
          </w:tcPr>
          <w:p>
            <w:pPr>
              <w:spacing w:after="0"/>
              <w:rPr>
                <w:sz w:val="19"/>
                <w:szCs w:val="19"/>
                <w:color w:val="auto"/>
              </w:rPr>
            </w:pPr>
          </w:p>
        </w:tc>
        <w:tc>
          <w:tcPr>
            <w:tcW w:w="30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Unrealized losses, net of related taxes of $0.7 million</w:t>
            </w:r>
          </w:p>
        </w:tc>
        <w:tc>
          <w:tcPr>
            <w:tcW w:w="2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(1,098)</w:t>
            </w:r>
          </w:p>
        </w:tc>
        <w:tc>
          <w:tcPr>
            <w:tcW w:w="0" w:type="dxa"/>
            <w:vAlign w:val="bottom"/>
          </w:tcPr>
          <w:p>
            <w:pPr>
              <w:spacing w:after="0"/>
              <w:rPr>
                <w:sz w:val="1"/>
                <w:szCs w:val="1"/>
                <w:color w:val="auto"/>
              </w:rPr>
            </w:pPr>
          </w:p>
        </w:tc>
      </w:tr>
      <w:tr>
        <w:trPr>
          <w:trHeight w:val="230"/>
        </w:trPr>
        <w:tc>
          <w:tcPr>
            <w:tcW w:w="71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Amount reclassified into earnings, net of related taxes of $1.2 million</w:t>
            </w:r>
          </w:p>
        </w:tc>
        <w:tc>
          <w:tcPr>
            <w:tcW w:w="21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July 29, 2017</w:t>
            </w:r>
          </w:p>
        </w:tc>
        <w:tc>
          <w:tcPr>
            <w:tcW w:w="21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121"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The Company accounts for fair value measurements in accordance with Topic No. 820, which defines fair value, establishes a framework for measurement and expands disclosure about fair value measurements. Topic No. 820 defines fair value as the price that would be received to sell an asset or paid to transfer a liability in an orderly transaction between market participants at the measurement date (exit price), and classifies the inputs used to measure fair value into the following hierarchy:</w:t>
      </w:r>
    </w:p>
    <w:p>
      <w:pPr>
        <w:spacing w:after="0" w:line="72" w:lineRule="exact"/>
        <w:rPr>
          <w:sz w:val="20"/>
          <w:szCs w:val="20"/>
          <w:color w:val="auto"/>
        </w:rPr>
      </w:pPr>
    </w:p>
    <w:p>
      <w:pPr>
        <w:ind w:left="520"/>
        <w:spacing w:after="0"/>
        <w:tabs>
          <w:tab w:leader="none" w:pos="152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8"/>
          <w:szCs w:val="18"/>
          <w:color w:val="auto"/>
        </w:rPr>
        <w:t>Quoted prices for identical assets or liabilities in active markets.</w:t>
      </w:r>
    </w:p>
    <w:p>
      <w:pPr>
        <w:spacing w:after="0" w:line="117" w:lineRule="exact"/>
        <w:rPr>
          <w:sz w:val="20"/>
          <w:szCs w:val="20"/>
          <w:color w:val="auto"/>
        </w:rPr>
      </w:pPr>
    </w:p>
    <w:p>
      <w:pPr>
        <w:ind w:left="1540" w:right="60" w:hanging="1025"/>
        <w:spacing w:after="0" w:line="282" w:lineRule="auto"/>
        <w:tabs>
          <w:tab w:leader="none" w:pos="152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8"/>
          <w:szCs w:val="18"/>
          <w:color w:val="auto"/>
        </w:rPr>
        <w:t>Quoted market prices for similar assets or liabilities in active markets; quoted prices for identical or similar assets or liabilities in markets that are not active; and model-derived valuations whose inputs are observable or whose significant value drivers are observable.</w:t>
      </w:r>
    </w:p>
    <w:p>
      <w:pPr>
        <w:spacing w:after="0" w:line="54" w:lineRule="exact"/>
        <w:rPr>
          <w:sz w:val="20"/>
          <w:szCs w:val="20"/>
          <w:color w:val="auto"/>
        </w:rPr>
      </w:pPr>
    </w:p>
    <w:p>
      <w:pPr>
        <w:ind w:left="1540" w:right="60" w:hanging="1025"/>
        <w:spacing w:after="0" w:line="282" w:lineRule="auto"/>
        <w:tabs>
          <w:tab w:leader="none" w:pos="152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8"/>
          <w:szCs w:val="18"/>
          <w:color w:val="auto"/>
        </w:rPr>
        <w:t>Pricing inputs that are unobservable for the assets and liabilities and include situations where there is little, if any, market activity for the assets and liabilities.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inputs into the determination of fair value require significant management judgment or estimation.</w:t>
      </w:r>
    </w:p>
    <w:p>
      <w:pPr>
        <w:spacing w:after="0" w:line="225" w:lineRule="exact"/>
        <w:rPr>
          <w:sz w:val="20"/>
          <w:szCs w:val="20"/>
          <w:color w:val="auto"/>
        </w:rPr>
      </w:pPr>
    </w:p>
    <w:p>
      <w:pPr>
        <w:ind w:right="500" w:firstLine="518"/>
        <w:spacing w:after="0" w:line="282" w:lineRule="auto"/>
        <w:rPr>
          <w:sz w:val="20"/>
          <w:szCs w:val="20"/>
          <w:color w:val="auto"/>
        </w:rPr>
      </w:pPr>
      <w:r>
        <w:rPr>
          <w:rFonts w:ascii="Times New Roman" w:cs="Times New Roman" w:eastAsia="Times New Roman" w:hAnsi="Times New Roman"/>
          <w:sz w:val="18"/>
          <w:szCs w:val="18"/>
          <w:color w:val="auto"/>
        </w:rPr>
        <w:t>The carrying amounts of cash equivalents, accounts receivable and accounts payable approximate fair value due to the short-term nature of these instruments.</w:t>
      </w:r>
    </w:p>
    <w:p>
      <w:pPr>
        <w:spacing w:after="0" w:line="162" w:lineRule="exact"/>
        <w:rPr>
          <w:sz w:val="20"/>
          <w:szCs w:val="20"/>
          <w:color w:val="auto"/>
        </w:rPr>
      </w:pPr>
    </w:p>
    <w:p>
      <w:pPr>
        <w:ind w:right="320" w:firstLine="518"/>
        <w:spacing w:after="0" w:line="282" w:lineRule="auto"/>
        <w:rPr>
          <w:sz w:val="20"/>
          <w:szCs w:val="20"/>
          <w:color w:val="auto"/>
        </w:rPr>
      </w:pPr>
      <w:r>
        <w:rPr>
          <w:rFonts w:ascii="Times New Roman" w:cs="Times New Roman" w:eastAsia="Times New Roman" w:hAnsi="Times New Roman"/>
          <w:sz w:val="18"/>
          <w:szCs w:val="18"/>
          <w:color w:val="auto"/>
        </w:rPr>
        <w:t>Refer to Note 3, “Derivative Instruments and Hedging Activities,” for further discussion regarding the fair value of the Company’s interest rate cap contracts.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Assets</w:t>
      </w:r>
    </w:p>
    <w:p>
      <w:pPr>
        <w:spacing w:after="0" w:line="227" w:lineRule="exact"/>
        <w:rPr>
          <w:sz w:val="20"/>
          <w:szCs w:val="20"/>
          <w:color w:val="auto"/>
        </w:rPr>
      </w:pPr>
    </w:p>
    <w:p>
      <w:pPr>
        <w:ind w:right="220" w:firstLine="518"/>
        <w:spacing w:after="0" w:line="282" w:lineRule="auto"/>
        <w:rPr>
          <w:sz w:val="20"/>
          <w:szCs w:val="20"/>
          <w:color w:val="auto"/>
        </w:rPr>
      </w:pPr>
      <w:r>
        <w:rPr>
          <w:rFonts w:ascii="Times New Roman" w:cs="Times New Roman" w:eastAsia="Times New Roman" w:hAnsi="Times New Roman"/>
          <w:sz w:val="18"/>
          <w:szCs w:val="18"/>
          <w:color w:val="auto"/>
        </w:rPr>
        <w:t>The fair values of the Company’s financial assets and the hierarchy of the level of inputs as of July 29, 2017, January 28, 2017 and July 30, 2016 are summarized below:</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5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5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5"/>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5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jc w:val="center"/>
              <w:ind w:right="222"/>
              <w:spacing w:after="0" w:line="145" w:lineRule="exact"/>
              <w:rPr>
                <w:sz w:val="20"/>
                <w:szCs w:val="20"/>
                <w:color w:val="auto"/>
              </w:rPr>
            </w:pPr>
            <w:r>
              <w:rPr>
                <w:rFonts w:ascii="Times New Roman" w:cs="Times New Roman" w:eastAsia="Times New Roman" w:hAnsi="Times New Roman"/>
                <w:sz w:val="14"/>
                <w:szCs w:val="14"/>
                <w:b w:val="1"/>
                <w:bCs w:val="1"/>
                <w:color w:val="auto"/>
              </w:rPr>
              <w:t>July 29,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tcPr>
          <w:p>
            <w:pPr>
              <w:jc w:val="center"/>
              <w:ind w:right="400"/>
              <w:spacing w:after="0" w:line="145" w:lineRule="exact"/>
              <w:rPr>
                <w:sz w:val="20"/>
                <w:szCs w:val="20"/>
                <w:color w:val="auto"/>
              </w:rPr>
            </w:pPr>
            <w:r>
              <w:rPr>
                <w:rFonts w:ascii="Times New Roman" w:cs="Times New Roman" w:eastAsia="Times New Roman" w:hAnsi="Times New Roman"/>
                <w:sz w:val="14"/>
                <w:szCs w:val="14"/>
                <w:b w:val="1"/>
                <w:bCs w:val="1"/>
                <w:color w:val="auto"/>
              </w:rPr>
              <w:t>January 28,</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center"/>
              <w:ind w:right="202"/>
              <w:spacing w:after="0" w:line="145" w:lineRule="exact"/>
              <w:rPr>
                <w:sz w:val="20"/>
                <w:szCs w:val="20"/>
                <w:color w:val="auto"/>
              </w:rPr>
            </w:pPr>
            <w:r>
              <w:rPr>
                <w:rFonts w:ascii="Times New Roman" w:cs="Times New Roman" w:eastAsia="Times New Roman" w:hAnsi="Times New Roman"/>
                <w:sz w:val="14"/>
                <w:szCs w:val="14"/>
                <w:b w:val="1"/>
                <w:bCs w:val="1"/>
                <w:color w:val="auto"/>
              </w:rPr>
              <w:t>July 30,</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5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520" w:type="dxa"/>
            <w:vAlign w:val="bottom"/>
            <w:vMerge w:val="continue"/>
          </w:tcPr>
          <w:p>
            <w:pPr>
              <w:spacing w:after="0"/>
              <w:rPr>
                <w:sz w:val="18"/>
                <w:szCs w:val="18"/>
                <w:color w:val="auto"/>
              </w:rPr>
            </w:pPr>
          </w:p>
        </w:tc>
        <w:tc>
          <w:tcPr>
            <w:tcW w:w="2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Level 1</w:t>
            </w:r>
          </w:p>
        </w:tc>
        <w:tc>
          <w:tcPr>
            <w:tcW w:w="2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equivalents (including restricted cash)</w:t>
            </w:r>
          </w:p>
        </w:tc>
        <w:tc>
          <w:tcPr>
            <w:tcW w:w="2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28,211</w:t>
            </w:r>
          </w:p>
        </w:tc>
        <w:tc>
          <w:tcPr>
            <w:tcW w:w="4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28,167</w:t>
            </w:r>
          </w:p>
        </w:tc>
        <w:tc>
          <w:tcPr>
            <w:tcW w:w="22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28,139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5"/>
        </w:trPr>
        <w:tc>
          <w:tcPr>
            <w:tcW w:w="4520" w:type="dxa"/>
            <w:vAlign w:val="bottom"/>
          </w:tcPr>
          <w:p>
            <w:pPr>
              <w:spacing w:after="0"/>
              <w:rPr>
                <w:sz w:val="24"/>
                <w:szCs w:val="24"/>
                <w:color w:val="auto"/>
              </w:rPr>
            </w:pPr>
          </w:p>
        </w:tc>
        <w:tc>
          <w:tcPr>
            <w:tcW w:w="226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2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i w:val="1"/>
          <w:iCs w:val="1"/>
          <w:color w:val="auto"/>
        </w:rPr>
        <w:t>Long-Lived Assets</w:t>
      </w:r>
    </w:p>
    <w:p>
      <w:pPr>
        <w:spacing w:after="0" w:line="119" w:lineRule="exact"/>
        <w:rPr>
          <w:sz w:val="20"/>
          <w:szCs w:val="20"/>
          <w:color w:val="auto"/>
        </w:rPr>
      </w:pPr>
    </w:p>
    <w:p>
      <w:pPr>
        <w:ind w:right="60" w:firstLine="518"/>
        <w:spacing w:after="0" w:line="253" w:lineRule="auto"/>
        <w:rPr>
          <w:sz w:val="20"/>
          <w:szCs w:val="20"/>
          <w:color w:val="auto"/>
        </w:rPr>
      </w:pPr>
      <w:r>
        <w:rPr>
          <w:rFonts w:ascii="Times New Roman" w:cs="Times New Roman" w:eastAsia="Times New Roman" w:hAnsi="Times New Roman"/>
          <w:sz w:val="18"/>
          <w:szCs w:val="18"/>
          <w:color w:val="auto"/>
        </w:rPr>
        <w:t>Long-lived assets are measured at fair value on a non-recurring basis for purposes of calculating impairment using the fair value hierarchy of Topic No. 820. The fair value of the Company’s long-lived assets is generally calculated using discounted cash flows. During the six month period ended July 29, 2017, the Company recorded impairment charges of $1.0 million, primarily related to declines in revenues and operating results for one leased store and a decline in the appraised fair value of one of the Company’s owned stores. These costs were recorded in the line item “Impairment charges – long-lived assets” in the Company’s Condensed Consolidated Statements of Income. One of the stores impaired during the six month period ended July 29, 2017 was fully impaired and therefore had zero fair value as of July 29, 2017, and would be categorized as Level 3 in the fair value hierarchy described above. The table below sets forth the aggregate impairment charges and the remaining fair value, by level within the fair value hierarchy, of the partially-impaired owned store as of July 29, 2017:</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5280" w:type="dxa"/>
            <w:vAlign w:val="bottom"/>
          </w:tcPr>
          <w:p>
            <w:pPr>
              <w:spacing w:after="0"/>
              <w:rPr>
                <w:sz w:val="11"/>
                <w:szCs w:val="11"/>
                <w:color w:val="auto"/>
              </w:rPr>
            </w:pPr>
          </w:p>
        </w:tc>
        <w:tc>
          <w:tcPr>
            <w:tcW w:w="102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80" w:type="dxa"/>
            <w:vAlign w:val="bottom"/>
          </w:tcPr>
          <w:p>
            <w:pPr>
              <w:spacing w:after="0"/>
              <w:rPr>
                <w:sz w:val="11"/>
                <w:szCs w:val="11"/>
                <w:color w:val="auto"/>
              </w:rPr>
            </w:pPr>
          </w:p>
        </w:tc>
        <w:tc>
          <w:tcPr>
            <w:tcW w:w="116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Un-</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8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8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20" w:type="dxa"/>
            <w:vAlign w:val="bottom"/>
          </w:tcPr>
          <w:p>
            <w:pPr>
              <w:spacing w:after="0"/>
              <w:rPr>
                <w:sz w:val="12"/>
                <w:szCs w:val="12"/>
                <w:color w:val="auto"/>
              </w:rPr>
            </w:pPr>
          </w:p>
        </w:tc>
        <w:tc>
          <w:tcPr>
            <w:tcW w:w="10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Impairment</w:t>
            </w:r>
          </w:p>
        </w:tc>
        <w:tc>
          <w:tcPr>
            <w:tcW w:w="0" w:type="dxa"/>
            <w:vAlign w:val="bottom"/>
          </w:tcPr>
          <w:p>
            <w:pPr>
              <w:spacing w:after="0"/>
              <w:rPr>
                <w:sz w:val="1"/>
                <w:szCs w:val="1"/>
                <w:color w:val="auto"/>
              </w:rPr>
            </w:pPr>
          </w:p>
        </w:tc>
      </w:tr>
      <w:tr>
        <w:trPr>
          <w:trHeight w:val="173"/>
        </w:trPr>
        <w:tc>
          <w:tcPr>
            <w:tcW w:w="5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0" w:type="dxa"/>
            <w:vAlign w:val="bottom"/>
          </w:tcPr>
          <w:p>
            <w:pPr>
              <w:spacing w:after="0"/>
              <w:rPr>
                <w:sz w:val="15"/>
                <w:szCs w:val="15"/>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22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Land</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Buildings</w:t>
            </w:r>
          </w:p>
        </w:tc>
        <w:tc>
          <w:tcPr>
            <w:tcW w:w="120" w:type="dxa"/>
            <w:vAlign w:val="bottom"/>
          </w:tcPr>
          <w:p>
            <w:pPr>
              <w:spacing w:after="0"/>
              <w:rPr>
                <w:sz w:val="19"/>
                <w:szCs w:val="19"/>
                <w:color w:val="auto"/>
              </w:rPr>
            </w:pPr>
          </w:p>
        </w:tc>
        <w:tc>
          <w:tcPr>
            <w:tcW w:w="90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Store fixtures and equipment</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20" w:type="dxa"/>
            <w:vAlign w:val="bottom"/>
          </w:tcPr>
          <w:p>
            <w:pPr>
              <w:spacing w:after="0"/>
              <w:rPr>
                <w:sz w:val="19"/>
                <w:szCs w:val="19"/>
                <w:color w:val="auto"/>
              </w:rPr>
            </w:pPr>
          </w:p>
        </w:tc>
        <w:tc>
          <w:tcPr>
            <w:tcW w:w="90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Non-financial Assets</w:t>
      </w:r>
    </w:p>
    <w:p>
      <w:pPr>
        <w:spacing w:after="0" w:line="227" w:lineRule="exact"/>
        <w:rPr>
          <w:sz w:val="20"/>
          <w:szCs w:val="20"/>
          <w:color w:val="auto"/>
        </w:rPr>
      </w:pPr>
    </w:p>
    <w:p>
      <w:pPr>
        <w:ind w:right="280" w:firstLine="518"/>
        <w:spacing w:after="0" w:line="282" w:lineRule="auto"/>
        <w:rPr>
          <w:sz w:val="20"/>
          <w:szCs w:val="20"/>
          <w:color w:val="auto"/>
        </w:rPr>
      </w:pPr>
      <w:r>
        <w:rPr>
          <w:rFonts w:ascii="Times New Roman" w:cs="Times New Roman" w:eastAsia="Times New Roman" w:hAnsi="Times New Roman"/>
          <w:sz w:val="18"/>
          <w:szCs w:val="18"/>
          <w:color w:val="auto"/>
        </w:rPr>
        <w:t>Long-lived assets are measured at fair value on a non-recurring basis for purposes of calculating impairment using the fair value hierarchy. The fair value of the Company’s long-lived assets is generally calculated using discounted cash flows.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Liabilities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fair values of the Company’s financial liabilities are summarized below:</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4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20" w:type="dxa"/>
            <w:vAlign w:val="bottom"/>
            <w:gridSpan w:val="4"/>
          </w:tcPr>
          <w:p>
            <w:pPr>
              <w:jc w:val="right"/>
              <w:ind w:right="517"/>
              <w:spacing w:after="0" w:line="155" w:lineRule="exact"/>
              <w:rPr>
                <w:sz w:val="20"/>
                <w:szCs w:val="20"/>
                <w:color w:val="auto"/>
              </w:rPr>
            </w:pPr>
            <w:r>
              <w:rPr>
                <w:rFonts w:ascii="Times New Roman" w:cs="Times New Roman" w:eastAsia="Times New Roman" w:hAnsi="Times New Roman"/>
                <w:sz w:val="14"/>
                <w:szCs w:val="14"/>
                <w:b w:val="1"/>
                <w:bCs w:val="1"/>
                <w:color w:val="auto"/>
              </w:rPr>
              <w:t>July 29, 2017</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20" w:type="dxa"/>
            <w:vAlign w:val="bottom"/>
            <w:gridSpan w:val="5"/>
          </w:tcPr>
          <w:p>
            <w:pPr>
              <w:jc w:val="center"/>
              <w:ind w:right="360"/>
              <w:spacing w:after="0" w:line="155" w:lineRule="exact"/>
              <w:rPr>
                <w:sz w:val="20"/>
                <w:szCs w:val="20"/>
                <w:color w:val="auto"/>
              </w:rPr>
            </w:pPr>
            <w:r>
              <w:rPr>
                <w:rFonts w:ascii="Times New Roman" w:cs="Times New Roman" w:eastAsia="Times New Roman" w:hAnsi="Times New Roman"/>
                <w:sz w:val="14"/>
                <w:szCs w:val="14"/>
                <w:b w:val="1"/>
                <w:bCs w:val="1"/>
                <w:color w:val="auto"/>
              </w:rPr>
              <w:t>January 28, 2017</w:t>
            </w:r>
          </w:p>
        </w:tc>
        <w:tc>
          <w:tcPr>
            <w:tcW w:w="120" w:type="dxa"/>
            <w:vAlign w:val="bottom"/>
          </w:tcPr>
          <w:p>
            <w:pPr>
              <w:spacing w:after="0"/>
              <w:rPr>
                <w:sz w:val="13"/>
                <w:szCs w:val="13"/>
                <w:color w:val="auto"/>
              </w:rPr>
            </w:pPr>
          </w:p>
        </w:tc>
        <w:tc>
          <w:tcPr>
            <w:tcW w:w="1940" w:type="dxa"/>
            <w:vAlign w:val="bottom"/>
            <w:gridSpan w:val="4"/>
          </w:tcPr>
          <w:p>
            <w:pPr>
              <w:jc w:val="right"/>
              <w:ind w:right="557"/>
              <w:spacing w:after="0" w:line="155" w:lineRule="exact"/>
              <w:rPr>
                <w:sz w:val="20"/>
                <w:szCs w:val="20"/>
                <w:color w:val="auto"/>
              </w:rPr>
            </w:pPr>
            <w:r>
              <w:rPr>
                <w:rFonts w:ascii="Times New Roman" w:cs="Times New Roman" w:eastAsia="Times New Roman" w:hAnsi="Times New Roman"/>
                <w:sz w:val="14"/>
                <w:szCs w:val="14"/>
                <w:b w:val="1"/>
                <w:bCs w:val="1"/>
                <w:color w:val="auto"/>
              </w:rPr>
              <w:t>July 30, 2016</w:t>
            </w:r>
          </w:p>
        </w:tc>
        <w:tc>
          <w:tcPr>
            <w:tcW w:w="100" w:type="dxa"/>
            <w:vAlign w:val="bottom"/>
          </w:tcPr>
          <w:p>
            <w:pPr>
              <w:spacing w:after="0"/>
              <w:rPr>
                <w:sz w:val="13"/>
                <w:szCs w:val="13"/>
                <w:color w:val="auto"/>
              </w:rPr>
            </w:pPr>
          </w:p>
        </w:tc>
      </w:tr>
      <w:tr>
        <w:trPr>
          <w:trHeight w:val="131"/>
        </w:trPr>
        <w:tc>
          <w:tcPr>
            <w:tcW w:w="4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Borders>
              <w:top w:val="single" w:sz="8" w:color="auto"/>
            </w:tcBorders>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237"/>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jc w:val="center"/>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center"/>
              <w:ind w:right="37"/>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97"/>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ind w:right="77"/>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1"/>
                <w:szCs w:val="11"/>
                <w:color w:val="auto"/>
              </w:rPr>
            </w:pPr>
          </w:p>
        </w:tc>
      </w:tr>
      <w:tr>
        <w:trPr>
          <w:trHeight w:val="173"/>
        </w:trPr>
        <w:tc>
          <w:tcPr>
            <w:tcW w:w="4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 (b)</w:t>
            </w:r>
          </w:p>
        </w:tc>
        <w:tc>
          <w:tcPr>
            <w:tcW w:w="120" w:type="dxa"/>
            <w:vAlign w:val="bottom"/>
          </w:tcPr>
          <w:p>
            <w:pPr>
              <w:spacing w:after="0"/>
              <w:rPr>
                <w:sz w:val="15"/>
                <w:szCs w:val="15"/>
                <w:color w:val="auto"/>
              </w:rPr>
            </w:pPr>
          </w:p>
        </w:tc>
        <w:tc>
          <w:tcPr>
            <w:tcW w:w="78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Value (b)</w:t>
            </w:r>
          </w:p>
        </w:tc>
        <w:tc>
          <w:tcPr>
            <w:tcW w:w="220" w:type="dxa"/>
            <w:vAlign w:val="bottom"/>
          </w:tcPr>
          <w:p>
            <w:pPr>
              <w:spacing w:after="0"/>
              <w:rPr>
                <w:sz w:val="15"/>
                <w:szCs w:val="15"/>
                <w:color w:val="auto"/>
              </w:rPr>
            </w:pPr>
          </w:p>
        </w:tc>
        <w:tc>
          <w:tcPr>
            <w:tcW w:w="11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 (b)</w:t>
            </w:r>
          </w:p>
        </w:tc>
        <w:tc>
          <w:tcPr>
            <w:tcW w:w="120" w:type="dxa"/>
            <w:vAlign w:val="bottom"/>
          </w:tcPr>
          <w:p>
            <w:pPr>
              <w:spacing w:after="0"/>
              <w:rPr>
                <w:sz w:val="15"/>
                <w:szCs w:val="15"/>
                <w:color w:val="auto"/>
              </w:rPr>
            </w:pPr>
          </w:p>
        </w:tc>
        <w:tc>
          <w:tcPr>
            <w:tcW w:w="10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Value (b)</w:t>
            </w:r>
          </w:p>
        </w:tc>
        <w:tc>
          <w:tcPr>
            <w:tcW w:w="900" w:type="dxa"/>
            <w:vAlign w:val="bottom"/>
            <w:gridSpan w:val="2"/>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Amount (b)</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Value (b)</w:t>
            </w:r>
          </w:p>
        </w:tc>
      </w:tr>
      <w:tr>
        <w:trPr>
          <w:trHeight w:val="205"/>
        </w:trPr>
        <w:tc>
          <w:tcPr>
            <w:tcW w:w="4680" w:type="dxa"/>
            <w:vAlign w:val="bottom"/>
            <w:tcBorders>
              <w:top w:val="single" w:sz="8" w:color="CFF0FC"/>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$1,200,000 senior secured term loan facility (Term B-4 Loans),</w:t>
            </w:r>
          </w:p>
        </w:tc>
        <w:tc>
          <w:tcPr>
            <w:tcW w:w="100" w:type="dxa"/>
            <w:vAlign w:val="bottom"/>
            <w:tcBorders>
              <w:top w:val="single" w:sz="8" w:color="CFF0FC"/>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16"/>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LIBOR (with a floor of 0.75%) plus 2.75%, matures on August</w:t>
            </w: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13, 2021</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$ 1,112,588</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1,119,078</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1,112,044</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1,116,678</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1,111,500</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1,113,353</w:t>
            </w:r>
          </w:p>
        </w:tc>
        <w:tc>
          <w:tcPr>
            <w:tcW w:w="100" w:type="dxa"/>
            <w:vAlign w:val="bottom"/>
            <w:shd w:val="clear" w:color="auto" w:fill="CFF0FC"/>
          </w:tcPr>
          <w:p>
            <w:pPr>
              <w:spacing w:after="0"/>
              <w:rPr>
                <w:sz w:val="20"/>
                <w:szCs w:val="20"/>
                <w:color w:val="auto"/>
              </w:rPr>
            </w:pPr>
          </w:p>
        </w:tc>
      </w:tr>
      <w:tr>
        <w:trPr>
          <w:trHeight w:val="211"/>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$600,000 ABL senior secured revolving facility, LIBOR plus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spread based on average outstanding balance, matures on</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August 13, 2019(a)</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147,400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147,400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223,300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223,300</w:t>
            </w:r>
          </w:p>
        </w:tc>
        <w:tc>
          <w:tcPr>
            <w:tcW w:w="100" w:type="dxa"/>
            <w:vAlign w:val="bottom"/>
          </w:tcPr>
          <w:p>
            <w:pPr>
              <w:spacing w:after="0"/>
              <w:rPr>
                <w:sz w:val="20"/>
                <w:szCs w:val="20"/>
                <w:color w:val="auto"/>
              </w:rPr>
            </w:pPr>
          </w:p>
        </w:tc>
      </w:tr>
      <w:tr>
        <w:trPr>
          <w:trHeight w:val="223"/>
        </w:trPr>
        <w:tc>
          <w:tcPr>
            <w:tcW w:w="46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debt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$ 1,259,988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1,266,478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1,112,044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1,116,678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1,334,800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1,336,653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ind w:left="520" w:right="40" w:hanging="512"/>
        <w:spacing w:after="0" w:line="261"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Company has any outstanding borrowings under the ABL Line of Credit, the fair value would approximate its reported value because the interest rate is variable and reflects current market rates due to its short term nature (borrowings are typically done in 30 day increments).</w:t>
      </w:r>
    </w:p>
    <w:p>
      <w:pPr>
        <w:ind w:left="520" w:hanging="512"/>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lease obligations are excluded from the table above.</w:t>
      </w:r>
    </w:p>
    <w:p>
      <w:pPr>
        <w:spacing w:after="0" w:line="207" w:lineRule="exact"/>
        <w:rPr>
          <w:sz w:val="20"/>
          <w:szCs w:val="20"/>
          <w:color w:val="auto"/>
        </w:rPr>
      </w:pPr>
    </w:p>
    <w:p>
      <w:pPr>
        <w:ind w:right="160" w:firstLine="518"/>
        <w:spacing w:after="0" w:line="282" w:lineRule="auto"/>
        <w:rPr>
          <w:sz w:val="20"/>
          <w:szCs w:val="20"/>
          <w:color w:val="auto"/>
        </w:rPr>
      </w:pPr>
      <w:r>
        <w:rPr>
          <w:rFonts w:ascii="Times New Roman" w:cs="Times New Roman" w:eastAsia="Times New Roman" w:hAnsi="Times New Roman"/>
          <w:sz w:val="18"/>
          <w:szCs w:val="18"/>
          <w:color w:val="auto"/>
        </w:rPr>
        <w:t>The fair values presented herein are based on pertinent information available to management as of the respective period end dates. The estimated fair values of the Company’s debt are classified as Level 2 in the fair value hierarchy.</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Income Taxes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Net deferred taxes are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5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35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ind w:right="217"/>
              <w:spacing w:after="0" w:line="145" w:lineRule="exact"/>
              <w:rPr>
                <w:sz w:val="20"/>
                <w:szCs w:val="20"/>
                <w:color w:val="auto"/>
              </w:rPr>
            </w:pPr>
            <w:r>
              <w:rPr>
                <w:rFonts w:ascii="Times New Roman" w:cs="Times New Roman" w:eastAsia="Times New Roman" w:hAnsi="Times New Roman"/>
                <w:sz w:val="14"/>
                <w:szCs w:val="14"/>
                <w:b w:val="1"/>
                <w:bCs w:val="1"/>
                <w:color w:val="auto"/>
              </w:rPr>
              <w:t>July 29,</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b w:val="1"/>
                <w:bCs w:val="1"/>
                <w:color w:val="auto"/>
              </w:rPr>
              <w:t>January 28,</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ind w:right="237"/>
              <w:spacing w:after="0" w:line="145" w:lineRule="exact"/>
              <w:rPr>
                <w:sz w:val="20"/>
                <w:szCs w:val="20"/>
                <w:color w:val="auto"/>
              </w:rPr>
            </w:pPr>
            <w:r>
              <w:rPr>
                <w:rFonts w:ascii="Times New Roman" w:cs="Times New Roman" w:eastAsia="Times New Roman" w:hAnsi="Times New Roman"/>
                <w:sz w:val="14"/>
                <w:szCs w:val="14"/>
                <w:b w:val="1"/>
                <w:bCs w:val="1"/>
                <w:color w:val="auto"/>
              </w:rPr>
              <w:t>July 30,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Deferred tax asset</w:t>
            </w:r>
          </w:p>
        </w:tc>
        <w:tc>
          <w:tcPr>
            <w:tcW w:w="18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2017</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2017</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2016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580" w:type="dxa"/>
            <w:vAlign w:val="bottom"/>
            <w:vMerge w:val="continue"/>
          </w:tcPr>
          <w:p>
            <w:pPr>
              <w:spacing w:after="0"/>
              <w:rPr>
                <w:sz w:val="19"/>
                <w:szCs w:val="19"/>
                <w:color w:val="auto"/>
              </w:rPr>
            </w:pPr>
          </w:p>
        </w:tc>
        <w:tc>
          <w:tcPr>
            <w:tcW w:w="1820" w:type="dxa"/>
            <w:vAlign w:val="bottom"/>
          </w:tcPr>
          <w:p>
            <w:pPr>
              <w:spacing w:after="0"/>
              <w:rPr>
                <w:sz w:val="19"/>
                <w:szCs w:val="19"/>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7,282</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18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218,038</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207,935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195,175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1820" w:type="dxa"/>
            <w:vAlign w:val="bottom"/>
          </w:tcPr>
          <w:p>
            <w:pPr>
              <w:spacing w:after="0"/>
              <w:rPr>
                <w:sz w:val="19"/>
                <w:szCs w:val="19"/>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210,756</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199,962</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195,175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43" w:right="2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3" w:right="239" w:bottom="1440" w:gutter="0" w:footer="0" w:header="0"/>
          <w:type w:val="continuous"/>
        </w:sectPr>
      </w:pPr>
    </w:p>
    <w:bookmarkStart w:id="12" w:name="page13"/>
    <w:bookmarkEnd w:id="12"/>
    <w:p>
      <w:pPr>
        <w:ind w:right="260" w:firstLine="518"/>
        <w:spacing w:after="0" w:line="282" w:lineRule="auto"/>
        <w:rPr>
          <w:sz w:val="20"/>
          <w:szCs w:val="20"/>
          <w:color w:val="auto"/>
        </w:rPr>
      </w:pPr>
      <w:r>
        <w:rPr>
          <w:rFonts w:ascii="Times New Roman" w:cs="Times New Roman" w:eastAsia="Times New Roman" w:hAnsi="Times New Roman"/>
          <w:sz w:val="18"/>
          <w:szCs w:val="18"/>
          <w:color w:val="auto"/>
        </w:rPr>
        <w:t>Deferred tax assets relate to Puerto Rico deferred balances that have a net future benefit for tax purposes. Deferred tax liabilities primarily relate to intangible assets and depreciation expense where the Company has a future obligation for tax purposes.</w:t>
      </w:r>
    </w:p>
    <w:p>
      <w:pPr>
        <w:spacing w:after="0" w:line="162"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As of July 29, 2017, January 28, 2017 and July 30, 2016, valuation allowances amounted to $7.0 million, $7.4 million and $7.6 million, respectively, related to state tax net operating losses and state tax credit carry forwards. The Company believes that it is more likely than not that a portion of the benefit of these state tax net operating losses and state tax credit carry forwards will not be realized. As of July 29, 2017, the Company had $6.1 million of deferred tax assets recorded for state net operating losses, which will expire between 2017 and 2037. In addition, there was no valuation allowance required against the tax benefit associated with Puerto Rico deferred tax assets as of July 29, 2017 and January 28, 2017 compared to a full valuation allowance of $6.2 million as of July 30, 2016.</w:t>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Capital Stock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Treasury Stock</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accounts for treasury stock under the cost method.</w:t>
      </w:r>
    </w:p>
    <w:p>
      <w:pPr>
        <w:spacing w:after="0" w:line="117" w:lineRule="exact"/>
        <w:rPr>
          <w:sz w:val="20"/>
          <w:szCs w:val="20"/>
          <w:color w:val="auto"/>
        </w:rPr>
      </w:pPr>
    </w:p>
    <w:p>
      <w:pPr>
        <w:ind w:right="380" w:firstLine="518"/>
        <w:spacing w:after="0" w:line="282" w:lineRule="auto"/>
        <w:rPr>
          <w:sz w:val="20"/>
          <w:szCs w:val="20"/>
          <w:color w:val="auto"/>
        </w:rPr>
      </w:pPr>
      <w:r>
        <w:rPr>
          <w:rFonts w:ascii="Times New Roman" w:cs="Times New Roman" w:eastAsia="Times New Roman" w:hAnsi="Times New Roman"/>
          <w:sz w:val="18"/>
          <w:szCs w:val="18"/>
          <w:color w:val="auto"/>
        </w:rPr>
        <w:t>During the six month period ended July 29, 2017, the Company acquired 35,882 shares of common stock from employees for approximately $3.4 million to satisfy their minimum statutory tax withholdings related to the vesting of restricted stock awards.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Programs</w:t>
      </w:r>
    </w:p>
    <w:p>
      <w:pPr>
        <w:spacing w:after="0" w:line="119"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During the six month period ended July 29, 2017, the Company repurchased 1,744,615 shares of its common stock for $160.8 million, inclusive of commissions, under the share repurchase program approved the by the Company’s Board of Directors in November 2016, which is funded using the Company’s available cash and is authorized to be executed through November 2018. The amount repurchased during the six month period ended July 29, 2017 was recorded in the line item “Treasury stock” on the Company’s Condensed Consolidated Balance Sheets. As of July 29, 2017, the Company had $38.8 million available for purchase under this share repurchase program.</w:t>
      </w:r>
    </w:p>
    <w:p>
      <w:pPr>
        <w:spacing w:after="0" w:line="76"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On August 16, 2017, the Company’s Board of Directors approved the repurchase of up to an additional $300 million of the Company’s common stock. This new repurchase program, which is in addition to the share repurchase program approved by the Company’s Board of Directors in November 2016, is authorized to be executed through August 2019.</w:t>
      </w:r>
    </w:p>
    <w:p>
      <w:pPr>
        <w:spacing w:after="0" w:line="68"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The Company is authorized to repurchase, from time to time, shares of its outstanding common stock on the open market or in privately negotiated transactions under its repurchase programs. The timing and amount of stock repurchases will depend on a variety of factors, including the market conditions as well as corporate and regulatory considerations. The share repurchase programs may be suspended, modified or discontinued at any time and the Company has no obligation to repurchase any amount of the Company’s common stock under the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8. Net Income Per Share</w:t>
      </w:r>
    </w:p>
    <w:p>
      <w:pPr>
        <w:spacing w:after="0" w:line="121" w:lineRule="exact"/>
        <w:rPr>
          <w:sz w:val="20"/>
          <w:szCs w:val="20"/>
          <w:color w:val="auto"/>
        </w:rPr>
      </w:pPr>
    </w:p>
    <w:p>
      <w:pPr>
        <w:ind w:right="80" w:firstLine="518"/>
        <w:spacing w:after="0" w:line="266" w:lineRule="auto"/>
        <w:rPr>
          <w:sz w:val="20"/>
          <w:szCs w:val="20"/>
          <w:color w:val="auto"/>
        </w:rPr>
      </w:pPr>
      <w:r>
        <w:rPr>
          <w:rFonts w:ascii="Times New Roman" w:cs="Times New Roman" w:eastAsia="Times New Roman" w:hAnsi="Times New Roman"/>
          <w:sz w:val="18"/>
          <w:szCs w:val="18"/>
          <w:color w:val="auto"/>
        </w:rPr>
        <w:t>Basic net income per share is calculated by dividing net income by the weighted-average number of common shares outstanding. Dilutive net income per share is calculated by dividing net income by the weighted-average number of common shares and potentially dilutive securities outstanding during the period using the treasury stock method.</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92"/>
        </w:trPr>
        <w:tc>
          <w:tcPr>
            <w:tcW w:w="4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gridSpan w:val="10"/>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 share data)</w:t>
            </w: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gridSpan w:val="5"/>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gridSpan w:val="6"/>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4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gridSpan w:val="5"/>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gridSpan w:val="5"/>
          </w:tcPr>
          <w:p>
            <w:pPr>
              <w:jc w:val="right"/>
              <w:ind w:right="174"/>
              <w:spacing w:after="0" w:line="155" w:lineRule="exact"/>
              <w:rPr>
                <w:sz w:val="20"/>
                <w:szCs w:val="20"/>
                <w:color w:val="auto"/>
              </w:rPr>
            </w:pPr>
            <w:r>
              <w:rPr>
                <w:rFonts w:ascii="Times New Roman" w:cs="Times New Roman" w:eastAsia="Times New Roman" w:hAnsi="Times New Roman"/>
                <w:sz w:val="14"/>
                <w:szCs w:val="14"/>
                <w:b w:val="1"/>
                <w:bCs w:val="1"/>
                <w:color w:val="auto"/>
              </w:rPr>
              <w:t>Six Months Ended</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July 29,</w:t>
            </w: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54"/>
              <w:spacing w:after="0" w:line="145" w:lineRule="exact"/>
              <w:rPr>
                <w:sz w:val="20"/>
                <w:szCs w:val="20"/>
                <w:color w:val="auto"/>
              </w:rPr>
            </w:pPr>
            <w:r>
              <w:rPr>
                <w:rFonts w:ascii="Times New Roman" w:cs="Times New Roman" w:eastAsia="Times New Roman" w:hAnsi="Times New Roman"/>
                <w:sz w:val="14"/>
                <w:szCs w:val="14"/>
                <w:b w:val="1"/>
                <w:bCs w:val="1"/>
                <w:color w:val="auto"/>
              </w:rPr>
              <w:t>July 30,</w:t>
            </w: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July 29,</w:t>
            </w: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54"/>
              <w:spacing w:after="0" w:line="145" w:lineRule="exact"/>
              <w:rPr>
                <w:sz w:val="20"/>
                <w:szCs w:val="20"/>
                <w:color w:val="auto"/>
              </w:rPr>
            </w:pPr>
            <w:r>
              <w:rPr>
                <w:rFonts w:ascii="Times New Roman" w:cs="Times New Roman" w:eastAsia="Times New Roman" w:hAnsi="Times New Roman"/>
                <w:sz w:val="14"/>
                <w:szCs w:val="14"/>
                <w:b w:val="1"/>
                <w:bCs w:val="1"/>
                <w:color w:val="auto"/>
                <w:w w:val="98"/>
              </w:rPr>
              <w:t>July 30,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43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Basic net income per share</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46,902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20,394</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99,270</w:t>
            </w:r>
          </w:p>
        </w:tc>
        <w:tc>
          <w:tcPr>
            <w:tcW w:w="16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57,908</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40" w:type="dxa"/>
            <w:vAlign w:val="bottom"/>
            <w:tcBorders>
              <w:top w:val="single" w:sz="8" w:color="CFF0FC"/>
              <w:bottom w:val="single" w:sz="8" w:color="CFF0FC"/>
            </w:tcBorders>
            <w:vMerge w:val="restart"/>
          </w:tcPr>
          <w:p>
            <w:pPr>
              <w:ind w:left="240"/>
              <w:spacing w:after="0"/>
              <w:rPr>
                <w:sz w:val="20"/>
                <w:szCs w:val="20"/>
                <w:color w:val="auto"/>
              </w:rPr>
            </w:pPr>
            <w:r>
              <w:rPr>
                <w:rFonts w:ascii="Times New Roman" w:cs="Times New Roman" w:eastAsia="Times New Roman" w:hAnsi="Times New Roman"/>
                <w:sz w:val="18"/>
                <w:szCs w:val="18"/>
                <w:color w:val="auto"/>
              </w:rPr>
              <w:t>Weighted average number of common shares – basic</w:t>
            </w: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FF0FC"/>
            </w:tcBorders>
            <w:vMerge w:val="continue"/>
          </w:tcPr>
          <w:p>
            <w:pPr>
              <w:spacing w:after="0"/>
              <w:rPr>
                <w:sz w:val="21"/>
                <w:szCs w:val="21"/>
                <w:color w:val="auto"/>
              </w:rPr>
            </w:pP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68,807</w:t>
            </w: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70,757</w:t>
            </w:r>
          </w:p>
        </w:tc>
        <w:tc>
          <w:tcPr>
            <w:tcW w:w="14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69,070</w:t>
            </w:r>
          </w:p>
        </w:tc>
        <w:tc>
          <w:tcPr>
            <w:tcW w:w="16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70,962</w:t>
            </w:r>
          </w:p>
        </w:tc>
        <w:tc>
          <w:tcPr>
            <w:tcW w:w="6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3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income per common share – basic</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6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Diluted net income per share</w:t>
            </w: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46,902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20,394</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99,270</w:t>
            </w:r>
          </w:p>
        </w:tc>
        <w:tc>
          <w:tcPr>
            <w:tcW w:w="16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57,908</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4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color w:val="auto"/>
              </w:rPr>
              <w:t>Shares for basic and diluted net income per share:</w:t>
            </w: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Weighted average number of common shares – basic</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68,807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70,757</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69,070</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70,962</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Assumed exercise of stock options and vesting of</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4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restricted stock</w:t>
            </w:r>
          </w:p>
        </w:tc>
        <w:tc>
          <w:tcPr>
            <w:tcW w:w="16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16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14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2,083</w:t>
            </w:r>
          </w:p>
        </w:tc>
        <w:tc>
          <w:tcPr>
            <w:tcW w:w="16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6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3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Weighted average number of common shares – diluted</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70,801</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71,987</w:t>
            </w:r>
          </w:p>
        </w:tc>
        <w:tc>
          <w:tcPr>
            <w:tcW w:w="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71,153</w:t>
            </w:r>
          </w:p>
        </w:tc>
        <w:tc>
          <w:tcPr>
            <w:tcW w:w="1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72,205</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Net income per common share – diluted</w:t>
            </w:r>
          </w:p>
        </w:tc>
        <w:tc>
          <w:tcPr>
            <w:tcW w:w="2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0" w:firstLine="518"/>
        <w:spacing w:after="0" w:line="282" w:lineRule="auto"/>
        <w:rPr>
          <w:sz w:val="20"/>
          <w:szCs w:val="20"/>
          <w:color w:val="auto"/>
        </w:rPr>
      </w:pPr>
      <w:r>
        <w:rPr>
          <w:rFonts w:ascii="Times New Roman" w:cs="Times New Roman" w:eastAsia="Times New Roman" w:hAnsi="Times New Roman"/>
          <w:sz w:val="18"/>
          <w:szCs w:val="18"/>
          <w:color w:val="auto"/>
        </w:rPr>
        <w:t>Approximately 170,000 and less than 100,000 shares were excluded from diluted net income per share for the three and six month periods ended July 29, 2017, respectively, since their effect was anti-dilutive.</w:t>
      </w:r>
    </w:p>
    <w:p>
      <w:pPr>
        <w:spacing w:after="0" w:line="162" w:lineRule="exact"/>
        <w:rPr>
          <w:sz w:val="20"/>
          <w:szCs w:val="20"/>
          <w:color w:val="auto"/>
        </w:rPr>
      </w:pPr>
    </w:p>
    <w:p>
      <w:pPr>
        <w:ind w:right="40" w:firstLine="518"/>
        <w:spacing w:after="0" w:line="282" w:lineRule="auto"/>
        <w:rPr>
          <w:sz w:val="20"/>
          <w:szCs w:val="20"/>
          <w:color w:val="auto"/>
        </w:rPr>
      </w:pPr>
      <w:r>
        <w:rPr>
          <w:rFonts w:ascii="Times New Roman" w:cs="Times New Roman" w:eastAsia="Times New Roman" w:hAnsi="Times New Roman"/>
          <w:sz w:val="18"/>
          <w:szCs w:val="18"/>
          <w:color w:val="auto"/>
        </w:rPr>
        <w:t>Approximately 170,000 and 145,000 shares were excluded from diluted net income per share for the three and six month periods ended July 30, 2016, respectively, since their effect was anti-dilutive.</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Stock-Based Compensation</w:t>
      </w:r>
    </w:p>
    <w:p>
      <w:pPr>
        <w:spacing w:after="0" w:line="12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As of July 29, 2017, there were 5,007,307 shares of common stock available for issuance under the Company’s 2013 Omnibus Incentive Plan (the 2013 Plan). On May 17, 2017, the Company’s stockholders approved an amendment and restatement of the 2013 Plan (the Amended Plan). Among other changes, the Amended Plan includes a new method of reducing the plan’s share reserve, commonly referred to as “fungible share” counting. Under this method, restricted stock units, performance awards or other stock-based awards (collectively, Full Value Awards), reduce the share reserve at a ratio of 2 shares for every share subject to the full value award. Prior to the amendment, Full Value Awards reduced the share reserve on a 1-for-1 basis. Stock options and stock appreciation rights continue to reduce the share reserve on a 1-for-1 basis under the Amended Plan. A description of the terms and conditions of the Amended Plan is set forth in the Company’s definitive proxy statement on Schedule 14A filed with the Securities and Exchange Commission on March 31, 2017.</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Non-cash stock compensation expense is as follows:</w:t>
      </w:r>
    </w:p>
    <w:p>
      <w:pPr>
        <w:spacing w:after="0" w:line="84" w:lineRule="exact"/>
        <w:rPr>
          <w:sz w:val="20"/>
          <w:szCs w:val="20"/>
          <w:color w:val="auto"/>
        </w:rPr>
      </w:pPr>
    </w:p>
    <w:tbl>
      <w:tblPr>
        <w:tblLayout w:type="fixed"/>
        <w:tblInd w:w="1720" w:type="dxa"/>
        <w:tblCellMar>
          <w:top w:w="0" w:type="dxa"/>
          <w:left w:w="0" w:type="dxa"/>
          <w:bottom w:w="0" w:type="dxa"/>
          <w:right w:w="0" w:type="dxa"/>
        </w:tblCellMar>
      </w:tblPr>
      <w:tr>
        <w:trPr>
          <w:trHeight w:val="173"/>
        </w:trPr>
        <w:tc>
          <w:tcPr>
            <w:tcW w:w="3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6"/>
        </w:trPr>
        <w:tc>
          <w:tcPr>
            <w:tcW w:w="3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20" w:type="dxa"/>
            <w:vAlign w:val="bottom"/>
            <w:gridSpan w:val="5"/>
          </w:tcPr>
          <w:p>
            <w:pPr>
              <w:ind w:left="280"/>
              <w:spacing w:after="0" w:line="155"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2060" w:type="dxa"/>
            <w:vAlign w:val="bottom"/>
            <w:gridSpan w:val="5"/>
          </w:tcPr>
          <w:p>
            <w:pPr>
              <w:jc w:val="right"/>
              <w:ind w:right="476"/>
              <w:spacing w:after="0" w:line="155" w:lineRule="exact"/>
              <w:rPr>
                <w:sz w:val="20"/>
                <w:szCs w:val="20"/>
                <w:color w:val="auto"/>
              </w:rPr>
            </w:pPr>
            <w:r>
              <w:rPr>
                <w:rFonts w:ascii="Times New Roman" w:cs="Times New Roman" w:eastAsia="Times New Roman" w:hAnsi="Times New Roman"/>
                <w:sz w:val="14"/>
                <w:szCs w:val="14"/>
                <w:b w:val="1"/>
                <w:bCs w:val="1"/>
                <w:color w:val="auto"/>
              </w:rPr>
              <w:t>Six Months Ended</w:t>
            </w:r>
          </w:p>
        </w:tc>
        <w:tc>
          <w:tcPr>
            <w:tcW w:w="60" w:type="dxa"/>
            <w:vAlign w:val="bottom"/>
          </w:tcPr>
          <w:p>
            <w:pPr>
              <w:spacing w:after="0"/>
              <w:rPr>
                <w:sz w:val="13"/>
                <w:szCs w:val="13"/>
                <w:color w:val="auto"/>
              </w:rPr>
            </w:pPr>
          </w:p>
        </w:tc>
      </w:tr>
      <w:tr>
        <w:trPr>
          <w:trHeight w:val="144"/>
        </w:trPr>
        <w:tc>
          <w:tcPr>
            <w:tcW w:w="3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ind w:left="100"/>
              <w:spacing w:after="0" w:line="145" w:lineRule="exact"/>
              <w:rPr>
                <w:sz w:val="20"/>
                <w:szCs w:val="20"/>
                <w:color w:val="auto"/>
              </w:rPr>
            </w:pPr>
            <w:r>
              <w:rPr>
                <w:rFonts w:ascii="Times New Roman" w:cs="Times New Roman" w:eastAsia="Times New Roman" w:hAnsi="Times New Roman"/>
                <w:sz w:val="14"/>
                <w:szCs w:val="14"/>
                <w:b w:val="1"/>
                <w:bCs w:val="1"/>
                <w:color w:val="auto"/>
              </w:rPr>
              <w:t>July 29,</w:t>
            </w: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198"/>
              <w:spacing w:after="0" w:line="145" w:lineRule="exact"/>
              <w:rPr>
                <w:sz w:val="20"/>
                <w:szCs w:val="20"/>
                <w:color w:val="auto"/>
              </w:rPr>
            </w:pPr>
            <w:r>
              <w:rPr>
                <w:rFonts w:ascii="Times New Roman" w:cs="Times New Roman" w:eastAsia="Times New Roman" w:hAnsi="Times New Roman"/>
                <w:sz w:val="14"/>
                <w:szCs w:val="14"/>
                <w:b w:val="1"/>
                <w:bCs w:val="1"/>
                <w:color w:val="auto"/>
              </w:rPr>
              <w:t>July 30,</w:t>
            </w:r>
          </w:p>
        </w:tc>
        <w:tc>
          <w:tcPr>
            <w:tcW w:w="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ind w:left="100"/>
              <w:spacing w:after="0" w:line="145" w:lineRule="exact"/>
              <w:rPr>
                <w:sz w:val="20"/>
                <w:szCs w:val="20"/>
                <w:color w:val="auto"/>
              </w:rPr>
            </w:pPr>
            <w:r>
              <w:rPr>
                <w:rFonts w:ascii="Times New Roman" w:cs="Times New Roman" w:eastAsia="Times New Roman" w:hAnsi="Times New Roman"/>
                <w:sz w:val="14"/>
                <w:szCs w:val="14"/>
                <w:b w:val="1"/>
                <w:bCs w:val="1"/>
                <w:color w:val="auto"/>
              </w:rPr>
              <w:t>July 29,</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196"/>
              <w:spacing w:after="0" w:line="145" w:lineRule="exact"/>
              <w:rPr>
                <w:sz w:val="20"/>
                <w:szCs w:val="20"/>
                <w:color w:val="auto"/>
              </w:rPr>
            </w:pPr>
            <w:r>
              <w:rPr>
                <w:rFonts w:ascii="Times New Roman" w:cs="Times New Roman" w:eastAsia="Times New Roman" w:hAnsi="Times New Roman"/>
                <w:sz w:val="14"/>
                <w:szCs w:val="14"/>
                <w:b w:val="1"/>
                <w:bCs w:val="1"/>
                <w:color w:val="auto"/>
              </w:rPr>
              <w:t>July 30,</w:t>
            </w:r>
          </w:p>
        </w:tc>
        <w:tc>
          <w:tcPr>
            <w:tcW w:w="60" w:type="dxa"/>
            <w:vAlign w:val="bottom"/>
          </w:tcPr>
          <w:p>
            <w:pPr>
              <w:spacing w:after="0"/>
              <w:rPr>
                <w:sz w:val="12"/>
                <w:szCs w:val="12"/>
                <w:color w:val="auto"/>
              </w:rPr>
            </w:pPr>
          </w:p>
        </w:tc>
      </w:tr>
      <w:tr>
        <w:trPr>
          <w:trHeight w:val="173"/>
        </w:trPr>
        <w:tc>
          <w:tcPr>
            <w:tcW w:w="3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Type of Non-Cash Stock Compensation</w:t>
            </w:r>
          </w:p>
        </w:tc>
        <w:tc>
          <w:tcPr>
            <w:tcW w:w="180" w:type="dxa"/>
            <w:vAlign w:val="bottom"/>
          </w:tcPr>
          <w:p>
            <w:pPr>
              <w:spacing w:after="0"/>
              <w:rPr>
                <w:sz w:val="15"/>
                <w:szCs w:val="15"/>
                <w:color w:val="auto"/>
              </w:rPr>
            </w:pPr>
          </w:p>
        </w:tc>
        <w:tc>
          <w:tcPr>
            <w:tcW w:w="860" w:type="dxa"/>
            <w:vAlign w:val="bottom"/>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Pr>
          <w:p>
            <w:pPr>
              <w:spacing w:after="0"/>
              <w:rPr>
                <w:sz w:val="15"/>
                <w:szCs w:val="15"/>
                <w:color w:val="auto"/>
              </w:rPr>
            </w:pPr>
          </w:p>
        </w:tc>
      </w:tr>
      <w:tr>
        <w:trPr>
          <w:trHeight w:val="223"/>
        </w:trPr>
        <w:tc>
          <w:tcPr>
            <w:tcW w:w="31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stock grants (a)</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4,276</w:t>
            </w:r>
          </w:p>
        </w:tc>
        <w:tc>
          <w:tcPr>
            <w:tcW w:w="1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2,234</w:t>
            </w:r>
          </w:p>
        </w:tc>
        <w:tc>
          <w:tcPr>
            <w:tcW w:w="1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7,434</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3,992</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option grants (a)</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3,049</w:t>
            </w:r>
          </w:p>
        </w:tc>
        <w:tc>
          <w:tcPr>
            <w:tcW w:w="60" w:type="dxa"/>
            <w:vAlign w:val="bottom"/>
          </w:tcPr>
          <w:p>
            <w:pPr>
              <w:spacing w:after="0"/>
              <w:rPr>
                <w:sz w:val="19"/>
                <w:szCs w:val="19"/>
                <w:color w:val="auto"/>
              </w:rPr>
            </w:pPr>
          </w:p>
        </w:tc>
      </w:tr>
      <w:tr>
        <w:trPr>
          <w:trHeight w:val="230"/>
        </w:trPr>
        <w:tc>
          <w:tcPr>
            <w:tcW w:w="3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 modification (b)</w:t>
            </w: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60" w:type="dxa"/>
            <w:vAlign w:val="bottom"/>
            <w:shd w:val="clear" w:color="auto" w:fill="CFF0FC"/>
          </w:tcPr>
          <w:p>
            <w:pPr>
              <w:spacing w:after="0"/>
              <w:rPr>
                <w:sz w:val="19"/>
                <w:szCs w:val="19"/>
                <w:color w:val="auto"/>
              </w:rPr>
            </w:pPr>
          </w:p>
        </w:tc>
      </w:tr>
      <w:tr>
        <w:trPr>
          <w:trHeight w:val="223"/>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7,405</w:t>
            </w:r>
          </w:p>
        </w:tc>
        <w:tc>
          <w:tcPr>
            <w:tcW w:w="1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4,093</w:t>
            </w:r>
          </w:p>
        </w:tc>
        <w:tc>
          <w:tcPr>
            <w:tcW w:w="1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12,487</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7,376</w:t>
            </w:r>
          </w:p>
        </w:tc>
        <w:tc>
          <w:tcPr>
            <w:tcW w:w="60" w:type="dxa"/>
            <w:vAlign w:val="bottom"/>
          </w:tcPr>
          <w:p>
            <w:pPr>
              <w:spacing w:after="0"/>
              <w:rPr>
                <w:sz w:val="19"/>
                <w:szCs w:val="19"/>
                <w:color w:val="auto"/>
              </w:rPr>
            </w:pPr>
          </w:p>
        </w:tc>
      </w:tr>
      <w:tr>
        <w:trPr>
          <w:trHeight w:val="20"/>
        </w:trPr>
        <w:tc>
          <w:tcPr>
            <w:tcW w:w="3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ind w:left="5620" w:right="880" w:hanging="5612"/>
        <w:spacing w:after="0" w:line="814" w:lineRule="auto"/>
        <w:tabs>
          <w:tab w:leader="none" w:pos="51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the line item “Selling, general and administrative expenses” in the Company’s Condensed Consolidated Statements of Income.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17" w:right="279" w:bottom="1440" w:gutter="0" w:footer="0" w:header="0"/>
        </w:sectPr>
      </w:pPr>
    </w:p>
    <w:bookmarkStart w:id="14" w:name="page15"/>
    <w:bookmarkEnd w:id="14"/>
    <w:p>
      <w:pPr>
        <w:ind w:left="520" w:right="180" w:hanging="512"/>
        <w:spacing w:after="0" w:line="255"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non-cash compensation related to the May 2013 stock option modification. Amounts are included in the line item “Stock option modification expense” in the Company’s Condensed Consolidated Statements of Income. Refer to Note 12 to the Company’s Consolidated Financial Statements included in the Fiscal 2016 10-K (entitled “Stock-Based Compensation”) for further detail of the Company’s May 2013 stock option modification.</w:t>
      </w:r>
    </w:p>
    <w:p>
      <w:pPr>
        <w:spacing w:after="0" w:line="2" w:lineRule="exact"/>
        <w:rPr>
          <w:rFonts w:ascii="Times New Roman" w:cs="Times New Roman" w:eastAsia="Times New Roman" w:hAnsi="Times New Roman"/>
          <w:sz w:val="18"/>
          <w:szCs w:val="18"/>
          <w:color w:val="auto"/>
        </w:rPr>
      </w:pPr>
    </w:p>
    <w:p>
      <w:pPr>
        <w:ind w:left="520" w:right="240" w:hanging="512"/>
        <w:spacing w:after="0" w:line="277" w:lineRule="auto"/>
        <w:tabs>
          <w:tab w:leader="none" w:pos="5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presented in the table above exclude taxes. For the three and six month periods ended July 29, 2017, the tax benefit related to the Company’s non-cash stock compensation was approximately $1.9 million and $3.5 million, respectively. For the three and six month periods ended July 30, 2016, the tax benefit related to the Company’s non-cash stock compensation was approximately $1.5 million and $2.8 million, respectively.</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Stock option transactions during the six month period ended July 29, 2017 are summarized as follows:</w:t>
      </w:r>
    </w:p>
    <w:p>
      <w:pPr>
        <w:spacing w:after="0" w:line="22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128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0" w:type="dxa"/>
            <w:vAlign w:val="bottom"/>
          </w:tcPr>
          <w:p>
            <w:pPr>
              <w:spacing w:after="0"/>
              <w:rPr>
                <w:sz w:val="1"/>
                <w:szCs w:val="1"/>
                <w:color w:val="auto"/>
              </w:rPr>
            </w:pPr>
          </w:p>
        </w:tc>
      </w:tr>
      <w:tr>
        <w:trPr>
          <w:trHeight w:val="173"/>
        </w:trPr>
        <w:tc>
          <w:tcPr>
            <w:tcW w:w="5480" w:type="dxa"/>
            <w:vAlign w:val="bottom"/>
          </w:tcPr>
          <w:p>
            <w:pPr>
              <w:spacing w:after="0"/>
              <w:rPr>
                <w:sz w:val="15"/>
                <w:szCs w:val="15"/>
                <w:color w:val="auto"/>
              </w:rPr>
            </w:pPr>
          </w:p>
        </w:tc>
        <w:tc>
          <w:tcPr>
            <w:tcW w:w="12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0" w:type="dxa"/>
            <w:vAlign w:val="bottom"/>
          </w:tcPr>
          <w:p>
            <w:pPr>
              <w:spacing w:after="0"/>
              <w:rPr>
                <w:sz w:val="1"/>
                <w:szCs w:val="1"/>
                <w:color w:val="auto"/>
              </w:rPr>
            </w:pPr>
          </w:p>
        </w:tc>
      </w:tr>
      <w:tr>
        <w:trPr>
          <w:trHeight w:val="223"/>
        </w:trPr>
        <w:tc>
          <w:tcPr>
            <w:tcW w:w="54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outstanding, January 28, 2017</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2,646,123</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Options granted</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566,664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Options exercised (a)</w:t>
            </w: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(369,858)</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Options forfeited</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(58,996)</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outstanding, July 29, 2017</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2,783,933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exercised during the six month period ended July 29, 2017 had a total intrinsic value of $30.0 million.</w:t>
      </w:r>
    </w:p>
    <w:p>
      <w:pPr>
        <w:spacing w:after="0" w:line="225"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summarizes information about the stock options vested and expected to vest during the contractual term as of July 29, 2017:</w:t>
      </w:r>
    </w:p>
    <w:p>
      <w:pPr>
        <w:spacing w:after="0" w:line="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7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Pr>
          <w:p>
            <w:pPr>
              <w:spacing w:after="0"/>
              <w:rPr>
                <w:sz w:val="13"/>
                <w:szCs w:val="13"/>
                <w:color w:val="auto"/>
              </w:rPr>
            </w:pPr>
          </w:p>
        </w:tc>
        <w:tc>
          <w:tcPr>
            <w:tcW w:w="11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Pr>
          <w:p>
            <w:pPr>
              <w:spacing w:after="0"/>
              <w:rPr>
                <w:sz w:val="13"/>
                <w:szCs w:val="13"/>
                <w:color w:val="auto"/>
              </w:rPr>
            </w:pPr>
          </w:p>
        </w:tc>
        <w:tc>
          <w:tcPr>
            <w:tcW w:w="1100" w:type="dxa"/>
            <w:vAlign w:val="bottom"/>
            <w:vMerge w:val="restart"/>
          </w:tcPr>
          <w:p>
            <w:pPr>
              <w:jc w:val="center"/>
              <w:ind w:right="144"/>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7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80" w:type="dxa"/>
            <w:vAlign w:val="bottom"/>
          </w:tcPr>
          <w:p>
            <w:pPr>
              <w:spacing w:after="0"/>
              <w:rPr>
                <w:sz w:val="12"/>
                <w:szCs w:val="12"/>
                <w:color w:val="auto"/>
              </w:rPr>
            </w:pPr>
          </w:p>
        </w:tc>
        <w:tc>
          <w:tcPr>
            <w:tcW w:w="11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1100" w:type="dxa"/>
            <w:vAlign w:val="bottom"/>
          </w:tcPr>
          <w:p>
            <w:pPr>
              <w:jc w:val="center"/>
              <w:ind w:right="144"/>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9"/>
        </w:trPr>
        <w:tc>
          <w:tcPr>
            <w:tcW w:w="2780" w:type="dxa"/>
            <w:vAlign w:val="bottom"/>
          </w:tcPr>
          <w:p>
            <w:pPr>
              <w:spacing w:after="0"/>
              <w:rPr>
                <w:sz w:val="12"/>
                <w:szCs w:val="12"/>
                <w:color w:val="auto"/>
              </w:rPr>
            </w:pPr>
          </w:p>
        </w:tc>
        <w:tc>
          <w:tcPr>
            <w:tcW w:w="13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3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80" w:type="dxa"/>
            <w:vAlign w:val="bottom"/>
          </w:tcPr>
          <w:p>
            <w:pPr>
              <w:spacing w:after="0"/>
              <w:rPr>
                <w:sz w:val="12"/>
                <w:szCs w:val="12"/>
                <w:color w:val="auto"/>
              </w:rPr>
            </w:pPr>
          </w:p>
        </w:tc>
        <w:tc>
          <w:tcPr>
            <w:tcW w:w="11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40" w:type="dxa"/>
            <w:vAlign w:val="bottom"/>
          </w:tcPr>
          <w:p>
            <w:pPr>
              <w:spacing w:after="0"/>
              <w:rPr>
                <w:sz w:val="12"/>
                <w:szCs w:val="12"/>
                <w:color w:val="auto"/>
              </w:rPr>
            </w:pPr>
          </w:p>
        </w:tc>
        <w:tc>
          <w:tcPr>
            <w:tcW w:w="1100" w:type="dxa"/>
            <w:vAlign w:val="bottom"/>
          </w:tcPr>
          <w:p>
            <w:pPr>
              <w:jc w:val="center"/>
              <w:ind w:right="164"/>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73"/>
        </w:trPr>
        <w:tc>
          <w:tcPr>
            <w:tcW w:w="278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180" w:type="dxa"/>
            <w:vAlign w:val="bottom"/>
          </w:tcPr>
          <w:p>
            <w:pPr>
              <w:spacing w:after="0"/>
              <w:rPr>
                <w:sz w:val="15"/>
                <w:szCs w:val="15"/>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40" w:type="dxa"/>
            <w:vAlign w:val="bottom"/>
          </w:tcPr>
          <w:p>
            <w:pPr>
              <w:spacing w:after="0"/>
              <w:rPr>
                <w:sz w:val="15"/>
                <w:szCs w:val="15"/>
                <w:color w:val="auto"/>
              </w:rPr>
            </w:pPr>
          </w:p>
        </w:tc>
        <w:tc>
          <w:tcPr>
            <w:tcW w:w="1100" w:type="dxa"/>
            <w:vAlign w:val="bottom"/>
          </w:tcPr>
          <w:p>
            <w:pPr>
              <w:jc w:val="center"/>
              <w:ind w:right="16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23"/>
        </w:trPr>
        <w:tc>
          <w:tcPr>
            <w:tcW w:w="27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 and expected to vest</w:t>
            </w:r>
          </w:p>
        </w:tc>
        <w:tc>
          <w:tcPr>
            <w:tcW w:w="1180" w:type="dxa"/>
            <w:vAlign w:val="bottom"/>
            <w:tcBorders>
              <w:top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8"/>
                <w:szCs w:val="18"/>
                <w:color w:val="auto"/>
              </w:rPr>
              <w:t>2,783,933</w:t>
            </w:r>
          </w:p>
        </w:tc>
        <w:tc>
          <w:tcPr>
            <w:tcW w:w="12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ind w:right="425"/>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FF0FC"/>
          </w:tcPr>
          <w:p>
            <w:pPr>
              <w:jc w:val="right"/>
              <w:ind w:right="4"/>
              <w:spacing w:after="0"/>
              <w:rPr>
                <w:sz w:val="20"/>
                <w:szCs w:val="20"/>
                <w:color w:val="auto"/>
              </w:rPr>
            </w:pPr>
            <w:r>
              <w:rPr>
                <w:rFonts w:ascii="Times New Roman" w:cs="Times New Roman" w:eastAsia="Times New Roman" w:hAnsi="Times New Roman"/>
                <w:sz w:val="18"/>
                <w:szCs w:val="18"/>
                <w:color w:val="auto"/>
              </w:rPr>
              <w:t>37.88</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FF0FC"/>
          </w:tcPr>
          <w:p>
            <w:pPr>
              <w:jc w:val="right"/>
              <w:ind w:right="4"/>
              <w:spacing w:after="0"/>
              <w:rPr>
                <w:sz w:val="20"/>
                <w:szCs w:val="20"/>
                <w:color w:val="auto"/>
              </w:rPr>
            </w:pPr>
            <w:r>
              <w:rPr>
                <w:rFonts w:ascii="Times New Roman" w:cs="Times New Roman" w:eastAsia="Times New Roman" w:hAnsi="Times New Roman"/>
                <w:sz w:val="18"/>
                <w:szCs w:val="18"/>
                <w:color w:val="auto"/>
              </w:rPr>
              <w:t>140.0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380" w:firstLine="518"/>
        <w:spacing w:after="0" w:line="270" w:lineRule="auto"/>
        <w:rPr>
          <w:sz w:val="20"/>
          <w:szCs w:val="20"/>
          <w:color w:val="auto"/>
        </w:rPr>
      </w:pPr>
      <w:r>
        <w:rPr>
          <w:rFonts w:ascii="Times New Roman" w:cs="Times New Roman" w:eastAsia="Times New Roman" w:hAnsi="Times New Roman"/>
          <w:sz w:val="18"/>
          <w:szCs w:val="18"/>
          <w:color w:val="auto"/>
        </w:rPr>
        <w:t>The fair value of each stock option granted during the six month period ended July 29, 2017 was estimated using the Black Scholes option pricing model using the following assumptions:</w:t>
      </w:r>
    </w:p>
    <w:p>
      <w:pPr>
        <w:spacing w:after="0" w:line="1" w:lineRule="exact"/>
        <w:rPr>
          <w:sz w:val="20"/>
          <w:szCs w:val="20"/>
          <w:color w:val="auto"/>
        </w:rPr>
      </w:pPr>
    </w:p>
    <w:tbl>
      <w:tblPr>
        <w:tblLayout w:type="fixed"/>
        <w:tblInd w:w="1720" w:type="dxa"/>
        <w:tblCellMar>
          <w:top w:w="0" w:type="dxa"/>
          <w:left w:w="0" w:type="dxa"/>
          <w:bottom w:w="0" w:type="dxa"/>
          <w:right w:w="0" w:type="dxa"/>
        </w:tblCellMar>
      </w:tblPr>
      <w:tr>
        <w:trPr>
          <w:trHeight w:val="190"/>
        </w:trPr>
        <w:tc>
          <w:tcPr>
            <w:tcW w:w="6560" w:type="dxa"/>
            <w:vAlign w:val="bottom"/>
          </w:tcPr>
          <w:p>
            <w:pPr>
              <w:spacing w:after="0"/>
              <w:rPr>
                <w:sz w:val="16"/>
                <w:szCs w:val="16"/>
                <w:color w:val="auto"/>
              </w:rPr>
            </w:pPr>
          </w:p>
        </w:tc>
        <w:tc>
          <w:tcPr>
            <w:tcW w:w="14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4"/>
        </w:trPr>
        <w:tc>
          <w:tcPr>
            <w:tcW w:w="6560" w:type="dxa"/>
            <w:vAlign w:val="bottom"/>
          </w:tcPr>
          <w:p>
            <w:pPr>
              <w:spacing w:after="0"/>
              <w:rPr>
                <w:sz w:val="2"/>
                <w:szCs w:val="2"/>
                <w:color w:val="auto"/>
              </w:rPr>
            </w:pPr>
          </w:p>
        </w:tc>
        <w:tc>
          <w:tcPr>
            <w:tcW w:w="1420" w:type="dxa"/>
            <w:vAlign w:val="bottom"/>
            <w:gridSpan w:val="3"/>
          </w:tcPr>
          <w:p>
            <w:pPr>
              <w:spacing w:after="0"/>
              <w:rPr>
                <w:sz w:val="2"/>
                <w:szCs w:val="2"/>
                <w:color w:val="auto"/>
              </w:rPr>
            </w:pPr>
          </w:p>
        </w:tc>
      </w:tr>
      <w:tr>
        <w:trPr>
          <w:trHeight w:val="144"/>
        </w:trPr>
        <w:tc>
          <w:tcPr>
            <w:tcW w:w="6560" w:type="dxa"/>
            <w:vAlign w:val="bottom"/>
          </w:tcPr>
          <w:p>
            <w:pPr>
              <w:spacing w:after="0"/>
              <w:rPr>
                <w:sz w:val="12"/>
                <w:szCs w:val="12"/>
                <w:color w:val="auto"/>
              </w:rPr>
            </w:pPr>
          </w:p>
        </w:tc>
        <w:tc>
          <w:tcPr>
            <w:tcW w:w="1360" w:type="dxa"/>
            <w:vAlign w:val="bottom"/>
            <w:tcBorders>
              <w:top w:val="single" w:sz="8" w:color="auto"/>
            </w:tcBorders>
            <w:gridSpan w:val="2"/>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July 29,</w:t>
            </w:r>
          </w:p>
        </w:tc>
        <w:tc>
          <w:tcPr>
            <w:tcW w:w="60" w:type="dxa"/>
            <w:vAlign w:val="bottom"/>
          </w:tcPr>
          <w:p>
            <w:pPr>
              <w:spacing w:after="0"/>
              <w:rPr>
                <w:sz w:val="12"/>
                <w:szCs w:val="12"/>
                <w:color w:val="auto"/>
              </w:rPr>
            </w:pPr>
          </w:p>
        </w:tc>
      </w:tr>
      <w:tr>
        <w:trPr>
          <w:trHeight w:val="173"/>
        </w:trPr>
        <w:tc>
          <w:tcPr>
            <w:tcW w:w="6560" w:type="dxa"/>
            <w:vAlign w:val="bottom"/>
            <w:tcBorders>
              <w:bottom w:val="single" w:sz="8" w:color="CFF0FC"/>
            </w:tcBorders>
          </w:tcPr>
          <w:p>
            <w:pPr>
              <w:spacing w:after="0"/>
              <w:rPr>
                <w:sz w:val="15"/>
                <w:szCs w:val="15"/>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60" w:type="dxa"/>
            <w:vAlign w:val="bottom"/>
            <w:tcBorders>
              <w:bottom w:val="single" w:sz="8" w:color="CFF0FC"/>
            </w:tcBorders>
          </w:tcPr>
          <w:p>
            <w:pPr>
              <w:spacing w:after="0"/>
              <w:rPr>
                <w:sz w:val="15"/>
                <w:szCs w:val="15"/>
                <w:color w:val="auto"/>
              </w:rPr>
            </w:pPr>
          </w:p>
        </w:tc>
      </w:tr>
      <w:tr>
        <w:trPr>
          <w:trHeight w:val="223"/>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- 2.13%</w:t>
            </w:r>
          </w:p>
        </w:tc>
        <w:tc>
          <w:tcPr>
            <w:tcW w:w="60" w:type="dxa"/>
            <w:vAlign w:val="bottom"/>
            <w:shd w:val="clear" w:color="auto" w:fill="CFF0FC"/>
          </w:tcPr>
          <w:p>
            <w:pPr>
              <w:spacing w:after="0"/>
              <w:rPr>
                <w:sz w:val="19"/>
                <w:szCs w:val="19"/>
                <w:color w:val="auto"/>
              </w:rPr>
            </w:pPr>
          </w:p>
        </w:tc>
      </w:tr>
      <w:tr>
        <w:trPr>
          <w:trHeight w:val="230"/>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- 37%</w:t>
            </w:r>
          </w:p>
        </w:tc>
        <w:tc>
          <w:tcPr>
            <w:tcW w:w="60" w:type="dxa"/>
            <w:vAlign w:val="bottom"/>
          </w:tcPr>
          <w:p>
            <w:pPr>
              <w:spacing w:after="0"/>
              <w:rPr>
                <w:sz w:val="19"/>
                <w:szCs w:val="19"/>
                <w:color w:val="auto"/>
              </w:rPr>
            </w:pPr>
          </w:p>
        </w:tc>
      </w:tr>
      <w:tr>
        <w:trPr>
          <w:trHeight w:val="230"/>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- 6.25</w:t>
            </w:r>
          </w:p>
        </w:tc>
        <w:tc>
          <w:tcPr>
            <w:tcW w:w="60" w:type="dxa"/>
            <w:vAlign w:val="bottom"/>
            <w:shd w:val="clear" w:color="auto" w:fill="CFF0FC"/>
          </w:tcPr>
          <w:p>
            <w:pPr>
              <w:spacing w:after="0"/>
              <w:rPr>
                <w:sz w:val="19"/>
                <w:szCs w:val="19"/>
                <w:color w:val="auto"/>
              </w:rPr>
            </w:pPr>
          </w:p>
        </w:tc>
      </w:tr>
    </w:tbl>
    <w:p>
      <w:pPr>
        <w:spacing w:after="0" w:line="1"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Contractual life (years)</w:t>
            </w:r>
          </w:p>
        </w:tc>
        <w:tc>
          <w:tcPr>
            <w:tcW w:w="1580" w:type="dxa"/>
            <w:vAlign w:val="bottom"/>
          </w:tcPr>
          <w:p>
            <w:pPr>
              <w:spacing w:after="0"/>
              <w:rPr>
                <w:sz w:val="19"/>
                <w:szCs w:val="19"/>
                <w:color w:val="auto"/>
              </w:rPr>
            </w:pPr>
          </w:p>
        </w:tc>
        <w:tc>
          <w:tcPr>
            <w:tcW w:w="11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5"/>
              </w:rPr>
              <w:t>10.0</w:t>
            </w:r>
          </w:p>
        </w:tc>
      </w:tr>
      <w:tr>
        <w:trPr>
          <w:trHeight w:val="230"/>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580" w:type="dxa"/>
            <w:vAlign w:val="bottom"/>
            <w:shd w:val="clear" w:color="auto" w:fill="CFF0FC"/>
          </w:tcPr>
          <w:p>
            <w:pPr>
              <w:spacing w:after="0"/>
              <w:rPr>
                <w:sz w:val="19"/>
                <w:szCs w:val="19"/>
                <w:color w:val="auto"/>
              </w:rPr>
            </w:pPr>
          </w:p>
        </w:tc>
        <w:tc>
          <w:tcPr>
            <w:tcW w:w="1100" w:type="dxa"/>
            <w:vAlign w:val="bottom"/>
            <w:shd w:val="clear" w:color="auto" w:fill="CFF0FC"/>
          </w:tcPr>
          <w:p>
            <w:pPr>
              <w:jc w:val="center"/>
              <w:ind w:right="190"/>
              <w:spacing w:after="0"/>
              <w:rPr>
                <w:sz w:val="20"/>
                <w:szCs w:val="20"/>
                <w:color w:val="auto"/>
              </w:rPr>
            </w:pPr>
            <w:r>
              <w:rPr>
                <w:rFonts w:ascii="Times New Roman" w:cs="Times New Roman" w:eastAsia="Times New Roman" w:hAnsi="Times New Roman"/>
                <w:sz w:val="18"/>
                <w:szCs w:val="18"/>
                <w:color w:val="auto"/>
              </w:rPr>
              <w:t>0.0%</w:t>
            </w:r>
          </w:p>
        </w:tc>
      </w:tr>
      <w:tr>
        <w:trPr>
          <w:trHeight w:val="234"/>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grant date fair value of options issued</w:t>
            </w:r>
          </w:p>
        </w:tc>
        <w:tc>
          <w:tcPr>
            <w:tcW w:w="15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36.54</w:t>
            </w:r>
          </w:p>
        </w:tc>
      </w:tr>
    </w:tbl>
    <w:p>
      <w:pPr>
        <w:spacing w:after="0" w:line="193"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The expected dividend yield was based on the Company’s expectation of not paying dividends in the foreseeable future. Since the Company completed its initial public offering in October 2013, it does not have sufficient history as a publicly traded company to evaluate its volatility factor. As such, the expected stock price volatility is based upon the historical volatility of the stock price over the expected life of the options of peer companies that are publicly traded. The risk free interest rate was based on the U.S. Treasury rates for U.S. Treasury zero-coupon bonds with maturities similar to those of the expected term of the awards being valued. For grants issued during the six month period ended July 29, 2017, the expected life of the options was calculated using the simplified method. The simplified method defines the life as the average of the contractual term of the options and the weighted average vesting period for all option tranches. This methodology was utilized due to the short length of time the Company’s common stock has been publicly traded.</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i w:val="1"/>
          <w:iCs w:val="1"/>
          <w:color w:val="auto"/>
        </w:rPr>
        <w:t>Restricted Stock Awards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Restricted stock transactions during the six month period ended July 29, 2017 are summarized as follows:</w:t>
      </w:r>
    </w:p>
    <w:p>
      <w:pPr>
        <w:spacing w:after="0" w:line="22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128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 Per</w:t>
            </w:r>
          </w:p>
        </w:tc>
        <w:tc>
          <w:tcPr>
            <w:tcW w:w="0" w:type="dxa"/>
            <w:vAlign w:val="bottom"/>
          </w:tcPr>
          <w:p>
            <w:pPr>
              <w:spacing w:after="0"/>
              <w:rPr>
                <w:sz w:val="1"/>
                <w:szCs w:val="1"/>
                <w:color w:val="auto"/>
              </w:rPr>
            </w:pPr>
          </w:p>
        </w:tc>
      </w:tr>
      <w:tr>
        <w:trPr>
          <w:trHeight w:val="173"/>
        </w:trPr>
        <w:tc>
          <w:tcPr>
            <w:tcW w:w="5480" w:type="dxa"/>
            <w:vAlign w:val="bottom"/>
          </w:tcPr>
          <w:p>
            <w:pPr>
              <w:spacing w:after="0"/>
              <w:rPr>
                <w:sz w:val="15"/>
                <w:szCs w:val="15"/>
                <w:color w:val="auto"/>
              </w:rPr>
            </w:pPr>
          </w:p>
        </w:tc>
        <w:tc>
          <w:tcPr>
            <w:tcW w:w="12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5"/>
                <w:szCs w:val="15"/>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0" w:type="dxa"/>
            <w:vAlign w:val="bottom"/>
          </w:tcPr>
          <w:p>
            <w:pPr>
              <w:spacing w:after="0"/>
              <w:rPr>
                <w:sz w:val="1"/>
                <w:szCs w:val="1"/>
                <w:color w:val="auto"/>
              </w:rPr>
            </w:pPr>
          </w:p>
        </w:tc>
      </w:tr>
      <w:tr>
        <w:trPr>
          <w:trHeight w:val="223"/>
        </w:trPr>
        <w:tc>
          <w:tcPr>
            <w:tcW w:w="54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awards outstanding, January 28, 2017</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744,634</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54.28</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Awards granted</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219,361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Awards vested (a)</w:t>
            </w: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(110,710)</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Awards forfeited</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(17,393)</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awards outstanding, July 29, 2017</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835,892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80" w:hanging="572"/>
        <w:spacing w:after="0"/>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awards vested during the six month period ended July 29, 2017 had a total intrinsic value of $10.6 million.</w:t>
      </w:r>
    </w:p>
    <w:p>
      <w:pPr>
        <w:spacing w:after="0" w:line="225" w:lineRule="exact"/>
        <w:rPr>
          <w:sz w:val="20"/>
          <w:szCs w:val="20"/>
          <w:color w:val="auto"/>
        </w:rPr>
      </w:pPr>
    </w:p>
    <w:p>
      <w:pPr>
        <w:ind w:right="240" w:firstLine="518"/>
        <w:spacing w:after="0" w:line="266" w:lineRule="auto"/>
        <w:rPr>
          <w:sz w:val="20"/>
          <w:szCs w:val="20"/>
          <w:color w:val="auto"/>
        </w:rPr>
      </w:pPr>
      <w:r>
        <w:rPr>
          <w:rFonts w:ascii="Times New Roman" w:cs="Times New Roman" w:eastAsia="Times New Roman" w:hAnsi="Times New Roman"/>
          <w:sz w:val="18"/>
          <w:szCs w:val="18"/>
          <w:color w:val="auto"/>
        </w:rPr>
        <w:t>The fair value of each share of restricted stock granted during Fiscal 2017 was based upon (a) the closing price of the Company’s common stock on the date prior to the grant date for grants before May 17, 2017 (the date on which the Company’s stockholders approved the Amended Plan) and (b) the closing price of the Company’s common stock on the date of grant made from and after May 17, 2017.</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Other Liabilities</w:t>
      </w:r>
    </w:p>
    <w:p>
      <w:pPr>
        <w:spacing w:after="0" w:line="121" w:lineRule="exact"/>
        <w:rPr>
          <w:sz w:val="20"/>
          <w:szCs w:val="20"/>
          <w:color w:val="auto"/>
        </w:rPr>
      </w:pPr>
    </w:p>
    <w:p>
      <w:pPr>
        <w:jc w:val="both"/>
        <w:ind w:right="40" w:firstLine="518"/>
        <w:spacing w:after="0" w:line="266" w:lineRule="auto"/>
        <w:rPr>
          <w:sz w:val="20"/>
          <w:szCs w:val="20"/>
          <w:color w:val="auto"/>
        </w:rPr>
      </w:pPr>
      <w:r>
        <w:rPr>
          <w:rFonts w:ascii="Times New Roman" w:cs="Times New Roman" w:eastAsia="Times New Roman" w:hAnsi="Times New Roman"/>
          <w:sz w:val="18"/>
          <w:szCs w:val="18"/>
          <w:color w:val="auto"/>
        </w:rPr>
        <w:t>Other liabilities primarily consist of deferred lease incentives, the long term portion of self-insurance reserves, the excess of straight-line rent expense over actual rental payments and tax liabilities associated with the uncertain tax positions recognized by the Company in accordance with ASC Topic No. 740, “Income Taxes.”</w:t>
      </w:r>
    </w:p>
    <w:p>
      <w:pPr>
        <w:spacing w:after="0" w:line="176" w:lineRule="exact"/>
        <w:rPr>
          <w:sz w:val="20"/>
          <w:szCs w:val="20"/>
          <w:color w:val="auto"/>
        </w:rPr>
      </w:pPr>
    </w:p>
    <w:p>
      <w:pPr>
        <w:ind w:right="160" w:firstLine="518"/>
        <w:spacing w:after="0" w:line="256" w:lineRule="auto"/>
        <w:rPr>
          <w:sz w:val="20"/>
          <w:szCs w:val="20"/>
          <w:color w:val="auto"/>
        </w:rPr>
      </w:pPr>
      <w:r>
        <w:rPr>
          <w:rFonts w:ascii="Times New Roman" w:cs="Times New Roman" w:eastAsia="Times New Roman" w:hAnsi="Times New Roman"/>
          <w:sz w:val="18"/>
          <w:szCs w:val="18"/>
          <w:color w:val="auto"/>
        </w:rPr>
        <w:t>Deferred lease incentives are funds received or receivable from landlords used primarily to offset costs incurred for leasehold improvements and fixturing of new and remodeled stores. These deferred lease incentives are amortized over the expected lease term including rent holiday periods and option periods, where the exercise of the option can be reasonably assured. Amortization of deferred lease incentives is included in the line item “Selling, general and administrative expenses” on the Company’s Condensed Consolidated Statements of Income. At July 29, 2017, January 28, 2017 and July 30, 2016, deferred lease incentives were $179.6 million, $180.9 million and $171.6 million, respectively, and are recorded in the line item “Other liabilities” on the Company’s Condensed Consolidated Balance Sheets.</w:t>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w:t>
      </w:r>
    </w:p>
    <w:p>
      <w:pPr>
        <w:spacing w:after="0" w:line="119"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The Company establishes accruals relating to legal claims in connection with litigation to which the Company is party from time to time in the ordinary course of business. Like many retailers, the Company has been named in class or collective actions on behalf of various groups alleging violations of federal and state wage and hour and other labor statutes, and alleged violation of state consumer and/or privacy protection statutes. In the normal course of business, we are also party to various other lawsuits and regulatory proceedings including, among others, commercial, product, product safety, employee, customer, intellectual property and other claims. Actions against us are in various procedural stages. Many of these proceedings raise factual and legal issues and are subject to uncertainties. To determine the likelihood of a loss and/or the measurement of any loss can be complex. Consequently, we are unable to estimate the range of reasonably possible loss in excess of amounts accrued. The Company’s assessments are based on estimates and assumptions that have been deemed reasonable by management, but the assessment process relies heavily on estimates and assumptions that may prove to be incomplete or inaccurate, and unanticipated events and circumstances may occur that might cause us to change those estimates and assumptions. While no assurance can be given as to the ultimate outcome of these matters, the Company believes that the final resolution of these actions will not have a material adverse effect on the Company’s results of operations, financial position, liquidity or capital resources.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Agreements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enters into lease agreements during the ordinary course of business in order to secure favorable store locations. The Company’s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minimum lease payments for all operating leases are expected to be $164.7 million for the remainder of Fiscal 2017 and $357.8 million, $335.0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$311.7 million, $285.7 million and $1,394.0 million for the fiscal years ended February 2, 2019, February 1, 2020, January 30, 2021, January 29, 2022 and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subsequent years thereafter, respectively. Total future</w:t>
      </w: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3" w:right="259" w:bottom="1440" w:gutter="0" w:footer="0" w:header="0"/>
        </w:sectPr>
      </w:pPr>
    </w:p>
    <w:bookmarkStart w:id="16" w:name="page17"/>
    <w:bookmarkEnd w:id="16"/>
    <w:p>
      <w:pPr>
        <w:ind w:right="20"/>
        <w:spacing w:after="0" w:line="282" w:lineRule="auto"/>
        <w:rPr>
          <w:sz w:val="20"/>
          <w:szCs w:val="20"/>
          <w:color w:val="auto"/>
        </w:rPr>
      </w:pPr>
      <w:r>
        <w:rPr>
          <w:rFonts w:ascii="Times New Roman" w:cs="Times New Roman" w:eastAsia="Times New Roman" w:hAnsi="Times New Roman"/>
          <w:sz w:val="18"/>
          <w:szCs w:val="18"/>
          <w:color w:val="auto"/>
        </w:rPr>
        <w:t>minimum lease payments include $313.8 million related to options to extend lease terms that are reasonably assured of being exercised and $500.5 million of minimum lease payments for 68 stores that the Company has committed to open or relocate.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Letters of Credit</w:t>
      </w:r>
    </w:p>
    <w:p>
      <w:pPr>
        <w:spacing w:after="0" w:line="119"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The Company had letter of credit arrangements with various banks in the aggregate amount of $53.0 million, $53.1 million and $40.0 million as of July 29, 2017, January 28, 2017 and July 30, 2016, respectively. Among these arrangements, as of July 29, 2017, January 28, 2017 and July 30, 2016, the Company had letters of credit in the amount of $43.6 million, $44.2 million and $31.9 million, respectively, guaranteeing performance under various insurance contracts and utility agreements. In addition, the Company had outstanding letters of credit agreements in the amounts of $9.4 million, $8.9 million and $8.1 million at July 29, 2017, January 28, 2017 and July 30, 2016, respectively, related to certain merchandising agreements. Based on the terms of the agreement governing the ABL Line of Credit, the Company had the ability to enter into letters of credit up to $363.1 million, $427.8 million and $311.5 million as of July 29, 2017, January 28, 2017 and July 30, 2016, respectively.</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Commitments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had $976.7 million of purchase commitments related to goods that were not received as of July 29, 2017.</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Death Benefits</w:t>
      </w:r>
    </w:p>
    <w:p>
      <w:pPr>
        <w:spacing w:after="0" w:line="119" w:lineRule="exact"/>
        <w:rPr>
          <w:sz w:val="20"/>
          <w:szCs w:val="20"/>
          <w:color w:val="auto"/>
        </w:rPr>
      </w:pPr>
    </w:p>
    <w:p>
      <w:pPr>
        <w:ind w:right="440" w:firstLine="518"/>
        <w:spacing w:after="0" w:line="282" w:lineRule="auto"/>
        <w:rPr>
          <w:sz w:val="20"/>
          <w:szCs w:val="20"/>
          <w:color w:val="auto"/>
        </w:rPr>
      </w:pPr>
      <w:r>
        <w:rPr>
          <w:rFonts w:ascii="Times New Roman" w:cs="Times New Roman" w:eastAsia="Times New Roman" w:hAnsi="Times New Roman"/>
          <w:sz w:val="18"/>
          <w:szCs w:val="18"/>
          <w:color w:val="auto"/>
        </w:rPr>
        <w:t>In November 2005, the Company entered into agreements with three of the Company’s former executives whereby upon each of their deaths the Company will pay $1.0 million to each respective designated beneficiary.</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Related Parties</w:t>
      </w:r>
    </w:p>
    <w:p>
      <w:pPr>
        <w:spacing w:after="0" w:line="229" w:lineRule="exact"/>
        <w:rPr>
          <w:sz w:val="20"/>
          <w:szCs w:val="20"/>
          <w:color w:val="auto"/>
        </w:rPr>
      </w:pPr>
    </w:p>
    <w:p>
      <w:pPr>
        <w:ind w:right="160" w:firstLine="518"/>
        <w:spacing w:after="0" w:line="266" w:lineRule="auto"/>
        <w:rPr>
          <w:sz w:val="20"/>
          <w:szCs w:val="20"/>
          <w:color w:val="auto"/>
        </w:rPr>
      </w:pPr>
      <w:r>
        <w:rPr>
          <w:rFonts w:ascii="Times New Roman" w:cs="Times New Roman" w:eastAsia="Times New Roman" w:hAnsi="Times New Roman"/>
          <w:sz w:val="18"/>
          <w:szCs w:val="18"/>
          <w:color w:val="auto"/>
        </w:rPr>
        <w:t>The brother-in-law of one of the Company’s Executive Vice Presidents is an independent sales representative of one of the Company’s suppliers of merchandise inventory. This relationship predated the commencement of the Executive Vice President’s employment with the Company. The Company has determined that the dollar amount of purchases through such supplier represents an insignificant amount of its inventory purchases.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229" w:right="299" w:bottom="1440" w:gutter="0" w:footer="0" w:header="0"/>
        </w:sectPr>
      </w:pPr>
    </w:p>
    <w:bookmarkStart w:id="17" w:name="page18"/>
    <w:bookmarkEnd w:id="1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BURLINGTON STORES,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ind w:right="120" w:firstLine="518"/>
        <w:spacing w:after="0" w:line="290" w:lineRule="auto"/>
        <w:rPr>
          <w:sz w:val="20"/>
          <w:szCs w:val="20"/>
          <w:color w:val="auto"/>
        </w:rPr>
      </w:pPr>
      <w:r>
        <w:rPr>
          <w:rFonts w:ascii="Times New Roman" w:cs="Times New Roman" w:eastAsia="Times New Roman" w:hAnsi="Times New Roman"/>
          <w:sz w:val="17"/>
          <w:szCs w:val="17"/>
          <w:i w:val="1"/>
          <w:iCs w:val="1"/>
          <w:color w:val="auto"/>
        </w:rPr>
        <w:t>The following discussion summarizes the significant factors affecting our consolidated operating results, financial condition, liquidity and cash flows as of and for the periods presented below. The following discussion and analysis should be read in conjunction with the Condensed Consolidated Financial Statements and notes thereto included elsewhere in this report and in our Annual Report on Form 10-K related to the fiscal year ended January 28, 2017.</w:t>
      </w:r>
    </w:p>
    <w:p>
      <w:pPr>
        <w:spacing w:after="0" w:line="156" w:lineRule="exact"/>
        <w:rPr>
          <w:sz w:val="20"/>
          <w:szCs w:val="20"/>
          <w:color w:val="auto"/>
        </w:rPr>
      </w:pPr>
    </w:p>
    <w:p>
      <w:pPr>
        <w:ind w:right="400" w:firstLine="518"/>
        <w:spacing w:after="0" w:line="261" w:lineRule="auto"/>
        <w:rPr>
          <w:sz w:val="20"/>
          <w:szCs w:val="20"/>
          <w:color w:val="auto"/>
        </w:rPr>
      </w:pPr>
      <w:r>
        <w:rPr>
          <w:rFonts w:ascii="Times New Roman" w:cs="Times New Roman" w:eastAsia="Times New Roman" w:hAnsi="Times New Roman"/>
          <w:sz w:val="18"/>
          <w:szCs w:val="18"/>
          <w:i w:val="1"/>
          <w:iCs w:val="1"/>
          <w:color w:val="auto"/>
        </w:rPr>
        <w:t>In addition to historical information, this discussion and analysis contains forward-looking statements based on current expectations that involve risks, uncertainties and assumptions, such as our plans, objectives, expectations, and intentions. Our actual results and the timing of events may differ materially from those anticipated in these forward-looking statements due to various factors, including those discussed under the section of this Item 2 entitled “Safe Harbor Statement.”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Introduction and Overview of Operating Results</w:t>
      </w:r>
    </w:p>
    <w:p>
      <w:pPr>
        <w:spacing w:after="0" w:line="119" w:lineRule="exact"/>
        <w:rPr>
          <w:sz w:val="20"/>
          <w:szCs w:val="20"/>
          <w:color w:val="auto"/>
        </w:rPr>
      </w:pPr>
    </w:p>
    <w:p>
      <w:pPr>
        <w:ind w:right="60" w:firstLine="518"/>
        <w:spacing w:after="0" w:line="258" w:lineRule="auto"/>
        <w:rPr>
          <w:sz w:val="20"/>
          <w:szCs w:val="20"/>
          <w:color w:val="auto"/>
        </w:rPr>
      </w:pPr>
      <w:r>
        <w:rPr>
          <w:rFonts w:ascii="Times New Roman" w:cs="Times New Roman" w:eastAsia="Times New Roman" w:hAnsi="Times New Roman"/>
          <w:sz w:val="18"/>
          <w:szCs w:val="18"/>
          <w:color w:val="auto"/>
        </w:rPr>
        <w:t>We are a nationally recognized off-price retailer of high-quality, branded apparel at everyday low prices. We opened our first store in Burlington, New Jersey in 1972, selling primarily coats and outerwear. Since then, we have expanded our store base to 600 stores as of July 29, 2017, inclusive of an internet store, in 45 states and Puerto Rico, and diversified our product categories by offering an extensive selection of in-season, fashion-focused merchandise, including women’s ready-to-wear apparel, menswear, youth apparel, baby, footwear, accessories, home and coats. We acquire a broad selection of desirable, first-quality, current-brand, labeled merchandise directly from nationally-recognized manufacturers and other suppliers.</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Highlights from the three month period ended July 29, 2017 compared with the three month period ended July 30, 2016 include the following:</w:t>
      </w:r>
    </w:p>
    <w:p>
      <w:pPr>
        <w:spacing w:after="0" w:line="117" w:lineRule="exact"/>
        <w:rPr>
          <w:sz w:val="20"/>
          <w:szCs w:val="20"/>
          <w:color w:val="auto"/>
        </w:rPr>
      </w:pPr>
    </w:p>
    <w:p>
      <w:pPr>
        <w:ind w:left="1040" w:hanging="519"/>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generated total revenues of $1,369.0 million compared with $1,260.7 million.</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improved $108.2 million to $1,363.2 million (inclusive of a 3.5% comparable store sales increase).</w:t>
      </w:r>
    </w:p>
    <w:p>
      <w:pPr>
        <w:spacing w:after="0" w:line="117" w:lineRule="exact"/>
        <w:rPr>
          <w:rFonts w:ascii="Times New Roman" w:cs="Times New Roman" w:eastAsia="Times New Roman" w:hAnsi="Times New Roman"/>
          <w:sz w:val="18"/>
          <w:szCs w:val="18"/>
          <w:color w:val="auto"/>
        </w:rPr>
      </w:pPr>
    </w:p>
    <w:p>
      <w:pPr>
        <w:ind w:left="1040" w:right="560" w:hanging="519"/>
        <w:spacing w:after="0" w:line="282"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as a percentage of net sales improved to 40.7% compared with 39.6%. This is in addition to an approximate 10 basis point improvement in product sourcing costs, which are included in selling, general and administrative expenses.</w:t>
      </w:r>
    </w:p>
    <w:p>
      <w:pPr>
        <w:spacing w:after="0" w:line="53" w:lineRule="exact"/>
        <w:rPr>
          <w:rFonts w:ascii="Times New Roman" w:cs="Times New Roman" w:eastAsia="Times New Roman" w:hAnsi="Times New Roman"/>
          <w:sz w:val="18"/>
          <w:szCs w:val="18"/>
          <w:color w:val="auto"/>
        </w:rPr>
      </w:pPr>
    </w:p>
    <w:p>
      <w:pPr>
        <w:ind w:left="1040" w:right="280" w:hanging="519"/>
        <w:spacing w:after="0" w:line="282"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general and administrative expenses as a percentage of net sales improved to 32.1% compared with 32.4%, inclusive of the 10 basis point improvement in product sourcing costs.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earned net income of $46.9 million compared with net income of $20.4 million.</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(as subsequently defined in this Form 10-Q) improved $23.0 million to $51.3 million.</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(as subsequently defined in this Form 10-Q) improved $28.2 million to $127.3 million.</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Operating Margin (as subsequently defined in this Form 10-Q) improved $24.2 million to $84.5 million.</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Highlights from the six month period ended July 29, 2017 compared with the six month period ended July 30, 2016 include the following:</w:t>
      </w:r>
    </w:p>
    <w:p>
      <w:pPr>
        <w:spacing w:after="0" w:line="117" w:lineRule="exact"/>
        <w:rPr>
          <w:sz w:val="20"/>
          <w:szCs w:val="20"/>
          <w:color w:val="auto"/>
        </w:rPr>
      </w:pPr>
    </w:p>
    <w:p>
      <w:pPr>
        <w:ind w:left="1040" w:hanging="519"/>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generated total revenues of $2,721.2 million compared with $2,549.6 million.</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improved $172.0 million to $2,709.8 million (inclusive of a 2.0% comparable store sales increase).</w:t>
      </w:r>
    </w:p>
    <w:p>
      <w:pPr>
        <w:spacing w:after="0" w:line="117" w:lineRule="exact"/>
        <w:rPr>
          <w:rFonts w:ascii="Times New Roman" w:cs="Times New Roman" w:eastAsia="Times New Roman" w:hAnsi="Times New Roman"/>
          <w:sz w:val="18"/>
          <w:szCs w:val="18"/>
          <w:color w:val="auto"/>
        </w:rPr>
      </w:pPr>
    </w:p>
    <w:p>
      <w:pPr>
        <w:ind w:left="1040" w:right="860" w:hanging="519"/>
        <w:spacing w:after="0" w:line="282"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as a percentage of net sales improved to 40.8% compared with 39.9%. This is on top of an approximate 10 basis point improvement in product sourcing costs, which are included in selling, general and administrative expenses.</w:t>
      </w:r>
    </w:p>
    <w:p>
      <w:pPr>
        <w:spacing w:after="0" w:line="53" w:lineRule="exact"/>
        <w:rPr>
          <w:rFonts w:ascii="Times New Roman" w:cs="Times New Roman" w:eastAsia="Times New Roman" w:hAnsi="Times New Roman"/>
          <w:sz w:val="18"/>
          <w:szCs w:val="18"/>
          <w:color w:val="auto"/>
        </w:rPr>
      </w:pPr>
    </w:p>
    <w:p>
      <w:pPr>
        <w:ind w:left="1040" w:hanging="519"/>
        <w:spacing w:after="0" w:line="282"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general and administrative expenses as a percentage of net sales improved to 31.7% compared with 31.9%, inclusive of an approximate 10 basis point improvement in product sourcing costs.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earned net income of $99.3 million compared with net income of $57.9 million.</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improved $37.6 million to $107.5 million.</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improved $44.1 million to $264.1 million.</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Operating Margin improved $37.4 million to $179.4 million.</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color w:val="auto"/>
        </w:rPr>
        <w:t>Fiscal Year</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Fiscal 2017 is defined as the 53 week year ended February 3, 2018. Fiscal 2016 is defined as the 52 week year ending January 28, 2017.</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Store Openings, Closings, and Relocations</w:t>
      </w:r>
    </w:p>
    <w:p>
      <w:pPr>
        <w:spacing w:after="0" w:line="119" w:lineRule="exact"/>
        <w:rPr>
          <w:sz w:val="20"/>
          <w:szCs w:val="20"/>
          <w:color w:val="auto"/>
        </w:rPr>
      </w:pPr>
    </w:p>
    <w:p>
      <w:pPr>
        <w:ind w:right="60" w:firstLine="518"/>
        <w:spacing w:after="0" w:line="282" w:lineRule="auto"/>
        <w:rPr>
          <w:sz w:val="20"/>
          <w:szCs w:val="20"/>
          <w:color w:val="auto"/>
        </w:rPr>
      </w:pPr>
      <w:r>
        <w:rPr>
          <w:rFonts w:ascii="Times New Roman" w:cs="Times New Roman" w:eastAsia="Times New Roman" w:hAnsi="Times New Roman"/>
          <w:sz w:val="18"/>
          <w:szCs w:val="18"/>
          <w:color w:val="auto"/>
        </w:rPr>
        <w:t>During the six month period ended July 29, 2017, we opened 11 new stores and closed three stores, bringing our store count as of July 29, 2017 to 600 stores, inclusive of an internet store.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Newly Adopted Accounting Standards</w:t>
      </w:r>
    </w:p>
    <w:p>
      <w:pPr>
        <w:spacing w:after="0" w:line="119" w:lineRule="exact"/>
        <w:rPr>
          <w:sz w:val="20"/>
          <w:szCs w:val="20"/>
          <w:color w:val="auto"/>
        </w:rPr>
      </w:pPr>
    </w:p>
    <w:p>
      <w:pPr>
        <w:ind w:right="60" w:firstLine="518"/>
        <w:spacing w:after="0" w:line="256" w:lineRule="auto"/>
        <w:rPr>
          <w:sz w:val="20"/>
          <w:szCs w:val="20"/>
          <w:color w:val="auto"/>
        </w:rPr>
      </w:pPr>
      <w:r>
        <w:rPr>
          <w:rFonts w:ascii="Times New Roman" w:cs="Times New Roman" w:eastAsia="Times New Roman" w:hAnsi="Times New Roman"/>
          <w:sz w:val="18"/>
          <w:szCs w:val="18"/>
          <w:color w:val="auto"/>
        </w:rPr>
        <w:t>During the first quarter of Fiscal 2017, we adopted the new share based accounting standard. As a result of this standard, we now recognize excess tax benefits as a reduction to the line item “Income tax expense” in our Condensed Consolidated Statements of Income. The adoption of the new standard improved our net income per share during the three and six month periods ended July 29, 2017 by $0.09 and $0.16, respectively, driven by a lower effective tax rate of 1,140 basis points and 880 basis points, respectively. Refer to Note 1 to our Condensed Consolidated Financial Statements, “Summary of Significant Accounting Policies,” for a discussion of recent accounting pronouncements and their impact on our Condensed Consolidated Financial Statements.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Ongoing Initiatives for Fiscal 2017</w:t>
      </w:r>
    </w:p>
    <w:p>
      <w:pPr>
        <w:spacing w:after="0" w:line="119" w:lineRule="exact"/>
        <w:rPr>
          <w:sz w:val="20"/>
          <w:szCs w:val="20"/>
          <w:color w:val="auto"/>
        </w:rPr>
      </w:pPr>
    </w:p>
    <w:p>
      <w:pPr>
        <w:ind w:right="160" w:firstLine="518"/>
        <w:spacing w:after="0" w:line="282" w:lineRule="auto"/>
        <w:rPr>
          <w:sz w:val="20"/>
          <w:szCs w:val="20"/>
          <w:color w:val="auto"/>
        </w:rPr>
      </w:pPr>
      <w:r>
        <w:rPr>
          <w:rFonts w:ascii="Times New Roman" w:cs="Times New Roman" w:eastAsia="Times New Roman" w:hAnsi="Times New Roman"/>
          <w:sz w:val="18"/>
          <w:szCs w:val="18"/>
          <w:color w:val="auto"/>
        </w:rPr>
        <w:t>We continue to focus on a number of ongoing initiatives aimed at increasing our overall profitability by improving our comparable store sales trends, increasing total sales growth and reducing expenses. These initiatives include, but are not limited to:</w:t>
      </w:r>
    </w:p>
    <w:p>
      <w:pPr>
        <w:spacing w:after="0" w:line="50" w:lineRule="exact"/>
        <w:rPr>
          <w:sz w:val="20"/>
          <w:szCs w:val="20"/>
          <w:color w:val="auto"/>
        </w:rPr>
      </w:pPr>
    </w:p>
    <w:p>
      <w:pPr>
        <w:ind w:left="1040" w:hanging="519"/>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Driving Comparable Store Sales Growth.</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intend to continue to increase comparable store sales through the following initiatives:</w:t>
      </w:r>
    </w:p>
    <w:p>
      <w:pPr>
        <w:spacing w:after="0" w:line="115" w:lineRule="exact"/>
        <w:rPr>
          <w:sz w:val="20"/>
          <w:szCs w:val="20"/>
          <w:color w:val="auto"/>
        </w:rPr>
      </w:pPr>
    </w:p>
    <w:p>
      <w:pPr>
        <w:ind w:left="1540" w:right="60" w:hanging="506"/>
        <w:spacing w:after="0" w:line="256" w:lineRule="auto"/>
        <w:tabs>
          <w:tab w:leader="none" w:pos="1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Continuing to Enhance Execution of the Off-Price Model. </w:t>
      </w:r>
      <w:r>
        <w:rPr>
          <w:rFonts w:ascii="Times New Roman" w:cs="Times New Roman" w:eastAsia="Times New Roman" w:hAnsi="Times New Roman"/>
          <w:sz w:val="18"/>
          <w:szCs w:val="18"/>
          <w:color w:val="auto"/>
        </w:rPr>
        <w:t>We plan to drive comparable store sales by focusing on product freshness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ensure that we consistently deliver newness to the selling floors. We plan to continue to reduce comparable store inventories which we believe will result in faster inventory turnover. We maintain our ability to leverage our “pack and hold” program which is designed to take advantage of terrific buys of either highly desirable branded product or key seasonal merchandise for the next year. While the amount of goods we purchase on pack and hold is purely based on the right opportunities in the marketplace, this continues to be a great avenue to source product. We also intend to use our business intelligence systems to identify sell-through rates by product, capitalize on strong performing categories, identify and buy into new fashion trends and opportunistically acquire products in the marketplace.</w:t>
      </w:r>
    </w:p>
    <w:p>
      <w:pPr>
        <w:spacing w:after="0" w:line="75" w:lineRule="exact"/>
        <w:rPr>
          <w:rFonts w:ascii="Times New Roman" w:cs="Times New Roman" w:eastAsia="Times New Roman" w:hAnsi="Times New Roman"/>
          <w:sz w:val="18"/>
          <w:szCs w:val="18"/>
          <w:color w:val="auto"/>
        </w:rPr>
      </w:pPr>
    </w:p>
    <w:p>
      <w:pPr>
        <w:ind w:left="1540" w:right="100" w:hanging="506"/>
        <w:spacing w:after="0" w:line="259" w:lineRule="auto"/>
        <w:tabs>
          <w:tab w:leader="none" w:pos="1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Sharpening Focus on Our Core Female Customer. </w:t>
      </w:r>
      <w:r>
        <w:rPr>
          <w:rFonts w:ascii="Times New Roman" w:cs="Times New Roman" w:eastAsia="Times New Roman" w:hAnsi="Times New Roman"/>
          <w:sz w:val="18"/>
          <w:szCs w:val="18"/>
          <w:color w:val="auto"/>
        </w:rPr>
        <w:t>We have focused on better serving our core female customer, a brand-conscious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fashion enthusiast, aged 25-49, with an average annual household income of $25,000-$75,000, by improving our product offering, store merchandising and marketing focus on women’s ready-to-wear apparel and accessories to capture incremental sales from our core female customer and become a destination for her across all categories. We believe that these efforts will increase the frequency of her visits and her average spend, further improving the comparable store sales performance in women’s categories.</w:t>
      </w:r>
    </w:p>
    <w:p>
      <w:pPr>
        <w:spacing w:after="0" w:line="71" w:lineRule="exact"/>
        <w:rPr>
          <w:rFonts w:ascii="Times New Roman" w:cs="Times New Roman" w:eastAsia="Times New Roman" w:hAnsi="Times New Roman"/>
          <w:sz w:val="18"/>
          <w:szCs w:val="18"/>
          <w:color w:val="auto"/>
        </w:rPr>
      </w:pPr>
    </w:p>
    <w:p>
      <w:pPr>
        <w:ind w:left="1540" w:hanging="506"/>
        <w:spacing w:after="0" w:line="254" w:lineRule="auto"/>
        <w:tabs>
          <w:tab w:leader="none" w:pos="1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Continuing to Improve Our Customer Experience. </w:t>
      </w:r>
      <w:r>
        <w:rPr>
          <w:rFonts w:ascii="Times New Roman" w:cs="Times New Roman" w:eastAsia="Times New Roman" w:hAnsi="Times New Roman"/>
          <w:sz w:val="18"/>
          <w:szCs w:val="18"/>
          <w:color w:val="auto"/>
        </w:rPr>
        <w:t>We have significantly enhanced the store experience and ease of shopping at all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stores by implementing a comprehensive program focused on offering more brands and styles and simplifying store navigation. We have accomplished this by utilizing clear way-finding signs and distinct product signage, highlighting key brands and new arrivals, improving organization of the floor space, reducing rack density, facilitating quicker checkouts and delivering better customer service. We have made particular improvements in product size visibility, queuing and fitting rooms. To ensure consistent execution of our customer experience priorities, we have improved our store associate training and reorganized and strengthened our field management organization. Our much improved store experience continues to resonate with our customers. We continue to refine our online customer survey to provide more actionable customer feedback to stores. Stores develop action plans to address clearly identified areas of focus. Store managers have the ability to review immediate feedback from their customers, and react accordingly.</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3" w:right="239" w:bottom="1440" w:gutter="0" w:footer="0" w:header="0"/>
        </w:sectPr>
      </w:pPr>
    </w:p>
    <w:bookmarkStart w:id="19" w:name="page20"/>
    <w:bookmarkEnd w:id="19"/>
    <w:p>
      <w:pPr>
        <w:ind w:left="1540" w:hanging="506"/>
        <w:spacing w:after="0" w:line="267" w:lineRule="auto"/>
        <w:tabs>
          <w:tab w:leader="none" w:pos="15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Increasing Our Sales through e-Commerce. </w:t>
      </w:r>
      <w:r>
        <w:rPr>
          <w:rFonts w:ascii="Times New Roman" w:cs="Times New Roman" w:eastAsia="Times New Roman" w:hAnsi="Times New Roman"/>
          <w:sz w:val="18"/>
          <w:szCs w:val="18"/>
          <w:color w:val="auto"/>
        </w:rPr>
        <w:t>We have been selling to our customers online for more than a decade. We plan to leverage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heritage and continue to utilize e-commerce strategies offering merchandise to our customers while driving incremental traffic to our stores.</w:t>
      </w:r>
    </w:p>
    <w:p>
      <w:pPr>
        <w:spacing w:after="0" w:line="65" w:lineRule="exact"/>
        <w:rPr>
          <w:rFonts w:ascii="Times New Roman" w:cs="Times New Roman" w:eastAsia="Times New Roman" w:hAnsi="Times New Roman"/>
          <w:sz w:val="18"/>
          <w:szCs w:val="18"/>
          <w:color w:val="auto"/>
        </w:rPr>
      </w:pPr>
    </w:p>
    <w:p>
      <w:pPr>
        <w:ind w:left="1540" w:right="60" w:hanging="506"/>
        <w:spacing w:after="0" w:line="267" w:lineRule="auto"/>
        <w:tabs>
          <w:tab w:leader="none" w:pos="15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Enhancing Existing Categories and Introducing New Categories. </w:t>
      </w:r>
      <w:r>
        <w:rPr>
          <w:rFonts w:ascii="Times New Roman" w:cs="Times New Roman" w:eastAsia="Times New Roman" w:hAnsi="Times New Roman"/>
          <w:sz w:val="18"/>
          <w:szCs w:val="18"/>
          <w:color w:val="auto"/>
        </w:rPr>
        <w:t>We have opportunities to expand the depth and breadth of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existing categories such as ladies’ apparel, children’s products, bath and cosmetic merchandise, housewares and décor for the home, and beauty as we continue to de-weather our business, and maintain the flexibility to introduce new categories.</w:t>
      </w:r>
    </w:p>
    <w:p>
      <w:pPr>
        <w:spacing w:after="0" w:line="171"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Expanding and Enhancing Our Retail Store Base.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intend to expand and enhance our retail store base through the following initiatives:</w:t>
      </w:r>
    </w:p>
    <w:p>
      <w:pPr>
        <w:spacing w:after="0" w:line="115" w:lineRule="exact"/>
        <w:rPr>
          <w:sz w:val="20"/>
          <w:szCs w:val="20"/>
          <w:color w:val="auto"/>
        </w:rPr>
      </w:pPr>
    </w:p>
    <w:p>
      <w:pPr>
        <w:jc w:val="both"/>
        <w:ind w:left="1540" w:right="220" w:hanging="506"/>
        <w:spacing w:after="0" w:line="267" w:lineRule="auto"/>
        <w:tabs>
          <w:tab w:leader="none" w:pos="15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Adhering to a Market Focused and Financially Disciplined Real Estate Strategy. </w:t>
      </w:r>
      <w:r>
        <w:rPr>
          <w:rFonts w:ascii="Times New Roman" w:cs="Times New Roman" w:eastAsia="Times New Roman" w:hAnsi="Times New Roman"/>
          <w:sz w:val="18"/>
          <w:szCs w:val="18"/>
          <w:color w:val="auto"/>
        </w:rPr>
        <w:t>We have grown our store base consistently since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founding in 1972, developing more than 99% of our stores organically. We believe there is significant opportunity to expand our retail store base in the United States. Our goal going forward is to open a minimum of 30 net new Burlington Stores annually.</w:t>
      </w:r>
    </w:p>
    <w:p>
      <w:pPr>
        <w:spacing w:after="0" w:line="65" w:lineRule="exact"/>
        <w:rPr>
          <w:rFonts w:ascii="Times New Roman" w:cs="Times New Roman" w:eastAsia="Times New Roman" w:hAnsi="Times New Roman"/>
          <w:sz w:val="18"/>
          <w:szCs w:val="18"/>
          <w:color w:val="auto"/>
        </w:rPr>
      </w:pPr>
    </w:p>
    <w:p>
      <w:pPr>
        <w:ind w:left="1540" w:right="40" w:hanging="506"/>
        <w:spacing w:after="0" w:line="259" w:lineRule="auto"/>
        <w:tabs>
          <w:tab w:leader="none" w:pos="15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Maintaining Focus on Unit Economics and Returns. </w:t>
      </w:r>
      <w:r>
        <w:rPr>
          <w:rFonts w:ascii="Times New Roman" w:cs="Times New Roman" w:eastAsia="Times New Roman" w:hAnsi="Times New Roman"/>
          <w:sz w:val="18"/>
          <w:szCs w:val="18"/>
          <w:color w:val="auto"/>
        </w:rPr>
        <w:t>We have adopted a market focused approach to new store openings with a specific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focus on maximizing sales while achieving attractive unit economics and returns. By focusing on opening stores with attractive unit economics, we are able to achieve attractive returns on capital and continue to grow our margins. We believe that as we continue to reduce our comparable store inventory, we will be able to reduce the square footage of our stores while continuing to maintain our broad assortment.</w:t>
      </w:r>
    </w:p>
    <w:p>
      <w:pPr>
        <w:spacing w:after="0" w:line="71" w:lineRule="exact"/>
        <w:rPr>
          <w:rFonts w:ascii="Times New Roman" w:cs="Times New Roman" w:eastAsia="Times New Roman" w:hAnsi="Times New Roman"/>
          <w:sz w:val="18"/>
          <w:szCs w:val="18"/>
          <w:color w:val="auto"/>
        </w:rPr>
      </w:pPr>
    </w:p>
    <w:p>
      <w:pPr>
        <w:ind w:left="1540" w:right="120" w:hanging="506"/>
        <w:spacing w:after="0" w:line="259" w:lineRule="auto"/>
        <w:tabs>
          <w:tab w:leader="none" w:pos="15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Enhancing the Store Experience Through Store Remodels. </w:t>
      </w:r>
      <w:r>
        <w:rPr>
          <w:rFonts w:ascii="Times New Roman" w:cs="Times New Roman" w:eastAsia="Times New Roman" w:hAnsi="Times New Roman"/>
          <w:sz w:val="18"/>
          <w:szCs w:val="18"/>
          <w:color w:val="auto"/>
        </w:rPr>
        <w:t>We continue to invest in store remodels on a store-by-store basis where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appropriate, taking into consideration the age, sales and profitability of a store, as well as the potential impact to the customer shopping experience. In our remodeled stores, we have typically incorporated new flooring, painting, lighting and graphics, relocated our fitting rooms to maximize productive selling space, added new departments such as home and accessories and made various other improvements as appropriate by location.</w:t>
      </w:r>
    </w:p>
    <w:p>
      <w:pPr>
        <w:spacing w:after="0" w:line="17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Enhancing Operating Margins.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intend to increase our operating margins through the following initiatives:</w:t>
      </w:r>
    </w:p>
    <w:p>
      <w:pPr>
        <w:spacing w:after="0" w:line="115" w:lineRule="exact"/>
        <w:rPr>
          <w:sz w:val="20"/>
          <w:szCs w:val="20"/>
          <w:color w:val="auto"/>
        </w:rPr>
      </w:pPr>
    </w:p>
    <w:p>
      <w:pPr>
        <w:jc w:val="both"/>
        <w:ind w:left="1540" w:right="240" w:hanging="506"/>
        <w:spacing w:after="0" w:line="267" w:lineRule="auto"/>
        <w:tabs>
          <w:tab w:leader="none" w:pos="1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Optimize Markdowns. </w:t>
      </w:r>
      <w:r>
        <w:rPr>
          <w:rFonts w:ascii="Times New Roman" w:cs="Times New Roman" w:eastAsia="Times New Roman" w:hAnsi="Times New Roman"/>
          <w:sz w:val="18"/>
          <w:szCs w:val="18"/>
          <w:color w:val="auto"/>
        </w:rPr>
        <w:t>We believe that our markdown system allows us to maximize sales and gross margin dollars based on forward-looking sales forecasts, sell-through targets, and exit dates. This allows us to optimize markdowns at the style and color level by store cluster.</w:t>
      </w:r>
    </w:p>
    <w:p>
      <w:pPr>
        <w:spacing w:after="0" w:line="65" w:lineRule="exact"/>
        <w:rPr>
          <w:rFonts w:ascii="Times New Roman" w:cs="Times New Roman" w:eastAsia="Times New Roman" w:hAnsi="Times New Roman"/>
          <w:sz w:val="18"/>
          <w:szCs w:val="18"/>
          <w:color w:val="auto"/>
        </w:rPr>
      </w:pPr>
    </w:p>
    <w:p>
      <w:pPr>
        <w:ind w:left="1540" w:right="40" w:hanging="506"/>
        <w:spacing w:after="0" w:line="315" w:lineRule="auto"/>
        <w:tabs>
          <w:tab w:leader="none" w:pos="15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Enhance Purchasing Power. </w:t>
      </w:r>
      <w:r>
        <w:rPr>
          <w:rFonts w:ascii="Times New Roman" w:cs="Times New Roman" w:eastAsia="Times New Roman" w:hAnsi="Times New Roman"/>
          <w:sz w:val="17"/>
          <w:szCs w:val="17"/>
          <w:color w:val="auto"/>
        </w:rPr>
        <w:t>We believe that our increasing size and West Coast buying office provide us with the opportunity to capture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incremental buying opportunities and realize economies of scale in our merchandising and non-merchandising purchasing activities.</w:t>
      </w:r>
    </w:p>
    <w:p>
      <w:pPr>
        <w:spacing w:after="0" w:line="27" w:lineRule="exact"/>
        <w:rPr>
          <w:rFonts w:ascii="Times New Roman" w:cs="Times New Roman" w:eastAsia="Times New Roman" w:hAnsi="Times New Roman"/>
          <w:sz w:val="17"/>
          <w:szCs w:val="17"/>
          <w:color w:val="auto"/>
        </w:rPr>
      </w:pPr>
    </w:p>
    <w:p>
      <w:pPr>
        <w:ind w:left="1540" w:right="620" w:hanging="506"/>
        <w:spacing w:after="0" w:line="284" w:lineRule="auto"/>
        <w:tabs>
          <w:tab w:leader="none" w:pos="1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Drive Operating Leverage. </w:t>
      </w:r>
      <w:r>
        <w:rPr>
          <w:rFonts w:ascii="Times New Roman" w:cs="Times New Roman" w:eastAsia="Times New Roman" w:hAnsi="Times New Roman"/>
          <w:sz w:val="18"/>
          <w:szCs w:val="18"/>
          <w:color w:val="auto"/>
        </w:rPr>
        <w:t>We believe that we will be able to leverage our growing sales over the fixed costs of our business.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 we are focused on continuing to improve the efficiency of our corporate and in-store operations.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Uncertainties and Challenges</w:t>
      </w:r>
    </w:p>
    <w:p>
      <w:pPr>
        <w:spacing w:after="0" w:line="121"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As we strive to increase profitability through achieving positive comparable store sales and leveraging productivity initiatives focused on improving the in-store experience, more efficient movement of products from the vendors to the selling floors, and modifying our marketing plans to increase our core customer base and increase our share of our current customers’ spending, there are uncertainties and challenges that we face as an off-price retailer of apparel and accessories for men, women and children and home furnishings that could have a material impact on our revenues or income.</w:t>
      </w:r>
    </w:p>
    <w:p>
      <w:pPr>
        <w:spacing w:after="0" w:line="178" w:lineRule="exact"/>
        <w:rPr>
          <w:sz w:val="20"/>
          <w:szCs w:val="20"/>
          <w:color w:val="auto"/>
        </w:rPr>
      </w:pPr>
    </w:p>
    <w:p>
      <w:pPr>
        <w:ind w:right="100" w:firstLine="518"/>
        <w:spacing w:after="0" w:line="284" w:lineRule="auto"/>
        <w:rPr>
          <w:sz w:val="20"/>
          <w:szCs w:val="20"/>
          <w:color w:val="auto"/>
        </w:rPr>
      </w:pPr>
      <w:r>
        <w:rPr>
          <w:rFonts w:ascii="Times New Roman" w:cs="Times New Roman" w:eastAsia="Times New Roman" w:hAnsi="Times New Roman"/>
          <w:sz w:val="18"/>
          <w:szCs w:val="18"/>
          <w:i w:val="1"/>
          <w:iCs w:val="1"/>
          <w:color w:val="auto"/>
        </w:rPr>
        <w:t>Seasonality of Sales and Weather Conditions</w:t>
      </w:r>
      <w:r>
        <w:rPr>
          <w:rFonts w:ascii="Times New Roman" w:cs="Times New Roman" w:eastAsia="Times New Roman" w:hAnsi="Times New Roman"/>
          <w:sz w:val="18"/>
          <w:szCs w:val="18"/>
          <w:color w:val="auto"/>
        </w:rPr>
        <w:t>. Our sales, like most other retailers, are subject to seasonal influences, with the majority of our sales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income derived during the second half of the year, which includes the back-to-school and holiday seasons.</w:t>
      </w:r>
    </w:p>
    <w:p>
      <w:pPr>
        <w:spacing w:after="0" w:line="160"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Weather continues to be a contributing factor to the sale of our clothing. Generally, our sales are higher if the weather is cold during the Fall and warm during the early Spring. Sales of cold weather clothing are increased by early cold weather during the Fall, while sales of warm weather clothing are improved by early warm weather conditions in the Spring. Although we have diversified our product offerings, we believe traffic to our stores is still driven, in part, by weather patterns.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20" w:name="page21"/>
    <w:bookmarkEnd w:id="20"/>
    <w:p>
      <w:pPr>
        <w:ind w:right="20" w:firstLine="5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Economic Conditions. </w:t>
      </w:r>
      <w:r>
        <w:rPr>
          <w:rFonts w:ascii="Times New Roman" w:cs="Times New Roman" w:eastAsia="Times New Roman" w:hAnsi="Times New Roman"/>
          <w:sz w:val="18"/>
          <w:szCs w:val="18"/>
          <w:color w:val="auto"/>
        </w:rPr>
        <w:t>Consumer spending habits, including spending for the merchandise that we sell, are affected by, among other things,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prevailing global economic conditions, inflation, levels of employment, salaries and wage rates, prevailing interest rates, housing costs, energy costs, commodities pricing, income tax rates and policies, consumer confidence and consumer perception of economic conditions. In addition, consumer purchasing patterns may be influenced by consumers’ disposable income, credit availability and debt levels.</w:t>
      </w:r>
    </w:p>
    <w:p>
      <w:pPr>
        <w:spacing w:after="0" w:line="182"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A slowdown in the U.S. economy, an uncertain global economic outlook or a credit crisis could adversely affect consumer spending habits resulting in lower net sales and profits than expected on a quarterly or annual basis. Consumer confidence is also affected by the domestic and international political situation. Our financial condition and operations could be impacted by changes in government regulations in areas including, but not limited to, taxes and healthcare. The outbreak or escalation of war, or the occurrence of terrorist acts or other hostilities in or affecting the U.S., could lead to a decrease in spending by consumers. In addition, natural disasters, industrial accidents and acts of war in various parts of the world could have the effect of disrupting supplies and raising prices globally which, in turn, may have adverse effects on the world and U.S. economies and lead to a downturn in consumer confidence and spending.</w:t>
      </w:r>
    </w:p>
    <w:p>
      <w:pPr>
        <w:spacing w:after="0" w:line="189"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We closely monitor our net sales, gross margin, expenses and working capital. We have performed scenario planning such that if our net sales decline, we have identified variable costs that could be reduced to partially mitigate the impact of these declines. If we were to experience adverse economic trends and/or if our efforts to counteract the impacts of these trends are not sufficiently effective, there could be a negative impact on our financial performance and position in future fiscal periods.</w:t>
      </w:r>
    </w:p>
    <w:p>
      <w:pPr>
        <w:spacing w:after="0" w:line="178" w:lineRule="exact"/>
        <w:rPr>
          <w:sz w:val="20"/>
          <w:szCs w:val="20"/>
          <w:color w:val="auto"/>
        </w:rPr>
      </w:pPr>
    </w:p>
    <w:p>
      <w:pPr>
        <w:ind w:right="40" w:firstLine="51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Competition and Margin Pressure. </w:t>
      </w:r>
      <w:r>
        <w:rPr>
          <w:rFonts w:ascii="Times New Roman" w:cs="Times New Roman" w:eastAsia="Times New Roman" w:hAnsi="Times New Roman"/>
          <w:sz w:val="18"/>
          <w:szCs w:val="18"/>
          <w:color w:val="auto"/>
        </w:rPr>
        <w:t>We believe that in order to remain competitive, we must continue to offer brand-name merchandise at a discount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prices offered by other retailers as well as an assortment of merchandise that is appealing to our customers.</w:t>
      </w:r>
    </w:p>
    <w:p>
      <w:pPr>
        <w:spacing w:after="0" w:line="160" w:lineRule="exact"/>
        <w:rPr>
          <w:sz w:val="20"/>
          <w:szCs w:val="20"/>
          <w:color w:val="auto"/>
        </w:rPr>
      </w:pPr>
    </w:p>
    <w:p>
      <w:pPr>
        <w:ind w:right="180" w:firstLine="518"/>
        <w:spacing w:after="0" w:line="258" w:lineRule="auto"/>
        <w:rPr>
          <w:sz w:val="20"/>
          <w:szCs w:val="20"/>
          <w:color w:val="auto"/>
        </w:rPr>
      </w:pPr>
      <w:r>
        <w:rPr>
          <w:rFonts w:ascii="Times New Roman" w:cs="Times New Roman" w:eastAsia="Times New Roman" w:hAnsi="Times New Roman"/>
          <w:sz w:val="18"/>
          <w:szCs w:val="18"/>
          <w:color w:val="auto"/>
        </w:rPr>
        <w:t>The U.S. retail apparel and home furnishings markets are highly fragmented and competitive. We compete for business with department stores, off-price retailers, internet retailers, specialty stores, discount stores, wholesale clubs, and outlet stores as well as with certain traditional, full-price retail chains that have developed off-price concepts. At various times throughout the year, traditional full-price department store chains and specialty shops offer brand-name merchandise at substantial markdowns, which can result in prices approximating those offered by us at our Burlington stores. We anticipate that competition will increase in the future. Therefore, we will continue to look for ways to differentiate our stores from those of our competitors.</w:t>
      </w:r>
    </w:p>
    <w:p>
      <w:pPr>
        <w:spacing w:after="0" w:line="184"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The U.S. retail industry continues to face increased pressure on margins as overall challenging retail conditions have led consumers to be more value conscious. Our “open to buy” paradigm, in which we purchase both pre-season and in-season merchandise, allows us the flexibility to purchase less pre-season with the balance purchased in-season and opportunistically. It also provides us with the flexibility to shift purchases between suppliers and categories. This enables us to obtain better terms with our suppliers, which we expect to help offset any rising costs of goods.</w:t>
      </w:r>
    </w:p>
    <w:p>
      <w:pPr>
        <w:spacing w:after="0" w:line="180" w:lineRule="exact"/>
        <w:rPr>
          <w:sz w:val="20"/>
          <w:szCs w:val="20"/>
          <w:color w:val="auto"/>
        </w:rPr>
      </w:pPr>
    </w:p>
    <w:p>
      <w:pPr>
        <w:ind w:right="320" w:firstLine="518"/>
        <w:spacing w:after="0" w:line="282" w:lineRule="auto"/>
        <w:rPr>
          <w:sz w:val="20"/>
          <w:szCs w:val="20"/>
          <w:color w:val="auto"/>
        </w:rPr>
      </w:pPr>
      <w:r>
        <w:rPr>
          <w:rFonts w:ascii="Times New Roman" w:cs="Times New Roman" w:eastAsia="Times New Roman" w:hAnsi="Times New Roman"/>
          <w:sz w:val="18"/>
          <w:szCs w:val="18"/>
          <w:color w:val="auto"/>
        </w:rPr>
        <w:t>Changes to import and export laws could have a direct impact on our income and an indirect impact on consumer prices. Unfortunately, we cannot predict any future changes in such laws.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Measures</w:t>
      </w:r>
    </w:p>
    <w:p>
      <w:pPr>
        <w:spacing w:after="0" w:line="121" w:lineRule="exact"/>
        <w:rPr>
          <w:sz w:val="20"/>
          <w:szCs w:val="20"/>
          <w:color w:val="auto"/>
        </w:rPr>
      </w:pPr>
    </w:p>
    <w:p>
      <w:pPr>
        <w:ind w:right="320" w:firstLine="518"/>
        <w:spacing w:after="0" w:line="266" w:lineRule="auto"/>
        <w:rPr>
          <w:sz w:val="20"/>
          <w:szCs w:val="20"/>
          <w:color w:val="auto"/>
        </w:rPr>
      </w:pPr>
      <w:r>
        <w:rPr>
          <w:rFonts w:ascii="Times New Roman" w:cs="Times New Roman" w:eastAsia="Times New Roman" w:hAnsi="Times New Roman"/>
          <w:sz w:val="18"/>
          <w:szCs w:val="18"/>
          <w:color w:val="auto"/>
        </w:rPr>
        <w:t>We consider numerous factors in assessing our performance. Key performance measures used by management include net income, Adjusted Net Income, Adjusted EBITDA, Adjusted Operating Margin (which we may also refer to as Adjusted EBIT), comparable store sales, gross margin, inventory, store payroll as a percentage of net sales and liquidity.</w:t>
      </w:r>
    </w:p>
    <w:p>
      <w:pPr>
        <w:spacing w:after="0" w:line="66" w:lineRule="exact"/>
        <w:rPr>
          <w:sz w:val="20"/>
          <w:szCs w:val="20"/>
          <w:color w:val="auto"/>
        </w:rPr>
      </w:pPr>
    </w:p>
    <w:p>
      <w:pPr>
        <w:ind w:right="180" w:firstLine="518"/>
        <w:spacing w:after="0" w:line="257" w:lineRule="auto"/>
        <w:rPr>
          <w:sz w:val="20"/>
          <w:szCs w:val="20"/>
          <w:color w:val="auto"/>
        </w:rPr>
      </w:pPr>
      <w:r>
        <w:rPr>
          <w:rFonts w:ascii="Times New Roman" w:cs="Times New Roman" w:eastAsia="Times New Roman" w:hAnsi="Times New Roman"/>
          <w:sz w:val="18"/>
          <w:szCs w:val="18"/>
          <w:i w:val="1"/>
          <w:iCs w:val="1"/>
          <w:color w:val="auto"/>
        </w:rPr>
        <w:t>Net income</w:t>
      </w:r>
      <w:r>
        <w:rPr>
          <w:rFonts w:ascii="Times New Roman" w:cs="Times New Roman" w:eastAsia="Times New Roman" w:hAnsi="Times New Roman"/>
          <w:sz w:val="18"/>
          <w:szCs w:val="18"/>
          <w:color w:val="auto"/>
        </w:rPr>
        <w:t>. We earned net income of $46.9 million during the three month period ended July 29, 2017 compared with net income of $20.4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the three month period ended July 30, 2016. We earned net income of $99.3 million during the six month period ended July 29, 2017 compared with net income of $57.9 million during the six month period ended July 30, 2016. These improvements were primarily driven by our improved gross margin as well as an improvement in our income tax expense driven by the adoption of the new share based accounting standard. These improvements were partially offset by increases in our selling, general and administrative expenses, as well as depreciation and amortization expense; refer to the section below entitled “Results of Operations” for further explanation.</w:t>
      </w:r>
    </w:p>
    <w:p>
      <w:pPr>
        <w:spacing w:after="0" w:line="183" w:lineRule="exact"/>
        <w:rPr>
          <w:sz w:val="20"/>
          <w:szCs w:val="20"/>
          <w:color w:val="auto"/>
        </w:rPr>
      </w:pPr>
    </w:p>
    <w:p>
      <w:pPr>
        <w:ind w:right="220" w:firstLine="518"/>
        <w:spacing w:after="0" w:line="284" w:lineRule="auto"/>
        <w:rPr>
          <w:sz w:val="20"/>
          <w:szCs w:val="20"/>
          <w:color w:val="auto"/>
        </w:rPr>
      </w:pPr>
      <w:r>
        <w:rPr>
          <w:rFonts w:ascii="Times New Roman" w:cs="Times New Roman" w:eastAsia="Times New Roman" w:hAnsi="Times New Roman"/>
          <w:sz w:val="18"/>
          <w:szCs w:val="18"/>
          <w:i w:val="1"/>
          <w:iCs w:val="1"/>
          <w:color w:val="auto"/>
        </w:rPr>
        <w:t>Adjusted Net Income, Adjusted EBITDA and Adjusted Operating Margin</w:t>
      </w:r>
      <w:r>
        <w:rPr>
          <w:rFonts w:ascii="Times New Roman" w:cs="Times New Roman" w:eastAsia="Times New Roman" w:hAnsi="Times New Roman"/>
          <w:sz w:val="18"/>
          <w:szCs w:val="18"/>
          <w:color w:val="auto"/>
        </w:rPr>
        <w:t>: Adjusted Net Income, Adjusted EBITDA and Adjusted Operating Margin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non-GAAP financial measures of our performance.</w:t>
      </w:r>
    </w:p>
    <w:p>
      <w:pPr>
        <w:spacing w:after="0" w:line="160" w:lineRule="exact"/>
        <w:rPr>
          <w:sz w:val="20"/>
          <w:szCs w:val="20"/>
          <w:color w:val="auto"/>
        </w:rPr>
      </w:pPr>
    </w:p>
    <w:p>
      <w:pPr>
        <w:ind w:right="80" w:firstLine="518"/>
        <w:spacing w:after="0" w:line="282" w:lineRule="auto"/>
        <w:rPr>
          <w:sz w:val="20"/>
          <w:szCs w:val="20"/>
          <w:color w:val="auto"/>
        </w:rPr>
      </w:pPr>
      <w:r>
        <w:rPr>
          <w:rFonts w:ascii="Times New Roman" w:cs="Times New Roman" w:eastAsia="Times New Roman" w:hAnsi="Times New Roman"/>
          <w:sz w:val="18"/>
          <w:szCs w:val="18"/>
          <w:color w:val="auto"/>
        </w:rPr>
        <w:t>We define Adjusted Net Income as net income, exclusive of the following items, if applicable: (i) net favorable lease amortization; (ii) costs related to debt amendments; (iii) stock option modification expense; (iv) loss on extinguishment of debt;</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5" w:right="259" w:bottom="1440" w:gutter="0" w:footer="0" w:header="0"/>
        </w:sectPr>
      </w:pPr>
    </w:p>
    <w:bookmarkStart w:id="21" w:name="page22"/>
    <w:bookmarkEnd w:id="21"/>
    <w:p>
      <w:pPr>
        <w:ind w:right="100" w:firstLine="8"/>
        <w:spacing w:after="0" w:line="282" w:lineRule="auto"/>
        <w:tabs>
          <w:tab w:leader="none" w:pos="2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charges; (vi) advisory fees; (vii) amounts related to certain litigation and (viii) other unusual, non-recurring or extraordinary expenses, losses, charges or gains, all of which are tax effected to arrive at Adjusted Net Income.</w:t>
      </w:r>
    </w:p>
    <w:p>
      <w:pPr>
        <w:spacing w:after="0" w:line="162" w:lineRule="exact"/>
        <w:rPr>
          <w:sz w:val="20"/>
          <w:szCs w:val="20"/>
          <w:color w:val="auto"/>
        </w:rPr>
      </w:pPr>
    </w:p>
    <w:p>
      <w:pPr>
        <w:ind w:right="340" w:firstLine="518"/>
        <w:spacing w:after="0" w:line="261" w:lineRule="auto"/>
        <w:rPr>
          <w:sz w:val="20"/>
          <w:szCs w:val="20"/>
          <w:color w:val="auto"/>
        </w:rPr>
      </w:pPr>
      <w:r>
        <w:rPr>
          <w:rFonts w:ascii="Times New Roman" w:cs="Times New Roman" w:eastAsia="Times New Roman" w:hAnsi="Times New Roman"/>
          <w:sz w:val="18"/>
          <w:szCs w:val="18"/>
          <w:color w:val="auto"/>
        </w:rPr>
        <w:t>We define Adjusted EBITDA as net income, exclusive of the following items, if applicable: (i) interest expense, net; (ii) loss on extinguishment of debt; (iii) income tax expense (benefit); (iv) depreciation and amortization; (v) impairment charges; (vi) advisory fees; (vii) stock option modification expense; (viii) costs related to debt amendments; (ix) amounts related to certain litigation and (x) other unusual, non-recurring or extraordinary expenses, losses, charges or gains.</w:t>
      </w:r>
    </w:p>
    <w:p>
      <w:pPr>
        <w:spacing w:after="0" w:line="180" w:lineRule="exact"/>
        <w:rPr>
          <w:sz w:val="20"/>
          <w:szCs w:val="20"/>
          <w:color w:val="auto"/>
        </w:rPr>
      </w:pPr>
    </w:p>
    <w:p>
      <w:pPr>
        <w:ind w:right="620" w:firstLine="518"/>
        <w:spacing w:after="0" w:line="261" w:lineRule="auto"/>
        <w:rPr>
          <w:sz w:val="20"/>
          <w:szCs w:val="20"/>
          <w:color w:val="auto"/>
        </w:rPr>
      </w:pPr>
      <w:r>
        <w:rPr>
          <w:rFonts w:ascii="Times New Roman" w:cs="Times New Roman" w:eastAsia="Times New Roman" w:hAnsi="Times New Roman"/>
          <w:sz w:val="18"/>
          <w:szCs w:val="18"/>
          <w:color w:val="auto"/>
        </w:rPr>
        <w:t>We define Adjusted Operating Margin as net income, exclusive of the following items, if applicable: (i) interest expense, net, (ii) loss on extinguishment of debt, (iii) income tax expense (benefit), (iv) impairment charges, (v) advisory fees, (vi) stock option modification expense, (vii) net favorable lease amortization, (viii) costs related to debt amendments, (ix) amounts related to certain litigation and (x) other unusual, non-recurring or extraordinary expenses, losses, charges or gains.</w:t>
      </w:r>
    </w:p>
    <w:p>
      <w:pPr>
        <w:spacing w:after="0" w:line="180"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We present Adjusted Net Income, Adjusted EBITDA and Adjusted Operating Margin because we believe they are useful supplemental measures in evaluating the performance of our business and provide greater transparency into our results of operations. In particular, we believe that excluding certain items that may vary substantially in frequency and magnitude from operating income are useful supplemental measures that assist in evaluating our ability to generate earnings and leverage sales, and to more readily compare these metrics between past and future periods.</w:t>
      </w:r>
    </w:p>
    <w:p>
      <w:pPr>
        <w:spacing w:after="0" w:line="180" w:lineRule="exact"/>
        <w:rPr>
          <w:sz w:val="20"/>
          <w:szCs w:val="20"/>
          <w:color w:val="auto"/>
        </w:rPr>
      </w:pPr>
    </w:p>
    <w:p>
      <w:pPr>
        <w:ind w:right="320" w:firstLine="518"/>
        <w:spacing w:after="0" w:line="282" w:lineRule="auto"/>
        <w:rPr>
          <w:sz w:val="20"/>
          <w:szCs w:val="20"/>
          <w:color w:val="auto"/>
        </w:rPr>
      </w:pPr>
      <w:r>
        <w:rPr>
          <w:rFonts w:ascii="Times New Roman" w:cs="Times New Roman" w:eastAsia="Times New Roman" w:hAnsi="Times New Roman"/>
          <w:sz w:val="18"/>
          <w:szCs w:val="18"/>
          <w:color w:val="auto"/>
        </w:rPr>
        <w:t>Adjusted Net Income has limitations as an analytical tool, and should not be considered either in isolation or as a substitute for net income or other data prepared in accordance with GAAP. Among other limitations, Adjusted Net Income does not reflect:</w:t>
      </w:r>
    </w:p>
    <w:p>
      <w:pPr>
        <w:spacing w:after="0" w:line="54" w:lineRule="exact"/>
        <w:rPr>
          <w:sz w:val="20"/>
          <w:szCs w:val="20"/>
          <w:color w:val="auto"/>
        </w:rPr>
      </w:pPr>
    </w:p>
    <w:p>
      <w:pPr>
        <w:ind w:left="1040" w:hanging="519"/>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amortization of net favorable leases, which are amortized over the life of the lease;</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debt amendments that were expensed during the fiscal periods;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our May 2013 stock option modification;</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on the extinguishment of debt;</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charges on long-lived assets;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charged for certain ongoing litigation; or</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unusual, non-recurring or extraordinary expenses, losses, charges or gains.</w:t>
      </w:r>
    </w:p>
    <w:p>
      <w:pPr>
        <w:spacing w:after="0" w:line="225"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During the three and six months ended July 29, 2017, Adjusted Net Income improved $23.0 million to $51.3 million and $37.6 million to $107.5 million, respectively. These improvements were primarily driven by our improved gross margin as well as an improvement in our income tax expense driven by the adoption of the new share based accounting standard, partially offset by increased selling, general and administrative expenses and depreciation expense, net of the tax effect of the adjustments cited above. Refer to the section below entitled “Results of Operations” for further explanation.</w:t>
      </w:r>
    </w:p>
    <w:p>
      <w:pPr>
        <w:spacing w:after="0" w:line="180" w:lineRule="exact"/>
        <w:rPr>
          <w:sz w:val="20"/>
          <w:szCs w:val="20"/>
          <w:color w:val="auto"/>
        </w:rPr>
      </w:pPr>
    </w:p>
    <w:p>
      <w:pPr>
        <w:ind w:right="18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 shows our reconciliation of net income to Adjusted Net Income for the three and six months ended July 29, 2017 compared with the three and six months ended July 30, 2016:</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4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80" w:type="dxa"/>
            <w:vAlign w:val="bottom"/>
            <w:gridSpan w:val="6"/>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44"/>
        </w:trPr>
        <w:tc>
          <w:tcPr>
            <w:tcW w:w="63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jc w:val="right"/>
              <w:ind w:right="580"/>
              <w:spacing w:after="0" w:line="145" w:lineRule="exact"/>
              <w:rPr>
                <w:sz w:val="20"/>
                <w:szCs w:val="20"/>
                <w:color w:val="auto"/>
              </w:rPr>
            </w:pPr>
            <w:r>
              <w:rPr>
                <w:rFonts w:ascii="Times New Roman" w:cs="Times New Roman" w:eastAsia="Times New Roman" w:hAnsi="Times New Roman"/>
                <w:sz w:val="14"/>
                <w:szCs w:val="14"/>
                <w:b w:val="1"/>
                <w:bCs w:val="1"/>
                <w:color w:val="auto"/>
              </w:rPr>
              <w:t>July 29,</w:t>
            </w:r>
          </w:p>
        </w:tc>
        <w:tc>
          <w:tcPr>
            <w:tcW w:w="2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233"/>
              <w:spacing w:after="0" w:line="145" w:lineRule="exact"/>
              <w:rPr>
                <w:sz w:val="20"/>
                <w:szCs w:val="20"/>
                <w:color w:val="auto"/>
              </w:rPr>
            </w:pPr>
            <w:r>
              <w:rPr>
                <w:rFonts w:ascii="Times New Roman" w:cs="Times New Roman" w:eastAsia="Times New Roman" w:hAnsi="Times New Roman"/>
                <w:sz w:val="14"/>
                <w:szCs w:val="14"/>
                <w:b w:val="1"/>
                <w:bCs w:val="1"/>
                <w:color w:val="auto"/>
              </w:rPr>
              <w:t>July 30,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right"/>
              <w:ind w:right="440"/>
              <w:spacing w:after="0" w:line="145" w:lineRule="exact"/>
              <w:rPr>
                <w:sz w:val="20"/>
                <w:szCs w:val="20"/>
                <w:color w:val="auto"/>
              </w:rPr>
            </w:pPr>
            <w:r>
              <w:rPr>
                <w:rFonts w:ascii="Times New Roman" w:cs="Times New Roman" w:eastAsia="Times New Roman" w:hAnsi="Times New Roman"/>
                <w:sz w:val="14"/>
                <w:szCs w:val="14"/>
                <w:b w:val="1"/>
                <w:bCs w:val="1"/>
                <w:color w:val="auto"/>
              </w:rPr>
              <w:t>July 29,</w:t>
            </w: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173"/>
              <w:spacing w:after="0" w:line="145" w:lineRule="exact"/>
              <w:rPr>
                <w:sz w:val="20"/>
                <w:szCs w:val="20"/>
                <w:color w:val="auto"/>
              </w:rPr>
            </w:pPr>
            <w:r>
              <w:rPr>
                <w:rFonts w:ascii="Times New Roman" w:cs="Times New Roman" w:eastAsia="Times New Roman" w:hAnsi="Times New Roman"/>
                <w:sz w:val="14"/>
                <w:szCs w:val="14"/>
                <w:b w:val="1"/>
                <w:bCs w:val="1"/>
                <w:color w:val="auto"/>
              </w:rPr>
              <w:t>July 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Reconciliation of net income to Adjusted Net Income:</w:t>
            </w: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2017</w:t>
            </w:r>
          </w:p>
        </w:tc>
        <w:tc>
          <w:tcPr>
            <w:tcW w:w="3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3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3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46,902</w:t>
            </w:r>
          </w:p>
        </w:tc>
        <w:tc>
          <w:tcPr>
            <w:tcW w:w="30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20,394</w:t>
            </w:r>
          </w:p>
        </w:tc>
        <w:tc>
          <w:tcPr>
            <w:tcW w:w="180" w:type="dxa"/>
            <w:vAlign w:val="bottom"/>
            <w:shd w:val="clear" w:color="auto" w:fill="CFF0FC"/>
          </w:tcPr>
          <w:p>
            <w:pPr>
              <w:spacing w:after="0"/>
              <w:rPr>
                <w:sz w:val="20"/>
                <w:szCs w:val="20"/>
                <w:color w:val="auto"/>
              </w:rPr>
            </w:pP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99,270</w:t>
            </w:r>
          </w:p>
        </w:tc>
        <w:tc>
          <w:tcPr>
            <w:tcW w:w="18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57,908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favorable lease amortization (a)</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5,912</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Costs related to debt amendments (b)</w:t>
            </w:r>
          </w:p>
        </w:tc>
        <w:tc>
          <w:tcPr>
            <w:tcW w:w="1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Stock option modification expense (c)</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Loss on extinguishment of debt (b)</w:t>
            </w:r>
          </w:p>
        </w:tc>
        <w:tc>
          <w:tcPr>
            <w:tcW w:w="1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3,805</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Impairment charges (d)</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Litigation accrual(e)</w:t>
            </w:r>
          </w:p>
        </w:tc>
        <w:tc>
          <w:tcPr>
            <w:tcW w:w="1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Tax effect (f)</w:t>
            </w:r>
          </w:p>
        </w:tc>
        <w:tc>
          <w:tcPr>
            <w:tcW w:w="18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(2,569)</w:t>
            </w:r>
          </w:p>
        </w:tc>
        <w:tc>
          <w:tcPr>
            <w:tcW w:w="2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(4,731)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(4,815)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(7,200)</w:t>
            </w:r>
          </w:p>
        </w:tc>
        <w:tc>
          <w:tcPr>
            <w:tcW w:w="0" w:type="dxa"/>
            <w:vAlign w:val="bottom"/>
          </w:tcPr>
          <w:p>
            <w:pPr>
              <w:spacing w:after="0"/>
              <w:rPr>
                <w:sz w:val="1"/>
                <w:szCs w:val="1"/>
                <w:color w:val="auto"/>
              </w:rPr>
            </w:pPr>
          </w:p>
        </w:tc>
      </w:tr>
      <w:tr>
        <w:trPr>
          <w:trHeight w:val="223"/>
        </w:trPr>
        <w:tc>
          <w:tcPr>
            <w:tcW w:w="63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180" w:type="dxa"/>
            <w:vAlign w:val="bottom"/>
            <w:tcBorders>
              <w:top w:val="single" w:sz="8" w:color="auto"/>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51,275</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28,244</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107,469</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69,856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520" w:right="100" w:hanging="512"/>
        <w:spacing w:after="0" w:line="266"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favorable lease amortization represents the non-cash amortization expense associated with favorable and unfavorable leases that were recorded as a result of purchase accounting related to the acquisition of our indirect subsidiary Burlington Coat Factory Warehouse Corporation (BCFWC) on April 13, 2006 by affiliates of Bain Capital Partners, LLC (along with its associated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2" w:name="page23"/>
    <w:bookmarkEnd w:id="22"/>
    <w:p>
      <w:pPr>
        <w:ind w:left="520" w:right="300"/>
        <w:spacing w:after="0" w:line="261" w:lineRule="auto"/>
        <w:rPr>
          <w:sz w:val="20"/>
          <w:szCs w:val="20"/>
          <w:color w:val="auto"/>
        </w:rPr>
      </w:pPr>
      <w:r>
        <w:rPr>
          <w:rFonts w:ascii="Times New Roman" w:cs="Times New Roman" w:eastAsia="Times New Roman" w:hAnsi="Times New Roman"/>
          <w:sz w:val="18"/>
          <w:szCs w:val="18"/>
          <w:color w:val="auto"/>
        </w:rPr>
        <w:t>investment funds, or any successor to its investment management business, Bain Capital) in a take private transaction, and are recorded in the line item “Depreciation and amortization” in our Condensed Consolidated Statements of Income.</w:t>
      </w:r>
    </w:p>
    <w:p>
      <w:pPr>
        <w:ind w:left="520" w:hanging="512"/>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relate to the repricing of our Term Loan Facility during the second quarter of Fiscal 2016.</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expenses incurred as a result of our May 2013 stock option modification.</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impairment charges on long-lived assets.</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amounts charged for certain litigation.</w:t>
      </w:r>
    </w:p>
    <w:p>
      <w:pPr>
        <w:spacing w:after="0" w:line="9" w:lineRule="exact"/>
        <w:rPr>
          <w:rFonts w:ascii="Times New Roman" w:cs="Times New Roman" w:eastAsia="Times New Roman" w:hAnsi="Times New Roman"/>
          <w:sz w:val="18"/>
          <w:szCs w:val="18"/>
          <w:color w:val="auto"/>
        </w:rPr>
      </w:pPr>
    </w:p>
    <w:p>
      <w:pPr>
        <w:ind w:left="520" w:right="260" w:hanging="512"/>
        <w:spacing w:after="0" w:line="261"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effect is calculated based on the effective tax rates (before discrete items) for the respective periods, adjusted for the tax effect for the impact of items (a) through (e).</w:t>
      </w:r>
    </w:p>
    <w:p>
      <w:pPr>
        <w:spacing w:after="0" w:line="180" w:lineRule="exact"/>
        <w:rPr>
          <w:sz w:val="20"/>
          <w:szCs w:val="20"/>
          <w:color w:val="auto"/>
        </w:rPr>
      </w:pPr>
    </w:p>
    <w:p>
      <w:pPr>
        <w:ind w:right="160" w:firstLine="518"/>
        <w:spacing w:after="0" w:line="282" w:lineRule="auto"/>
        <w:rPr>
          <w:sz w:val="20"/>
          <w:szCs w:val="20"/>
          <w:color w:val="auto"/>
        </w:rPr>
      </w:pPr>
      <w:r>
        <w:rPr>
          <w:rFonts w:ascii="Times New Roman" w:cs="Times New Roman" w:eastAsia="Times New Roman" w:hAnsi="Times New Roman"/>
          <w:sz w:val="18"/>
          <w:szCs w:val="18"/>
          <w:color w:val="auto"/>
        </w:rPr>
        <w:t>Adjusted EBITDA has limitations as an analytical tool, and should not be considered either in isolation or as a substitute for net income or other data prepared in accordance with GAAP. Among other limitations, Adjusted EBITDA does not reflect:</w:t>
      </w:r>
    </w:p>
    <w:p>
      <w:pPr>
        <w:spacing w:after="0" w:line="54" w:lineRule="exact"/>
        <w:rPr>
          <w:sz w:val="20"/>
          <w:szCs w:val="20"/>
          <w:color w:val="auto"/>
        </w:rPr>
      </w:pPr>
    </w:p>
    <w:p>
      <w:pPr>
        <w:ind w:left="1040" w:hanging="519"/>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interest expense, or the cash requirements necessary to service interest or principal payments, on our debt;</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on the extinguishment of debt;</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debt amendments that were expensed during the fiscal periods;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our May 2013 stock option modification;</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charges on long-lived assets;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income tax expense or the cash requirements to pay our taxes;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charged for certain ongoing litigation; or</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unusual, non-recurring or extraordinary expenses, losses, charges or gains.</w:t>
      </w:r>
    </w:p>
    <w:p>
      <w:pPr>
        <w:spacing w:after="0" w:line="225" w:lineRule="exact"/>
        <w:rPr>
          <w:sz w:val="20"/>
          <w:szCs w:val="20"/>
          <w:color w:val="auto"/>
        </w:rPr>
      </w:pPr>
    </w:p>
    <w:p>
      <w:pPr>
        <w:ind w:right="80" w:firstLine="518"/>
        <w:spacing w:after="0" w:line="282" w:lineRule="auto"/>
        <w:rPr>
          <w:sz w:val="20"/>
          <w:szCs w:val="20"/>
          <w:color w:val="auto"/>
        </w:rPr>
      </w:pPr>
      <w:r>
        <w:rPr>
          <w:rFonts w:ascii="Times New Roman" w:cs="Times New Roman" w:eastAsia="Times New Roman" w:hAnsi="Times New Roman"/>
          <w:sz w:val="18"/>
          <w:szCs w:val="18"/>
          <w:color w:val="auto"/>
        </w:rPr>
        <w:t>In addition, although depreciation and amortization are non-cash charges, the assets being depreciated and amortized will likely have to be replaced in the future, and Adjusted EBITDA measures do not reflect any cash requirements for such replacements.</w:t>
      </w:r>
    </w:p>
    <w:p>
      <w:pPr>
        <w:spacing w:after="0" w:line="162" w:lineRule="exact"/>
        <w:rPr>
          <w:sz w:val="20"/>
          <w:szCs w:val="20"/>
          <w:color w:val="auto"/>
        </w:rPr>
      </w:pPr>
    </w:p>
    <w:p>
      <w:pPr>
        <w:jc w:val="both"/>
        <w:ind w:right="520" w:firstLine="518"/>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July 29, 2017, Adjusted EBITDA improved $28.2 million to $127.3 million and $44.1 million to $264.1 million, respectively. These improvements were primarily driven by our improved gross margin, partially offset by increases in our selling, general and administrative expenses; refer to the section below entitled “Results of Operations” for further explanation.</w:t>
      </w:r>
    </w:p>
    <w:p>
      <w:pPr>
        <w:spacing w:after="0" w:line="176" w:lineRule="exact"/>
        <w:rPr>
          <w:sz w:val="20"/>
          <w:szCs w:val="20"/>
          <w:color w:val="auto"/>
        </w:rPr>
      </w:pPr>
    </w:p>
    <w:p>
      <w:pPr>
        <w:ind w:right="10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 shows our reconciliation of net income to Adjusted EBITDA for the three and six months ended July 29, 2017 compared with the three and six months ended July 30, 2016:</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60" w:type="dxa"/>
            <w:vAlign w:val="bottom"/>
            <w:gridSpan w:val="6"/>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44"/>
        </w:trPr>
        <w:tc>
          <w:tcPr>
            <w:tcW w:w="52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jc w:val="right"/>
              <w:ind w:right="500"/>
              <w:spacing w:after="0" w:line="145" w:lineRule="exact"/>
              <w:rPr>
                <w:sz w:val="20"/>
                <w:szCs w:val="20"/>
                <w:color w:val="auto"/>
              </w:rPr>
            </w:pPr>
            <w:r>
              <w:rPr>
                <w:rFonts w:ascii="Times New Roman" w:cs="Times New Roman" w:eastAsia="Times New Roman" w:hAnsi="Times New Roman"/>
                <w:sz w:val="14"/>
                <w:szCs w:val="14"/>
                <w:b w:val="1"/>
                <w:bCs w:val="1"/>
                <w:color w:val="auto"/>
              </w:rPr>
              <w:t>July 29,</w:t>
            </w: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153"/>
              <w:spacing w:after="0" w:line="145" w:lineRule="exact"/>
              <w:rPr>
                <w:sz w:val="20"/>
                <w:szCs w:val="20"/>
                <w:color w:val="auto"/>
              </w:rPr>
            </w:pPr>
            <w:r>
              <w:rPr>
                <w:rFonts w:ascii="Times New Roman" w:cs="Times New Roman" w:eastAsia="Times New Roman" w:hAnsi="Times New Roman"/>
                <w:sz w:val="14"/>
                <w:szCs w:val="14"/>
                <w:b w:val="1"/>
                <w:bCs w:val="1"/>
                <w:color w:val="auto"/>
              </w:rPr>
              <w:t>July 30,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jc w:val="right"/>
              <w:ind w:right="440"/>
              <w:spacing w:after="0" w:line="145" w:lineRule="exact"/>
              <w:rPr>
                <w:sz w:val="20"/>
                <w:szCs w:val="20"/>
                <w:color w:val="auto"/>
              </w:rPr>
            </w:pPr>
            <w:r>
              <w:rPr>
                <w:rFonts w:ascii="Times New Roman" w:cs="Times New Roman" w:eastAsia="Times New Roman" w:hAnsi="Times New Roman"/>
                <w:sz w:val="14"/>
                <w:szCs w:val="14"/>
                <w:b w:val="1"/>
                <w:bCs w:val="1"/>
                <w:color w:val="auto"/>
              </w:rPr>
              <w:t>July 29,</w:t>
            </w: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173"/>
              <w:spacing w:after="0" w:line="145" w:lineRule="exact"/>
              <w:rPr>
                <w:sz w:val="20"/>
                <w:szCs w:val="20"/>
                <w:color w:val="auto"/>
              </w:rPr>
            </w:pPr>
            <w:r>
              <w:rPr>
                <w:rFonts w:ascii="Times New Roman" w:cs="Times New Roman" w:eastAsia="Times New Roman" w:hAnsi="Times New Roman"/>
                <w:sz w:val="14"/>
                <w:szCs w:val="14"/>
                <w:b w:val="1"/>
                <w:bCs w:val="1"/>
                <w:color w:val="auto"/>
              </w:rPr>
              <w:t>July 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Reconciliation of net income to Adjusted EBITDA:</w:t>
            </w:r>
          </w:p>
        </w:tc>
        <w:tc>
          <w:tcPr>
            <w:tcW w:w="13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2017</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2016</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60" w:type="dxa"/>
            <w:vAlign w:val="bottom"/>
            <w:vMerge w:val="continue"/>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2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income</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46,902</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20,394</w:t>
            </w:r>
          </w:p>
        </w:tc>
        <w:tc>
          <w:tcPr>
            <w:tcW w:w="20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99,270</w:t>
            </w:r>
          </w:p>
        </w:tc>
        <w:tc>
          <w:tcPr>
            <w:tcW w:w="18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57,908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expense</w:t>
            </w: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28,058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income</w:t>
            </w:r>
          </w:p>
        </w:tc>
        <w:tc>
          <w:tcPr>
            <w:tcW w:w="1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0"/>
        </w:trPr>
        <w:tc>
          <w:tcPr>
            <w:tcW w:w="5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Loss on extinguishment of debt (a)</w:t>
            </w: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Costs related to debt amendments (a)</w:t>
            </w:r>
          </w:p>
        </w:tc>
        <w:tc>
          <w:tcPr>
            <w:tcW w:w="1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Stock option modification expense (b)</w:t>
            </w: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48,700</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44,613</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96,712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Impairment charges (c)</w:t>
            </w: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Litigation accrual (d)</w:t>
            </w:r>
          </w:p>
        </w:tc>
        <w:tc>
          <w:tcPr>
            <w:tcW w:w="1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Tax expense</w:t>
            </w:r>
          </w:p>
        </w:tc>
        <w:tc>
          <w:tcPr>
            <w:tcW w:w="13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16,162</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12,289</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39,078</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34,920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3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127,303</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99,095</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264,141</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220,068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relate to the repricing of our Term Loan Facility during the second quarter of Fiscal 2016.</w:t>
      </w:r>
    </w:p>
    <w:p>
      <w:pPr>
        <w:spacing w:after="0" w:line="2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expenses incurred as a result of our May 2013 stock option modification.</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impairment charges on long-lived assets.</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amounts charged for certain litigation.</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ind w:right="300" w:firstLine="518"/>
        <w:spacing w:after="0" w:line="282" w:lineRule="auto"/>
        <w:rPr>
          <w:sz w:val="20"/>
          <w:szCs w:val="20"/>
          <w:color w:val="auto"/>
        </w:rPr>
      </w:pPr>
      <w:r>
        <w:rPr>
          <w:rFonts w:ascii="Times New Roman" w:cs="Times New Roman" w:eastAsia="Times New Roman" w:hAnsi="Times New Roman"/>
          <w:sz w:val="18"/>
          <w:szCs w:val="18"/>
          <w:color w:val="auto"/>
        </w:rPr>
        <w:t>Adjusted Operating Margin has limitations as an analytical tool, and should not be considered either in isolation or as a substitute for net income or other data prepared in accordance with GAAP. Among other limitations, Adjusted Operating Margin does not reflect:</w:t>
      </w:r>
    </w:p>
    <w:p>
      <w:pPr>
        <w:spacing w:after="0" w:line="54" w:lineRule="exact"/>
        <w:rPr>
          <w:sz w:val="20"/>
          <w:szCs w:val="20"/>
          <w:color w:val="auto"/>
        </w:rPr>
      </w:pPr>
    </w:p>
    <w:p>
      <w:pPr>
        <w:ind w:left="1040" w:hanging="519"/>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interest expense, or the cash requirements necessary to service interest or principal payments, on our debt;</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on the extinguishment of debt;</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debt amendments that were expensed during the fiscal periods;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our May 2013 stock option modification;</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amortization of net favorable leases, which are amortized over the life of the lease;</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charges on long-lived assets;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income tax expense or the cash requirements to pay our taxes;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charged for certain ongoing litigation; or</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unusual, non-recurring or extraordinary expenses, losses, charges or gains.</w:t>
      </w:r>
    </w:p>
    <w:p>
      <w:pPr>
        <w:spacing w:after="0" w:line="225"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July 29, 2017, Adjusted Operating Margin improved $24.2 million to $84.5 million and $37.4 million to $179.4 million, respectively. These improvements were primarily driven by our improved gross margin, partially offset by increases in our selling, general and administrative expenses; refer to the section below entitled “Results of Operations” for further explanation.</w:t>
      </w:r>
    </w:p>
    <w:p>
      <w:pPr>
        <w:spacing w:after="0" w:line="176" w:lineRule="exact"/>
        <w:rPr>
          <w:sz w:val="20"/>
          <w:szCs w:val="20"/>
          <w:color w:val="auto"/>
        </w:rPr>
      </w:pPr>
    </w:p>
    <w:p>
      <w:pPr>
        <w:ind w:right="10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 shows our reconciliation of net income to Adjusted Operating Margin for the three and six months ended July 29, 2017 compared with the three and six months ended July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-22225</wp:posOffset>
            </wp:positionV>
            <wp:extent cx="29845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98450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5"/>
        </w:trPr>
        <w:tc>
          <w:tcPr>
            <w:tcW w:w="56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6"/>
          </w:tcPr>
          <w:p>
            <w:pPr>
              <w:jc w:val="right"/>
              <w:ind w:right="86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6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0" w:type="dxa"/>
            <w:vAlign w:val="bottom"/>
            <w:gridSpan w:val="5"/>
          </w:tcPr>
          <w:p>
            <w:pPr>
              <w:jc w:val="right"/>
              <w:ind w:right="640"/>
              <w:spacing w:after="0" w:line="155"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60" w:type="dxa"/>
            <w:vAlign w:val="bottom"/>
            <w:gridSpan w:val="5"/>
          </w:tcPr>
          <w:p>
            <w:pPr>
              <w:jc w:val="right"/>
              <w:ind w:right="473"/>
              <w:spacing w:after="0" w:line="155" w:lineRule="exact"/>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56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jc w:val="right"/>
              <w:ind w:right="500"/>
              <w:spacing w:after="0" w:line="145" w:lineRule="exact"/>
              <w:rPr>
                <w:sz w:val="20"/>
                <w:szCs w:val="20"/>
                <w:color w:val="auto"/>
              </w:rPr>
            </w:pPr>
            <w:r>
              <w:rPr>
                <w:rFonts w:ascii="Times New Roman" w:cs="Times New Roman" w:eastAsia="Times New Roman" w:hAnsi="Times New Roman"/>
                <w:sz w:val="14"/>
                <w:szCs w:val="14"/>
                <w:b w:val="1"/>
                <w:bCs w:val="1"/>
                <w:color w:val="auto"/>
              </w:rPr>
              <w:t>July 29,</w:t>
            </w: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154"/>
              <w:spacing w:after="0" w:line="145" w:lineRule="exact"/>
              <w:rPr>
                <w:sz w:val="20"/>
                <w:szCs w:val="20"/>
                <w:color w:val="auto"/>
              </w:rPr>
            </w:pPr>
            <w:r>
              <w:rPr>
                <w:rFonts w:ascii="Times New Roman" w:cs="Times New Roman" w:eastAsia="Times New Roman" w:hAnsi="Times New Roman"/>
                <w:sz w:val="14"/>
                <w:szCs w:val="14"/>
                <w:b w:val="1"/>
                <w:bCs w:val="1"/>
                <w:color w:val="auto"/>
              </w:rPr>
              <w:t>July 30,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jc w:val="right"/>
              <w:ind w:right="440"/>
              <w:spacing w:after="0" w:line="145" w:lineRule="exact"/>
              <w:rPr>
                <w:sz w:val="20"/>
                <w:szCs w:val="20"/>
                <w:color w:val="auto"/>
              </w:rPr>
            </w:pPr>
            <w:r>
              <w:rPr>
                <w:rFonts w:ascii="Times New Roman" w:cs="Times New Roman" w:eastAsia="Times New Roman" w:hAnsi="Times New Roman"/>
                <w:sz w:val="14"/>
                <w:szCs w:val="14"/>
                <w:b w:val="1"/>
                <w:bCs w:val="1"/>
                <w:color w:val="auto"/>
              </w:rPr>
              <w:t>July 29,</w:t>
            </w: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173"/>
              <w:spacing w:after="0" w:line="145" w:lineRule="exact"/>
              <w:rPr>
                <w:sz w:val="20"/>
                <w:szCs w:val="20"/>
                <w:color w:val="auto"/>
              </w:rPr>
            </w:pPr>
            <w:r>
              <w:rPr>
                <w:rFonts w:ascii="Times New Roman" w:cs="Times New Roman" w:eastAsia="Times New Roman" w:hAnsi="Times New Roman"/>
                <w:sz w:val="14"/>
                <w:szCs w:val="14"/>
                <w:b w:val="1"/>
                <w:bCs w:val="1"/>
                <w:color w:val="auto"/>
              </w:rPr>
              <w:t>July 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Reconciliation of net income to Adjusted Operating Margin:</w:t>
            </w:r>
          </w:p>
        </w:tc>
        <w:tc>
          <w:tcPr>
            <w:tcW w:w="10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2017</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2016</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620" w:type="dxa"/>
            <w:vAlign w:val="bottom"/>
            <w:vMerge w:val="continue"/>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6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income</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46,902</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20,394</w:t>
            </w:r>
          </w:p>
        </w:tc>
        <w:tc>
          <w:tcPr>
            <w:tcW w:w="20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99,270</w:t>
            </w:r>
          </w:p>
        </w:tc>
        <w:tc>
          <w:tcPr>
            <w:tcW w:w="18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57,908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expense</w:t>
            </w: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28,058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income</w:t>
            </w: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0"/>
        </w:trPr>
        <w:tc>
          <w:tcPr>
            <w:tcW w:w="5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Loss on extinguishment of debt (a)</w:t>
            </w: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Costs related to debt amendments (a)</w:t>
            </w: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Stock option modification expense (b)</w:t>
            </w: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favorable lease amortization (c)</w:t>
            </w: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5,912</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5,852</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11,921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Impairment charges (d)</w:t>
            </w: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Litigation accrual (e)</w:t>
            </w: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Tax expense</w:t>
            </w:r>
          </w:p>
        </w:tc>
        <w:tc>
          <w:tcPr>
            <w:tcW w:w="10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16,162</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12,289</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39,078</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34,920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Adjusted Operating Margin</w:t>
            </w:r>
          </w:p>
        </w:tc>
        <w:tc>
          <w:tcPr>
            <w:tcW w:w="10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84,515</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60,334</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179,350</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141,984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relate to the repricing of our Term Loan Facility during the second quarter of Fiscal 2016.</w:t>
      </w:r>
    </w:p>
    <w:p>
      <w:pPr>
        <w:spacing w:after="0" w:line="2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expenses incurred as a result of our May 2013 stock option modification.</w:t>
      </w:r>
    </w:p>
    <w:p>
      <w:pPr>
        <w:spacing w:after="0" w:line="9" w:lineRule="exact"/>
        <w:rPr>
          <w:rFonts w:ascii="Times New Roman" w:cs="Times New Roman" w:eastAsia="Times New Roman" w:hAnsi="Times New Roman"/>
          <w:sz w:val="18"/>
          <w:szCs w:val="18"/>
          <w:color w:val="auto"/>
        </w:rPr>
      </w:pPr>
    </w:p>
    <w:p>
      <w:pPr>
        <w:ind w:left="520" w:right="100" w:hanging="512"/>
        <w:spacing w:after="0" w:line="250"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favorable lease amortization represents the non-cash amortization expense associated with favorable and unfavorable leases that were recorded as a result of purchase accounting related to the acquisition of our indirect subsidiary BCFWC on April 13, 2006 by affiliates of Bain Capital Partners, LLC (along with its associated investment funds, or any successor to its investment management business, Bain Capital) in a take private transaction, and are recorded in the line item “Depreciation and amortization” in our Condensed Consolidated Statements of Income.</w:t>
      </w:r>
    </w:p>
    <w:p>
      <w:pPr>
        <w:spacing w:after="0" w:line="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impairment charges on long-lived assets.</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amounts charged for certain litigation.</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4" w:name="page25"/>
    <w:bookmarkEnd w:id="24"/>
    <w:p>
      <w:pPr>
        <w:ind w:right="20" w:firstLine="51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Comparable Store Sales. </w:t>
      </w:r>
      <w:r>
        <w:rPr>
          <w:rFonts w:ascii="Times New Roman" w:cs="Times New Roman" w:eastAsia="Times New Roman" w:hAnsi="Times New Roman"/>
          <w:sz w:val="18"/>
          <w:szCs w:val="18"/>
          <w:color w:val="auto"/>
        </w:rPr>
        <w:t>Comparable store sales measure performance of a store during the current reporting period against the performance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same store in the corresponding period of the previous year. The method of calculating comparable store sales varies across the retail industry. As a result, our definition of comparable store sales may differ from other retailers.</w:t>
      </w:r>
    </w:p>
    <w:p>
      <w:pPr>
        <w:spacing w:after="0" w:line="176" w:lineRule="exact"/>
        <w:rPr>
          <w:sz w:val="20"/>
          <w:szCs w:val="20"/>
          <w:color w:val="auto"/>
        </w:rPr>
      </w:pPr>
    </w:p>
    <w:p>
      <w:pPr>
        <w:ind w:firstLine="518"/>
        <w:spacing w:after="0" w:line="257" w:lineRule="auto"/>
        <w:rPr>
          <w:sz w:val="20"/>
          <w:szCs w:val="20"/>
          <w:color w:val="auto"/>
        </w:rPr>
      </w:pPr>
      <w:r>
        <w:rPr>
          <w:rFonts w:ascii="Times New Roman" w:cs="Times New Roman" w:eastAsia="Times New Roman" w:hAnsi="Times New Roman"/>
          <w:sz w:val="18"/>
          <w:szCs w:val="18"/>
          <w:color w:val="auto"/>
        </w:rPr>
        <w:t>We define comparable store sales as sales of those stores, including online sales, commencing on the first day of the fiscal month one year after the end of their grand opening activities, which normally conclude within the first two months of operations. The increase in our comparable store sales was as follows:</w:t>
      </w:r>
    </w:p>
    <w:tbl>
      <w:tblPr>
        <w:tblLayout w:type="fixed"/>
        <w:tblInd w:w="2300" w:type="dxa"/>
        <w:tblCellMar>
          <w:top w:w="0" w:type="dxa"/>
          <w:left w:w="0" w:type="dxa"/>
          <w:bottom w:w="0" w:type="dxa"/>
          <w:right w:w="0" w:type="dxa"/>
        </w:tblCellMar>
      </w:tblPr>
      <w:tr>
        <w:trPr>
          <w:trHeight w:val="139"/>
        </w:trPr>
        <w:tc>
          <w:tcPr>
            <w:tcW w:w="4220" w:type="dxa"/>
            <w:vAlign w:val="bottom"/>
          </w:tcPr>
          <w:p>
            <w:pPr>
              <w:spacing w:after="0"/>
              <w:rPr>
                <w:sz w:val="12"/>
                <w:szCs w:val="12"/>
                <w:color w:val="auto"/>
              </w:rPr>
            </w:pPr>
          </w:p>
        </w:tc>
        <w:tc>
          <w:tcPr>
            <w:tcW w:w="1240" w:type="dxa"/>
            <w:vAlign w:val="bottom"/>
          </w:tcPr>
          <w:p>
            <w:pPr>
              <w:jc w:val="right"/>
              <w:ind w:right="139"/>
              <w:spacing w:after="0" w:line="139" w:lineRule="exact"/>
              <w:rPr>
                <w:sz w:val="20"/>
                <w:szCs w:val="20"/>
                <w:color w:val="auto"/>
              </w:rPr>
            </w:pPr>
            <w:r>
              <w:rPr>
                <w:rFonts w:ascii="Times New Roman" w:cs="Times New Roman" w:eastAsia="Times New Roman" w:hAnsi="Times New Roman"/>
                <w:sz w:val="14"/>
                <w:szCs w:val="14"/>
                <w:b w:val="1"/>
                <w:bCs w:val="1"/>
                <w:color w:val="auto"/>
              </w:rPr>
              <w:t>Three Months</w:t>
            </w:r>
          </w:p>
        </w:tc>
        <w:tc>
          <w:tcPr>
            <w:tcW w:w="120" w:type="dxa"/>
            <w:vAlign w:val="bottom"/>
          </w:tcPr>
          <w:p>
            <w:pPr>
              <w:spacing w:after="0"/>
              <w:rPr>
                <w:sz w:val="12"/>
                <w:szCs w:val="12"/>
                <w:color w:val="auto"/>
              </w:rPr>
            </w:pPr>
          </w:p>
        </w:tc>
        <w:tc>
          <w:tcPr>
            <w:tcW w:w="1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4220" w:type="dxa"/>
            <w:vAlign w:val="bottom"/>
          </w:tcPr>
          <w:p>
            <w:pPr>
              <w:spacing w:after="0"/>
              <w:rPr>
                <w:sz w:val="15"/>
                <w:szCs w:val="15"/>
                <w:color w:val="auto"/>
              </w:rPr>
            </w:pPr>
          </w:p>
        </w:tc>
        <w:tc>
          <w:tcPr>
            <w:tcW w:w="124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2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2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July 29, 2017</w:t>
            </w:r>
          </w:p>
        </w:tc>
        <w:tc>
          <w:tcPr>
            <w:tcW w:w="1240" w:type="dxa"/>
            <w:vAlign w:val="bottom"/>
            <w:tcBorders>
              <w:top w:val="single" w:sz="8" w:color="auto"/>
              <w:right w:val="single" w:sz="8" w:color="CFF0FC"/>
            </w:tcBorders>
            <w:shd w:val="clear" w:color="auto" w:fill="CFF0FC"/>
          </w:tcPr>
          <w:p>
            <w:pPr>
              <w:jc w:val="right"/>
              <w:ind w:right="359"/>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20"/>
                <w:szCs w:val="20"/>
                <w:color w:val="auto"/>
              </w:rPr>
            </w:pPr>
          </w:p>
        </w:tc>
        <w:tc>
          <w:tcPr>
            <w:tcW w:w="1200" w:type="dxa"/>
            <w:vAlign w:val="bottom"/>
            <w:tcBorders>
              <w:top w:val="single" w:sz="8" w:color="auto"/>
            </w:tcBorders>
            <w:shd w:val="clear" w:color="auto" w:fill="CFF0FC"/>
          </w:tcPr>
          <w:p>
            <w:pPr>
              <w:jc w:val="right"/>
              <w:ind w:right="296"/>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July 30, 2016</w:t>
            </w:r>
          </w:p>
        </w:tc>
        <w:tc>
          <w:tcPr>
            <w:tcW w:w="1240" w:type="dxa"/>
            <w:vAlign w:val="bottom"/>
          </w:tcPr>
          <w:p>
            <w:pPr>
              <w:jc w:val="right"/>
              <w:ind w:right="359"/>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20"/>
                <w:szCs w:val="20"/>
                <w:color w:val="auto"/>
              </w:rPr>
            </w:pPr>
          </w:p>
        </w:tc>
        <w:tc>
          <w:tcPr>
            <w:tcW w:w="1200" w:type="dxa"/>
            <w:vAlign w:val="bottom"/>
          </w:tcPr>
          <w:p>
            <w:pPr>
              <w:jc w:val="right"/>
              <w:ind w:right="296"/>
              <w:spacing w:after="0"/>
              <w:rPr>
                <w:sz w:val="20"/>
                <w:szCs w:val="20"/>
                <w:color w:val="auto"/>
              </w:rPr>
            </w:pPr>
            <w:r>
              <w:rPr>
                <w:rFonts w:ascii="Times New Roman" w:cs="Times New Roman" w:eastAsia="Times New Roman" w:hAnsi="Times New Roman"/>
                <w:sz w:val="18"/>
                <w:szCs w:val="18"/>
                <w:color w:val="auto"/>
              </w:rPr>
              <w:t>4.9%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right="60" w:firstLine="518"/>
        <w:spacing w:after="0" w:line="266" w:lineRule="auto"/>
        <w:rPr>
          <w:sz w:val="20"/>
          <w:szCs w:val="20"/>
          <w:color w:val="auto"/>
        </w:rPr>
      </w:pPr>
      <w:r>
        <w:rPr>
          <w:rFonts w:ascii="Times New Roman" w:cs="Times New Roman" w:eastAsia="Times New Roman" w:hAnsi="Times New Roman"/>
          <w:sz w:val="18"/>
          <w:szCs w:val="18"/>
          <w:color w:val="auto"/>
        </w:rPr>
        <w:t>Various factors affect comparable store sales, including, but not limited to, weather conditions, current economic conditions, the timing of our releases of new merchandise and promotional events, the general retail sales environment, consumer preferences and buying trends, changes in sales mix among distribution channels, competition, and the success of marketing programs.</w:t>
      </w:r>
    </w:p>
    <w:p>
      <w:pPr>
        <w:spacing w:after="0" w:line="174"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Gross Margin. </w:t>
      </w:r>
      <w:r>
        <w:rPr>
          <w:rFonts w:ascii="Times New Roman" w:cs="Times New Roman" w:eastAsia="Times New Roman" w:hAnsi="Times New Roman"/>
          <w:sz w:val="18"/>
          <w:szCs w:val="18"/>
          <w:color w:val="auto"/>
        </w:rPr>
        <w:t>Gross margin is the difference between net sales and the cost of sales. Our cost of sales and gross margin may not be comparable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those of other entities, since some entities may include all of the costs related to their buying and distribution functions, certain store-related costs and other costs, in cost of sales. We include certain of these costs in the line items “Selling, general and administrative expenses” and “Depreciation and amortization” in our Condensed Consolidated Statements of Income. We include in our “Cost of sales” line item all costs of merchandise (net of purchase discounts and certain vendor allowances), inbound freight, distribution center outbound freight and certain merchandise acquisition costs, primarily commissions and import fees. Gross margin as a percentage of net sales expanded approximately 110 basis points to 40.7% during the three month period ended July 29, 2017, driven primarily by lower markdowns and higher initial markups. This improvement is on top of a 10 basis point improvement in product sourcing costs, which are included in the line item “Selling, general and administrative expenses” in our Condensed Consolidated Statements of Income. Gross margin as a percentage of net sales expanded approximately 90 basis points to 40.8% during the six month period ended July 29, 2017, driven primarily by lower markdowns and higher initial markups. This improvement is on top of a 10 basis point improvement in product sourcing costs, which are included in the line item “Selling, general and administrative expenses” in our Condensed Consolidated Statements of Income.</w:t>
      </w:r>
    </w:p>
    <w:p>
      <w:pPr>
        <w:spacing w:after="0" w:line="193"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Inventory. </w:t>
      </w:r>
      <w:r>
        <w:rPr>
          <w:rFonts w:ascii="Times New Roman" w:cs="Times New Roman" w:eastAsia="Times New Roman" w:hAnsi="Times New Roman"/>
          <w:sz w:val="18"/>
          <w:szCs w:val="18"/>
          <w:color w:val="auto"/>
        </w:rPr>
        <w:t>Inventory at July 29, 2017 decreased to $727.0 million compared with $745.0 million at July 30, 2016. The decrease reflects the improved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freshness of our inventory, and was primarily driven by a decrease in our comparable store inventory of approximately 8%, as a result of our ongoing initiative to reduce inventory levels and increase inventory turnover, as well as a decrease in our pack and hold inventory of approximately $14 million. These decreases were partially offset by the inventory required for our 30 net new stores opened since July 30, 2016.</w:t>
      </w:r>
    </w:p>
    <w:p>
      <w:pPr>
        <w:spacing w:after="0" w:line="182" w:lineRule="exact"/>
        <w:rPr>
          <w:sz w:val="20"/>
          <w:szCs w:val="20"/>
          <w:color w:val="auto"/>
        </w:rPr>
      </w:pPr>
    </w:p>
    <w:p>
      <w:pPr>
        <w:ind w:right="240" w:firstLine="518"/>
        <w:spacing w:after="0" w:line="282" w:lineRule="auto"/>
        <w:rPr>
          <w:sz w:val="20"/>
          <w:szCs w:val="20"/>
          <w:color w:val="auto"/>
        </w:rPr>
      </w:pPr>
      <w:r>
        <w:rPr>
          <w:rFonts w:ascii="Times New Roman" w:cs="Times New Roman" w:eastAsia="Times New Roman" w:hAnsi="Times New Roman"/>
          <w:sz w:val="18"/>
          <w:szCs w:val="18"/>
          <w:color w:val="auto"/>
        </w:rPr>
        <w:t>Inventory at January 28, 2017 was $701.9 million. The increase in inventory from January 28, 2017 was primarily driven by an increase in our pack and hold inventory of approximately $32 million.</w:t>
      </w:r>
    </w:p>
    <w:p>
      <w:pPr>
        <w:spacing w:after="0" w:line="162" w:lineRule="exact"/>
        <w:rPr>
          <w:sz w:val="20"/>
          <w:szCs w:val="20"/>
          <w:color w:val="auto"/>
        </w:rPr>
      </w:pPr>
    </w:p>
    <w:p>
      <w:pPr>
        <w:ind w:right="200" w:firstLine="518"/>
        <w:spacing w:after="0" w:line="266" w:lineRule="auto"/>
        <w:rPr>
          <w:sz w:val="20"/>
          <w:szCs w:val="20"/>
          <w:color w:val="auto"/>
        </w:rPr>
      </w:pPr>
      <w:r>
        <w:rPr>
          <w:rFonts w:ascii="Times New Roman" w:cs="Times New Roman" w:eastAsia="Times New Roman" w:hAnsi="Times New Roman"/>
          <w:sz w:val="18"/>
          <w:szCs w:val="18"/>
          <w:color w:val="auto"/>
        </w:rPr>
        <w:t>In order to better serve our customers and maximize sales, we continue to refine our merchandising mix and inventory levels within our stores. By appropriately managing our inventories, we believe we will be better able to deliver a continual flow of fresh merchandise to our customers. We continue to move toward more productive inventories by increasing the amount of current inventory as a percent of total inventory.</w:t>
      </w:r>
    </w:p>
    <w:p>
      <w:pPr>
        <w:spacing w:after="0" w:line="176" w:lineRule="exact"/>
        <w:rPr>
          <w:sz w:val="20"/>
          <w:szCs w:val="20"/>
          <w:color w:val="auto"/>
        </w:rPr>
      </w:pPr>
    </w:p>
    <w:p>
      <w:pPr>
        <w:ind w:right="160" w:firstLine="518"/>
        <w:spacing w:after="0" w:line="282" w:lineRule="auto"/>
        <w:rPr>
          <w:sz w:val="20"/>
          <w:szCs w:val="20"/>
          <w:color w:val="auto"/>
        </w:rPr>
      </w:pPr>
      <w:r>
        <w:rPr>
          <w:rFonts w:ascii="Times New Roman" w:cs="Times New Roman" w:eastAsia="Times New Roman" w:hAnsi="Times New Roman"/>
          <w:sz w:val="18"/>
          <w:szCs w:val="18"/>
          <w:color w:val="auto"/>
        </w:rPr>
        <w:t>Inventory turnover and comparable store inventory turnover are performance metrics that indicate how efficiently inventory is bought and sold. They each measure the length of time that we own our inventory.</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Inventory turnover is calculated by dividing cost of goods sold by the 13 month average cost value of our inventory for the period being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measured. Our inventory turnover rate improved approximately 16% for the second quarter of Fiscal 2017 compared with the second quarter of Fiscal 2016.</w:t>
      </w:r>
    </w:p>
    <w:p>
      <w:pPr>
        <w:spacing w:after="0" w:line="207" w:lineRule="exact"/>
        <w:rPr>
          <w:sz w:val="20"/>
          <w:szCs w:val="20"/>
          <w:color w:val="auto"/>
        </w:rPr>
      </w:pPr>
    </w:p>
    <w:p>
      <w:pPr>
        <w:ind w:right="80" w:firstLine="518"/>
        <w:spacing w:after="0" w:line="258" w:lineRule="auto"/>
        <w:rPr>
          <w:sz w:val="20"/>
          <w:szCs w:val="20"/>
          <w:color w:val="auto"/>
        </w:rPr>
      </w:pPr>
      <w:r>
        <w:rPr>
          <w:rFonts w:ascii="Times New Roman" w:cs="Times New Roman" w:eastAsia="Times New Roman" w:hAnsi="Times New Roman"/>
          <w:sz w:val="18"/>
          <w:szCs w:val="18"/>
          <w:color w:val="auto"/>
        </w:rPr>
        <w:t>Comparable store inventory turnover is calculated by dividing comparable store sales by the average comparable store retail value of inventory for the period being measured. The comparable store retail value of inventories is estimated based on the original sales price of items on hand reduced by retail reductions (which include sales, markdowns, an estimated shortage adjustment and employee discounts) for our comparable stores. The calculation is based on a rolling 13 month average of inventory (at estimated retail value) and the last 12 months’ comparable sales. Our comparable store inventory turnover rate improved approximately 10% during the second quarter of Fiscal 2017 compared with the second quarter of Fiscal 2016.</w:t>
      </w:r>
    </w:p>
    <w:p>
      <w:pPr>
        <w:spacing w:after="0" w:line="184" w:lineRule="exact"/>
        <w:rPr>
          <w:sz w:val="20"/>
          <w:szCs w:val="20"/>
          <w:color w:val="auto"/>
        </w:rPr>
      </w:pPr>
    </w:p>
    <w:p>
      <w:pPr>
        <w:ind w:right="20" w:firstLine="518"/>
        <w:spacing w:after="0" w:line="282" w:lineRule="auto"/>
        <w:rPr>
          <w:sz w:val="20"/>
          <w:szCs w:val="20"/>
          <w:color w:val="auto"/>
        </w:rPr>
      </w:pPr>
      <w:r>
        <w:rPr>
          <w:rFonts w:ascii="Times New Roman" w:cs="Times New Roman" w:eastAsia="Times New Roman" w:hAnsi="Times New Roman"/>
          <w:sz w:val="18"/>
          <w:szCs w:val="18"/>
          <w:color w:val="auto"/>
        </w:rPr>
        <w:t>The difference between inventory turnover and comparable store inventory turnover is primarily the result of the latter not including distribution center and warehouse inventory or inventory at new and non-comparable stores. Inventory held at our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25" w:name="page26"/>
    <w:bookmarkEnd w:id="25"/>
    <w:p>
      <w:pPr>
        <w:ind w:right="60"/>
        <w:spacing w:after="0" w:line="266" w:lineRule="auto"/>
        <w:rPr>
          <w:sz w:val="20"/>
          <w:szCs w:val="20"/>
          <w:color w:val="auto"/>
        </w:rPr>
      </w:pPr>
      <w:r>
        <w:rPr>
          <w:rFonts w:ascii="Times New Roman" w:cs="Times New Roman" w:eastAsia="Times New Roman" w:hAnsi="Times New Roman"/>
          <w:sz w:val="18"/>
          <w:szCs w:val="18"/>
          <w:color w:val="auto"/>
        </w:rPr>
        <w:t>warehouses and distribution centers includes merchandise being readied for shipment to our stores and pack and hold inventory acquired opportunistically for future store release. The magnitude of pack and hold inventory, at any one point in time, is dependent on the buying opportunities identified in the marketplace.</w:t>
      </w:r>
    </w:p>
    <w:p>
      <w:pPr>
        <w:spacing w:after="0" w:line="176" w:lineRule="exact"/>
        <w:rPr>
          <w:sz w:val="20"/>
          <w:szCs w:val="20"/>
          <w:color w:val="auto"/>
        </w:rPr>
      </w:pPr>
    </w:p>
    <w:p>
      <w:pPr>
        <w:ind w:right="80" w:firstLine="518"/>
        <w:spacing w:after="0" w:line="266" w:lineRule="auto"/>
        <w:rPr>
          <w:sz w:val="20"/>
          <w:szCs w:val="20"/>
          <w:color w:val="auto"/>
        </w:rPr>
      </w:pPr>
      <w:r>
        <w:rPr>
          <w:rFonts w:ascii="Times New Roman" w:cs="Times New Roman" w:eastAsia="Times New Roman" w:hAnsi="Times New Roman"/>
          <w:sz w:val="18"/>
          <w:szCs w:val="18"/>
          <w:color w:val="auto"/>
        </w:rPr>
        <w:t>We present inventory turnover because it demonstrates how effective we are at managing our inventory. We present comparable store inventory turnover as we believe this is a useful supplemental metric in evaluating the effectiveness of our merchandising efforts, as a faster comparable store inventory turnover generally leads to reduced markdowns and more fresh merchandise in our stores.</w:t>
      </w:r>
    </w:p>
    <w:p>
      <w:pPr>
        <w:spacing w:after="0" w:line="174" w:lineRule="exact"/>
        <w:rPr>
          <w:sz w:val="20"/>
          <w:szCs w:val="20"/>
          <w:color w:val="auto"/>
        </w:rPr>
      </w:pPr>
    </w:p>
    <w:p>
      <w:pPr>
        <w:ind w:right="40" w:firstLine="51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Store Payroll as a Percentage of Net Sales. </w:t>
      </w:r>
      <w:r>
        <w:rPr>
          <w:rFonts w:ascii="Times New Roman" w:cs="Times New Roman" w:eastAsia="Times New Roman" w:hAnsi="Times New Roman"/>
          <w:sz w:val="18"/>
          <w:szCs w:val="18"/>
          <w:color w:val="auto"/>
        </w:rPr>
        <w:t>Store payroll as a percentage of net sales measures our ability to manage our payroll in accordance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increases or decreases in net sales. The method of calculating store payroll varies across the retail industry. As a result, our store payroll as a percentage of net sales may differ from other retailers. We define store payroll as regular and overtime payroll for all store personnel as well as regional and territory personnel, exclusive of payroll charges related to corporate and warehouse employees. Store payroll as a percentage of net sales was 9.2% and 8.9% during the three and six month periods ended July 29, 2017, respectively, compared with 9.1% and 8.8% during the three and six month periods ended July 30, 2016, respectively. These increases were primarily driven by minimum wage increases for our stores.</w:t>
      </w:r>
    </w:p>
    <w:p>
      <w:pPr>
        <w:spacing w:after="0" w:line="183" w:lineRule="exact"/>
        <w:rPr>
          <w:sz w:val="20"/>
          <w:szCs w:val="20"/>
          <w:color w:val="auto"/>
        </w:rPr>
      </w:pPr>
    </w:p>
    <w:p>
      <w:pPr>
        <w:ind w:right="100" w:firstLine="51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Liquidity. </w:t>
      </w:r>
      <w:r>
        <w:rPr>
          <w:rFonts w:ascii="Times New Roman" w:cs="Times New Roman" w:eastAsia="Times New Roman" w:hAnsi="Times New Roman"/>
          <w:sz w:val="18"/>
          <w:szCs w:val="18"/>
          <w:color w:val="auto"/>
        </w:rPr>
        <w:t>Liquidity measures our ability to generate cash. Management measures liquidity through cash flow and working capital position. Cash flow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the measure of cash generated from or used in operating, financing, and investing activities. Cash and cash equivalents decreased $48.9 million during the six months ended July 29, 2017, compared with an increase in cash and cash equivalents of $9.6 million during the six months ended July 30, 2016. The decrease in our cash flows compared with the prior year was primarily driven by (i) an increase in share repurchases under our share repurchase program, (ii) changes in our inventories, (iii) the net change in our deferred taxes and income taxes payable, and (iv) an increase in our capital expenditures. These decreases were partially offset by (i) an increase in the net borrowings on our ABL Line of Credit, (ii) our improved operating results and (iii) changes in our accounts payable driven by the timing of our inventory receipts. Refer to the section below entitled “Liquidity and Capital Resources” for further explanation.</w:t>
      </w:r>
    </w:p>
    <w:p>
      <w:pPr>
        <w:spacing w:after="0" w:line="187"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Changes in working capital also impact our cash flows. Working capital equals current assets (exclusive of restricted cash) minus current liabilities. We had a working capital deficit at July 29, 2017 of $2.6 million compared with a working capital surplus of $65.3 million at July 30, 2016. We experienced increases in our accounts payable (driven by the timing of our inventory receipts) and other current liabilities (primarily sales taxes payable and accrued purchases of property and equipment), as well as a decrease in our inventories as discussed above during the six month period ended July 29, 2017 compared with the six month period ended July 30, 2016. These reductions were partially offset by increases in our accounts receivable and prepaid and other current assets during the six month period ended July 29, 2017 compared with the six month period ended July 30, 2016. We had a working capital deficit at January 28, 2017 of $96.3 million.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42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items in the Condensed Consolidated Statements of Income as a percentage of net sales for the three and six months ended July 29, 2017 and the three and six months ended July 30, 2016.</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4"/>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Percentage of Net Sales</w:t>
            </w:r>
          </w:p>
        </w:tc>
        <w:tc>
          <w:tcPr>
            <w:tcW w:w="10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4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780" w:type="dxa"/>
            <w:vAlign w:val="bottom"/>
            <w:gridSpan w:val="4"/>
          </w:tcPr>
          <w:p>
            <w:pPr>
              <w:jc w:val="right"/>
              <w:ind w:right="920"/>
              <w:spacing w:after="0" w:line="155"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2460" w:type="dxa"/>
            <w:vAlign w:val="bottom"/>
            <w:gridSpan w:val="3"/>
          </w:tcPr>
          <w:p>
            <w:pPr>
              <w:jc w:val="right"/>
              <w:ind w:right="572"/>
              <w:spacing w:after="0" w:line="155" w:lineRule="exact"/>
              <w:rPr>
                <w:sz w:val="20"/>
                <w:szCs w:val="20"/>
                <w:color w:val="auto"/>
              </w:rPr>
            </w:pPr>
            <w:r>
              <w:rPr>
                <w:rFonts w:ascii="Times New Roman" w:cs="Times New Roman" w:eastAsia="Times New Roman" w:hAnsi="Times New Roman"/>
                <w:sz w:val="14"/>
                <w:szCs w:val="14"/>
                <w:b w:val="1"/>
                <w:bCs w:val="1"/>
                <w:color w:val="auto"/>
              </w:rPr>
              <w:t>Six Months Ended</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4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400" w:type="dxa"/>
            <w:vAlign w:val="bottom"/>
            <w:tcBorders>
              <w:top w:val="single" w:sz="8" w:color="auto"/>
            </w:tcBorders>
            <w:gridSpan w:val="2"/>
          </w:tcPr>
          <w:p>
            <w:pPr>
              <w:jc w:val="right"/>
              <w:ind w:right="640"/>
              <w:spacing w:after="0" w:line="145" w:lineRule="exact"/>
              <w:rPr>
                <w:sz w:val="20"/>
                <w:szCs w:val="20"/>
                <w:color w:val="auto"/>
              </w:rPr>
            </w:pPr>
            <w:r>
              <w:rPr>
                <w:rFonts w:ascii="Times New Roman" w:cs="Times New Roman" w:eastAsia="Times New Roman" w:hAnsi="Times New Roman"/>
                <w:sz w:val="14"/>
                <w:szCs w:val="14"/>
                <w:b w:val="1"/>
                <w:bCs w:val="1"/>
                <w:color w:val="auto"/>
              </w:rPr>
              <w:t>July 29,</w:t>
            </w:r>
          </w:p>
        </w:tc>
        <w:tc>
          <w:tcPr>
            <w:tcW w:w="1040" w:type="dxa"/>
            <w:vAlign w:val="bottom"/>
            <w:tcBorders>
              <w:top w:val="single" w:sz="8" w:color="auto"/>
            </w:tcBorders>
          </w:tcPr>
          <w:p>
            <w:pPr>
              <w:jc w:val="right"/>
              <w:ind w:right="213"/>
              <w:spacing w:after="0" w:line="145" w:lineRule="exact"/>
              <w:rPr>
                <w:sz w:val="20"/>
                <w:szCs w:val="20"/>
                <w:color w:val="auto"/>
              </w:rPr>
            </w:pPr>
            <w:r>
              <w:rPr>
                <w:rFonts w:ascii="Times New Roman" w:cs="Times New Roman" w:eastAsia="Times New Roman" w:hAnsi="Times New Roman"/>
                <w:sz w:val="14"/>
                <w:szCs w:val="14"/>
                <w:b w:val="1"/>
                <w:bCs w:val="1"/>
                <w:color w:val="auto"/>
              </w:rPr>
              <w:t>July 30,</w:t>
            </w:r>
          </w:p>
        </w:tc>
        <w:tc>
          <w:tcPr>
            <w:tcW w:w="340" w:type="dxa"/>
            <w:vAlign w:val="bottom"/>
          </w:tcPr>
          <w:p>
            <w:pPr>
              <w:spacing w:after="0"/>
              <w:rPr>
                <w:sz w:val="12"/>
                <w:szCs w:val="12"/>
                <w:color w:val="auto"/>
              </w:rPr>
            </w:pPr>
          </w:p>
        </w:tc>
        <w:tc>
          <w:tcPr>
            <w:tcW w:w="1420" w:type="dxa"/>
            <w:vAlign w:val="bottom"/>
            <w:tcBorders>
              <w:top w:val="single" w:sz="8" w:color="auto"/>
            </w:tcBorders>
            <w:gridSpan w:val="2"/>
          </w:tcPr>
          <w:p>
            <w:pPr>
              <w:jc w:val="right"/>
              <w:ind w:right="660"/>
              <w:spacing w:after="0" w:line="145" w:lineRule="exact"/>
              <w:rPr>
                <w:sz w:val="20"/>
                <w:szCs w:val="20"/>
                <w:color w:val="auto"/>
              </w:rPr>
            </w:pPr>
            <w:r>
              <w:rPr>
                <w:rFonts w:ascii="Times New Roman" w:cs="Times New Roman" w:eastAsia="Times New Roman" w:hAnsi="Times New Roman"/>
                <w:sz w:val="14"/>
                <w:szCs w:val="14"/>
                <w:b w:val="1"/>
                <w:bCs w:val="1"/>
                <w:color w:val="auto"/>
              </w:rPr>
              <w:t>July 29,</w:t>
            </w:r>
          </w:p>
        </w:tc>
        <w:tc>
          <w:tcPr>
            <w:tcW w:w="1040" w:type="dxa"/>
            <w:vAlign w:val="bottom"/>
            <w:tcBorders>
              <w:top w:val="single" w:sz="8" w:color="auto"/>
            </w:tcBorders>
          </w:tcPr>
          <w:p>
            <w:pPr>
              <w:jc w:val="right"/>
              <w:ind w:right="192"/>
              <w:spacing w:after="0" w:line="145" w:lineRule="exact"/>
              <w:rPr>
                <w:sz w:val="20"/>
                <w:szCs w:val="20"/>
                <w:color w:val="auto"/>
              </w:rPr>
            </w:pPr>
            <w:r>
              <w:rPr>
                <w:rFonts w:ascii="Times New Roman" w:cs="Times New Roman" w:eastAsia="Times New Roman" w:hAnsi="Times New Roman"/>
                <w:sz w:val="14"/>
                <w:szCs w:val="14"/>
                <w:b w:val="1"/>
                <w:bCs w:val="1"/>
                <w:color w:val="auto"/>
              </w:rPr>
              <w:t>July 30,</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420" w:type="dxa"/>
            <w:vAlign w:val="bottom"/>
            <w:tcBorders>
              <w:bottom w:val="single" w:sz="8" w:color="CFF0FC"/>
            </w:tcBorders>
          </w:tcPr>
          <w:p>
            <w:pPr>
              <w:spacing w:after="0"/>
              <w:rPr>
                <w:sz w:val="15"/>
                <w:szCs w:val="15"/>
                <w:color w:val="auto"/>
              </w:rPr>
            </w:pPr>
          </w:p>
        </w:tc>
        <w:tc>
          <w:tcPr>
            <w:tcW w:w="1580" w:type="dxa"/>
            <w:vAlign w:val="bottom"/>
            <w:tcBorders>
              <w:bottom w:val="single" w:sz="8" w:color="CFF0FC"/>
            </w:tcBorders>
          </w:tcPr>
          <w:p>
            <w:pPr>
              <w:spacing w:after="0"/>
              <w:rPr>
                <w:sz w:val="15"/>
                <w:szCs w:val="15"/>
                <w:color w:val="auto"/>
              </w:rPr>
            </w:pPr>
          </w:p>
        </w:tc>
        <w:tc>
          <w:tcPr>
            <w:tcW w:w="10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2017</w:t>
            </w:r>
          </w:p>
        </w:tc>
        <w:tc>
          <w:tcPr>
            <w:tcW w:w="360" w:type="dxa"/>
            <w:vAlign w:val="bottom"/>
            <w:tcBorders>
              <w:bottom w:val="single" w:sz="8" w:color="CFF0FC"/>
            </w:tcBorders>
          </w:tcPr>
          <w:p>
            <w:pPr>
              <w:spacing w:after="0"/>
              <w:rPr>
                <w:sz w:val="15"/>
                <w:szCs w:val="15"/>
                <w:color w:val="auto"/>
              </w:rPr>
            </w:pPr>
          </w:p>
        </w:tc>
        <w:tc>
          <w:tcPr>
            <w:tcW w:w="104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2016</w:t>
            </w:r>
          </w:p>
        </w:tc>
        <w:tc>
          <w:tcPr>
            <w:tcW w:w="340" w:type="dxa"/>
            <w:vAlign w:val="bottom"/>
            <w:tcBorders>
              <w:bottom w:val="single" w:sz="8" w:color="CFF0FC"/>
            </w:tcBorders>
          </w:tcPr>
          <w:p>
            <w:pPr>
              <w:spacing w:after="0"/>
              <w:rPr>
                <w:sz w:val="15"/>
                <w:szCs w:val="15"/>
                <w:color w:val="auto"/>
              </w:rPr>
            </w:pPr>
          </w:p>
        </w:tc>
        <w:tc>
          <w:tcPr>
            <w:tcW w:w="10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2017</w:t>
            </w:r>
          </w:p>
        </w:tc>
        <w:tc>
          <w:tcPr>
            <w:tcW w:w="360" w:type="dxa"/>
            <w:vAlign w:val="bottom"/>
            <w:tcBorders>
              <w:bottom w:val="single" w:sz="8" w:color="CFF0FC"/>
            </w:tcBorders>
          </w:tcPr>
          <w:p>
            <w:pPr>
              <w:spacing w:after="0"/>
              <w:rPr>
                <w:sz w:val="15"/>
                <w:szCs w:val="15"/>
                <w:color w:val="auto"/>
              </w:rPr>
            </w:pPr>
          </w:p>
        </w:tc>
        <w:tc>
          <w:tcPr>
            <w:tcW w:w="10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Borders>
              <w:bottom w:val="single" w:sz="8" w:color="CFF0F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15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100.0%</w:t>
            </w: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100.0%</w:t>
            </w: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Borders>
              <w:top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revenue</w:t>
            </w:r>
          </w:p>
        </w:tc>
        <w:tc>
          <w:tcPr>
            <w:tcW w:w="158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36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34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36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3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3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3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Costs related to debt amendments</w:t>
            </w:r>
          </w:p>
        </w:tc>
        <w:tc>
          <w:tcPr>
            <w:tcW w:w="1580" w:type="dxa"/>
            <w:vAlign w:val="bottom"/>
          </w:tcPr>
          <w:p>
            <w:pPr>
              <w:spacing w:after="0"/>
              <w:rPr>
                <w:sz w:val="19"/>
                <w:szCs w:val="19"/>
                <w:color w:val="auto"/>
              </w:rPr>
            </w:pPr>
          </w:p>
        </w:tc>
        <w:tc>
          <w:tcPr>
            <w:tcW w:w="14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40" w:type="dxa"/>
            <w:vAlign w:val="bottom"/>
          </w:tcPr>
          <w:p>
            <w:pPr>
              <w:spacing w:after="0"/>
              <w:rPr>
                <w:sz w:val="19"/>
                <w:szCs w:val="19"/>
                <w:color w:val="auto"/>
              </w:rPr>
            </w:pPr>
          </w:p>
        </w:tc>
        <w:tc>
          <w:tcPr>
            <w:tcW w:w="14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 modification expense</w:t>
            </w:r>
          </w:p>
        </w:tc>
        <w:tc>
          <w:tcPr>
            <w:tcW w:w="2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3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3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3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Impairment charges - long-lived assets</w:t>
            </w:r>
          </w:p>
        </w:tc>
        <w:tc>
          <w:tcPr>
            <w:tcW w:w="2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3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 net</w:t>
            </w:r>
          </w:p>
        </w:tc>
        <w:tc>
          <w:tcPr>
            <w:tcW w:w="29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(0.3)</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(0.1)</w:t>
            </w: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(0.2)</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5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3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Borders>
              <w:top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58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36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34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36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15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58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6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4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6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58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58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26</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42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2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auto"/>
        </w:rPr>
        <w:t>Three Month Period Ended July 29, 2017 Compared With the Three Month Period Ended July 30, 2016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Net sales improved approximately $108.2 million, or 8.6%, to $1,363.2 million during the second quarter of Fiscal 2017, driven by the following:</w:t>
      </w:r>
    </w:p>
    <w:p>
      <w:pPr>
        <w:spacing w:after="0" w:line="117" w:lineRule="exact"/>
        <w:rPr>
          <w:sz w:val="20"/>
          <w:szCs w:val="20"/>
          <w:color w:val="auto"/>
        </w:rPr>
      </w:pPr>
    </w:p>
    <w:p>
      <w:pPr>
        <w:ind w:left="1040" w:hanging="519"/>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net sales of $69.8 million from our new and non-comparable stores;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comparable store sales of $43.8 million, or 3.5%, to $1,283.3 million; partially offset by</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$5.4 million decrease related to the net impact of closed stores and other sales adjustments.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believe that the comparable store sales increase was primarily due to the improved execution of our off-price model.</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121"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Cost of sales as a percentage of net sales improved approximately 110 basis points to 59.3% during the second quarter of Fiscal 2017, driven primarily by lower markdowns and higher initial markups. This improvement was in addition to an approximate 10 basis point improvement in product sourcing costs, which are included in the line item “Selling, general and administrative expenses” in our Condensed Consolidated Statements of Income. On a dollar basis, cost of sales increased $50.5 million, or 6.7%, for the second quarter of Fiscal 2017, primarily driven by our overall increase in sales.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jc w:val="both"/>
        <w:ind w:right="20" w:firstLine="518"/>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as a percentage of net sales improved approximately 30 basis points for the second quarter of Fiscal 2017. The following table details selling, general and administrative expenses for the three month period ended July 29, 2017 compared with the three month period ended July 30, 2016:</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4"/>
          </w:tcPr>
          <w:p>
            <w:pPr>
              <w:jc w:val="right"/>
              <w:ind w:right="94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4"/>
          </w:tcPr>
          <w:p>
            <w:pPr>
              <w:jc w:val="right"/>
              <w:ind w:right="640"/>
              <w:spacing w:after="0" w:line="155"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4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July 29,</w:t>
            </w:r>
          </w:p>
        </w:tc>
        <w:tc>
          <w:tcPr>
            <w:tcW w:w="118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w w:val="99"/>
              </w:rPr>
              <w:t>Percentage</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July 30,</w:t>
            </w:r>
          </w:p>
        </w:tc>
        <w:tc>
          <w:tcPr>
            <w:tcW w:w="118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of</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of</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20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2017</w:t>
            </w:r>
          </w:p>
        </w:tc>
        <w:tc>
          <w:tcPr>
            <w:tcW w:w="240" w:type="dxa"/>
            <w:vAlign w:val="bottom"/>
            <w:tcBorders>
              <w:bottom w:val="single" w:sz="8" w:color="CFF0FC"/>
            </w:tcBorders>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2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2016</w:t>
            </w:r>
          </w:p>
        </w:tc>
        <w:tc>
          <w:tcPr>
            <w:tcW w:w="220" w:type="dxa"/>
            <w:vAlign w:val="bottom"/>
            <w:tcBorders>
              <w:bottom w:val="single" w:sz="8" w:color="CFF0FC"/>
            </w:tcBorders>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2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 Variance</w:t>
            </w:r>
          </w:p>
        </w:tc>
        <w:tc>
          <w:tcPr>
            <w:tcW w:w="220" w:type="dxa"/>
            <w:vAlign w:val="bottom"/>
            <w:tcBorders>
              <w:bottom w:val="single" w:sz="8" w:color="CFF0FC"/>
            </w:tcBorders>
          </w:tcPr>
          <w:p>
            <w:pPr>
              <w:spacing w:after="0"/>
              <w:rPr>
                <w:sz w:val="15"/>
                <w:szCs w:val="15"/>
                <w:color w:val="auto"/>
              </w:rPr>
            </w:pPr>
          </w:p>
        </w:tc>
        <w:tc>
          <w:tcPr>
            <w:tcW w:w="9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Store related costs</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296.5</w:t>
            </w: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21.7%</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22.0%</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Product sourcing costs</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costs</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Marketing and strategy costs</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selling, general and administrative expenses</w:t>
            </w:r>
          </w:p>
        </w:tc>
        <w:tc>
          <w:tcPr>
            <w:tcW w:w="1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4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437.2</w:t>
            </w:r>
          </w:p>
        </w:tc>
        <w:tc>
          <w:tcPr>
            <w:tcW w:w="24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32.1%</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407.1</w:t>
            </w:r>
          </w:p>
        </w:tc>
        <w:tc>
          <w:tcPr>
            <w:tcW w:w="22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32.4%</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22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60" w:firstLine="518"/>
        <w:spacing w:after="0" w:line="261" w:lineRule="auto"/>
        <w:rPr>
          <w:sz w:val="20"/>
          <w:szCs w:val="20"/>
          <w:color w:val="auto"/>
        </w:rPr>
      </w:pPr>
      <w:r>
        <w:rPr>
          <w:rFonts w:ascii="Times New Roman" w:cs="Times New Roman" w:eastAsia="Times New Roman" w:hAnsi="Times New Roman"/>
          <w:sz w:val="18"/>
          <w:szCs w:val="18"/>
          <w:color w:val="auto"/>
        </w:rPr>
        <w:t>Store related costs as a percentage of net sales improved approximately 30 basis points during the second quarter of Fiscal 2017, driven by improved leverage in occupancy costs. The 10 basis point increase in store payroll as a percentage of net sales, resulting from the minimum wage increases for our stores, was offset by 10 basis points of leverage in store repairs and maintenance. On a dollar basis, the $20.5 million increase was primarily driven by costs associated with our new and non-comparable stores.</w:t>
      </w:r>
    </w:p>
    <w:p>
      <w:pPr>
        <w:spacing w:after="0" w:line="180" w:lineRule="exact"/>
        <w:rPr>
          <w:sz w:val="20"/>
          <w:szCs w:val="20"/>
          <w:color w:val="auto"/>
        </w:rPr>
      </w:pPr>
    </w:p>
    <w:p>
      <w:pPr>
        <w:ind w:right="100" w:firstLine="518"/>
        <w:spacing w:after="0" w:line="266" w:lineRule="auto"/>
        <w:rPr>
          <w:sz w:val="20"/>
          <w:szCs w:val="20"/>
          <w:color w:val="auto"/>
        </w:rPr>
      </w:pPr>
      <w:r>
        <w:rPr>
          <w:rFonts w:ascii="Times New Roman" w:cs="Times New Roman" w:eastAsia="Times New Roman" w:hAnsi="Times New Roman"/>
          <w:sz w:val="18"/>
          <w:szCs w:val="18"/>
          <w:color w:val="auto"/>
        </w:rPr>
        <w:t>Product sourcing costs as a percentage of net sales improved approximately 10 basis points during the three month period ended July 29, 2017, on top of a 110 basis point improvement in cost of sales. The improvement in product sourcing costs as a percentage of net sales was driven by warehouse labor efficiencies obtained during the quarter.</w:t>
      </w:r>
    </w:p>
    <w:p>
      <w:pPr>
        <w:spacing w:after="0" w:line="176" w:lineRule="exact"/>
        <w:rPr>
          <w:sz w:val="20"/>
          <w:szCs w:val="20"/>
          <w:color w:val="auto"/>
        </w:rPr>
      </w:pPr>
    </w:p>
    <w:p>
      <w:pPr>
        <w:ind w:right="60" w:firstLine="518"/>
        <w:spacing w:after="0" w:line="282" w:lineRule="auto"/>
        <w:rPr>
          <w:sz w:val="20"/>
          <w:szCs w:val="20"/>
          <w:color w:val="auto"/>
        </w:rPr>
      </w:pPr>
      <w:r>
        <w:rPr>
          <w:rFonts w:ascii="Times New Roman" w:cs="Times New Roman" w:eastAsia="Times New Roman" w:hAnsi="Times New Roman"/>
          <w:sz w:val="18"/>
          <w:szCs w:val="18"/>
          <w:color w:val="auto"/>
        </w:rPr>
        <w:t>Corporate costs as a percentage of net sales increased approximately 10 basis points during the second quarter of Fiscal 2017, primarily driven by a 20 basis point increase in our stock based compensation, partially offset by a 10 basis point improvement in our business insurance.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121"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related to the depreciation of fixed assets and the amortization of favorable and unfavorable leases amounted to $48.7 million during the second quarter of Fiscal 2017 compared with $44.6 million during the second quarter of Fiscal 2016. The increase was primarily driven by our new and non-comparable stores.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66"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income-net</w:t>
      </w:r>
    </w:p>
    <w:p>
      <w:pPr>
        <w:spacing w:after="0" w:line="121" w:lineRule="exact"/>
        <w:rPr>
          <w:sz w:val="20"/>
          <w:szCs w:val="20"/>
          <w:color w:val="auto"/>
        </w:rPr>
      </w:pPr>
    </w:p>
    <w:p>
      <w:pPr>
        <w:ind w:right="120" w:firstLine="518"/>
        <w:spacing w:after="0" w:line="266" w:lineRule="auto"/>
        <w:rPr>
          <w:sz w:val="20"/>
          <w:szCs w:val="20"/>
          <w:color w:val="auto"/>
        </w:rPr>
      </w:pPr>
      <w:r>
        <w:rPr>
          <w:rFonts w:ascii="Times New Roman" w:cs="Times New Roman" w:eastAsia="Times New Roman" w:hAnsi="Times New Roman"/>
          <w:sz w:val="18"/>
          <w:szCs w:val="18"/>
          <w:color w:val="auto"/>
        </w:rPr>
        <w:t>Other income, net (consisting of investment income, gains and losses on disposition of assets, breakage income and other miscellaneous items) improved $2.0 million, primarily driven by the sale of New Jersey Grow tax credits during the second quarter of Fiscal 2017. The Company sold similar tax credits during the first quarter of Fiscal 2016.</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right="140" w:firstLine="518"/>
        <w:spacing w:after="0" w:line="266" w:lineRule="auto"/>
        <w:rPr>
          <w:sz w:val="20"/>
          <w:szCs w:val="20"/>
          <w:color w:val="auto"/>
        </w:rPr>
      </w:pPr>
      <w:r>
        <w:rPr>
          <w:rFonts w:ascii="Times New Roman" w:cs="Times New Roman" w:eastAsia="Times New Roman" w:hAnsi="Times New Roman"/>
          <w:sz w:val="18"/>
          <w:szCs w:val="18"/>
          <w:color w:val="auto"/>
        </w:rPr>
        <w:t>Interest expense improved $0.5 million to $14.5 million, primarily driven by the repricing of our Term Loan Facility during the second quarter of Fiscal 2016 and a decrease in the average outstanding balance on our ABL Line of Credit, partially offset by an increase in the amortization of the financing costs associated with our interest rate cap contracts reclassified from accumulated other comprehensive income into interest expense.</w:t>
      </w:r>
    </w:p>
    <w:p>
      <w:pPr>
        <w:spacing w:after="0" w:line="68" w:lineRule="exact"/>
        <w:rPr>
          <w:sz w:val="20"/>
          <w:szCs w:val="20"/>
          <w:color w:val="auto"/>
        </w:rPr>
      </w:pPr>
    </w:p>
    <w:p>
      <w:pPr>
        <w:ind w:right="220" w:firstLine="518"/>
        <w:spacing w:after="0" w:line="282" w:lineRule="auto"/>
        <w:rPr>
          <w:sz w:val="20"/>
          <w:szCs w:val="20"/>
          <w:color w:val="auto"/>
        </w:rPr>
      </w:pPr>
      <w:r>
        <w:rPr>
          <w:rFonts w:ascii="Times New Roman" w:cs="Times New Roman" w:eastAsia="Times New Roman" w:hAnsi="Times New Roman"/>
          <w:sz w:val="18"/>
          <w:szCs w:val="18"/>
          <w:color w:val="auto"/>
        </w:rPr>
        <w:t>Our average interest rates and average balances related to our Term Loan Facility and our ABL Line of Credit, for the second quarter of Fiscal 2017 compared with the second quarter of Fiscal 2016, are summarized in the table below:</w:t>
      </w:r>
    </w:p>
    <w:p>
      <w:pPr>
        <w:spacing w:after="0" w:line="345"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9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4"/>
        </w:trPr>
        <w:tc>
          <w:tcPr>
            <w:tcW w:w="49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jc w:val="center"/>
              <w:ind w:left="76"/>
              <w:spacing w:after="0" w:line="145" w:lineRule="exact"/>
              <w:rPr>
                <w:sz w:val="20"/>
                <w:szCs w:val="20"/>
                <w:color w:val="auto"/>
              </w:rPr>
            </w:pPr>
            <w:r>
              <w:rPr>
                <w:rFonts w:ascii="Times New Roman" w:cs="Times New Roman" w:eastAsia="Times New Roman" w:hAnsi="Times New Roman"/>
                <w:sz w:val="14"/>
                <w:szCs w:val="14"/>
                <w:b w:val="1"/>
                <w:bCs w:val="1"/>
                <w:color w:val="auto"/>
              </w:rPr>
              <w:t>July 29,</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80" w:type="dxa"/>
            <w:vAlign w:val="bottom"/>
          </w:tcPr>
          <w:p>
            <w:pPr>
              <w:jc w:val="center"/>
              <w:ind w:right="556"/>
              <w:spacing w:after="0" w:line="145" w:lineRule="exact"/>
              <w:rPr>
                <w:sz w:val="20"/>
                <w:szCs w:val="20"/>
                <w:color w:val="auto"/>
              </w:rPr>
            </w:pPr>
            <w:r>
              <w:rPr>
                <w:rFonts w:ascii="Times New Roman" w:cs="Times New Roman" w:eastAsia="Times New Roman" w:hAnsi="Times New Roman"/>
                <w:sz w:val="14"/>
                <w:szCs w:val="14"/>
                <w:b w:val="1"/>
                <w:bCs w:val="1"/>
                <w:color w:val="auto"/>
              </w:rPr>
              <w:t>July 30,</w:t>
            </w:r>
          </w:p>
        </w:tc>
        <w:tc>
          <w:tcPr>
            <w:tcW w:w="100" w:type="dxa"/>
            <w:vAlign w:val="bottom"/>
          </w:tcPr>
          <w:p>
            <w:pPr>
              <w:spacing w:after="0"/>
              <w:rPr>
                <w:sz w:val="12"/>
                <w:szCs w:val="12"/>
                <w:color w:val="auto"/>
              </w:rPr>
            </w:pPr>
          </w:p>
        </w:tc>
      </w:tr>
      <w:tr>
        <w:trPr>
          <w:trHeight w:val="173"/>
        </w:trPr>
        <w:tc>
          <w:tcPr>
            <w:tcW w:w="4940" w:type="dxa"/>
            <w:vAlign w:val="bottom"/>
            <w:tcBorders>
              <w:bottom w:val="single" w:sz="8" w:color="CFF0FC"/>
            </w:tcBorders>
          </w:tcPr>
          <w:p>
            <w:pPr>
              <w:spacing w:after="0"/>
              <w:rPr>
                <w:sz w:val="15"/>
                <w:szCs w:val="15"/>
                <w:color w:val="auto"/>
              </w:rPr>
            </w:pPr>
          </w:p>
        </w:tc>
        <w:tc>
          <w:tcPr>
            <w:tcW w:w="1200" w:type="dxa"/>
            <w:vAlign w:val="bottom"/>
            <w:tcBorders>
              <w:bottom w:val="single" w:sz="8" w:color="CFF0FC"/>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2017</w:t>
            </w:r>
          </w:p>
        </w:tc>
        <w:tc>
          <w:tcPr>
            <w:tcW w:w="660" w:type="dxa"/>
            <w:vAlign w:val="bottom"/>
            <w:tcBorders>
              <w:bottom w:val="single" w:sz="8" w:color="auto"/>
            </w:tcBorders>
          </w:tcPr>
          <w:p>
            <w:pPr>
              <w:spacing w:after="0"/>
              <w:rPr>
                <w:sz w:val="15"/>
                <w:szCs w:val="15"/>
                <w:color w:val="auto"/>
              </w:rPr>
            </w:pPr>
          </w:p>
        </w:tc>
        <w:tc>
          <w:tcPr>
            <w:tcW w:w="200" w:type="dxa"/>
            <w:vAlign w:val="bottom"/>
            <w:tcBorders>
              <w:bottom w:val="single" w:sz="8" w:color="CFF0FC"/>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FF0FC"/>
            </w:tcBorders>
          </w:tcPr>
          <w:p>
            <w:pPr>
              <w:spacing w:after="0"/>
              <w:rPr>
                <w:sz w:val="15"/>
                <w:szCs w:val="15"/>
                <w:color w:val="auto"/>
              </w:rPr>
            </w:pPr>
          </w:p>
        </w:tc>
      </w:tr>
      <w:tr>
        <w:trPr>
          <w:trHeight w:val="223"/>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Average interest rate – ABL Line of Credit</w:t>
            </w:r>
          </w:p>
        </w:tc>
        <w:tc>
          <w:tcPr>
            <w:tcW w:w="1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20" w:type="dxa"/>
            <w:vAlign w:val="bottom"/>
            <w:shd w:val="clear" w:color="auto" w:fill="CFF0FC"/>
          </w:tcPr>
          <w:p>
            <w:pPr>
              <w:jc w:val="center"/>
              <w:ind w:left="176"/>
              <w:spacing w:after="0"/>
              <w:rPr>
                <w:sz w:val="20"/>
                <w:szCs w:val="20"/>
                <w:color w:val="auto"/>
              </w:rPr>
            </w:pPr>
            <w:r>
              <w:rPr>
                <w:rFonts w:ascii="Times New Roman" w:cs="Times New Roman" w:eastAsia="Times New Roman" w:hAnsi="Times New Roman"/>
                <w:sz w:val="18"/>
                <w:szCs w:val="18"/>
                <w:color w:val="auto"/>
              </w:rPr>
              <w:t>2.8%</w:t>
            </w: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80" w:type="dxa"/>
            <w:vAlign w:val="bottom"/>
            <w:shd w:val="clear" w:color="auto" w:fill="CFF0FC"/>
          </w:tcPr>
          <w:p>
            <w:pPr>
              <w:jc w:val="center"/>
              <w:ind w:right="436"/>
              <w:spacing w:after="0"/>
              <w:rPr>
                <w:sz w:val="20"/>
                <w:szCs w:val="20"/>
                <w:color w:val="auto"/>
              </w:rPr>
            </w:pPr>
            <w:r>
              <w:rPr>
                <w:rFonts w:ascii="Times New Roman" w:cs="Times New Roman" w:eastAsia="Times New Roman" w:hAnsi="Times New Roman"/>
                <w:sz w:val="18"/>
                <w:szCs w:val="18"/>
                <w:color w:val="auto"/>
                <w:w w:val="95"/>
              </w:rPr>
              <w:t>1.8%</w:t>
            </w:r>
          </w:p>
        </w:tc>
        <w:tc>
          <w:tcPr>
            <w:tcW w:w="100" w:type="dxa"/>
            <w:vAlign w:val="bottom"/>
            <w:shd w:val="clear" w:color="auto" w:fill="CFF0FC"/>
          </w:tcPr>
          <w:p>
            <w:pPr>
              <w:spacing w:after="0"/>
              <w:rPr>
                <w:sz w:val="19"/>
                <w:szCs w:val="19"/>
                <w:color w:val="auto"/>
              </w:rPr>
            </w:pPr>
          </w:p>
        </w:tc>
      </w:tr>
      <w:tr>
        <w:trPr>
          <w:trHeight w:val="230"/>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Average interest rate – Term Loan Facility</w:t>
            </w:r>
          </w:p>
        </w:tc>
        <w:tc>
          <w:tcPr>
            <w:tcW w:w="1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center"/>
              <w:ind w:left="176"/>
              <w:spacing w:after="0"/>
              <w:rPr>
                <w:sz w:val="20"/>
                <w:szCs w:val="20"/>
                <w:color w:val="auto"/>
              </w:rPr>
            </w:pPr>
            <w:r>
              <w:rPr>
                <w:rFonts w:ascii="Times New Roman" w:cs="Times New Roman" w:eastAsia="Times New Roman" w:hAnsi="Times New Roman"/>
                <w:sz w:val="18"/>
                <w:szCs w:val="18"/>
                <w:color w:val="auto"/>
              </w:rPr>
              <w:t>3.8%</w:t>
            </w: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80" w:type="dxa"/>
            <w:vAlign w:val="bottom"/>
          </w:tcPr>
          <w:p>
            <w:pPr>
              <w:jc w:val="center"/>
              <w:ind w:right="436"/>
              <w:spacing w:after="0"/>
              <w:rPr>
                <w:sz w:val="20"/>
                <w:szCs w:val="20"/>
                <w:color w:val="auto"/>
              </w:rPr>
            </w:pPr>
            <w:r>
              <w:rPr>
                <w:rFonts w:ascii="Times New Roman" w:cs="Times New Roman" w:eastAsia="Times New Roman" w:hAnsi="Times New Roman"/>
                <w:sz w:val="18"/>
                <w:szCs w:val="18"/>
                <w:color w:val="auto"/>
                <w:w w:val="95"/>
              </w:rPr>
              <w:t>4.2%</w:t>
            </w:r>
          </w:p>
        </w:tc>
        <w:tc>
          <w:tcPr>
            <w:tcW w:w="100" w:type="dxa"/>
            <w:vAlign w:val="bottom"/>
          </w:tcPr>
          <w:p>
            <w:pPr>
              <w:spacing w:after="0"/>
              <w:rPr>
                <w:sz w:val="19"/>
                <w:szCs w:val="19"/>
                <w:color w:val="auto"/>
              </w:rPr>
            </w:pPr>
          </w:p>
        </w:tc>
      </w:tr>
      <w:tr>
        <w:trPr>
          <w:trHeight w:val="230"/>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Average balance – ABL Line of Credit (in millions)</w:t>
            </w:r>
          </w:p>
        </w:tc>
        <w:tc>
          <w:tcPr>
            <w:tcW w:w="15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center"/>
              <w:ind w:left="196"/>
              <w:spacing w:after="0"/>
              <w:rPr>
                <w:sz w:val="20"/>
                <w:szCs w:val="20"/>
                <w:color w:val="auto"/>
              </w:rPr>
            </w:pPr>
            <w:r>
              <w:rPr>
                <w:rFonts w:ascii="Times New Roman" w:cs="Times New Roman" w:eastAsia="Times New Roman" w:hAnsi="Times New Roman"/>
                <w:sz w:val="18"/>
                <w:szCs w:val="18"/>
                <w:color w:val="auto"/>
              </w:rPr>
              <w:t>79.0</w:t>
            </w:r>
          </w:p>
        </w:tc>
        <w:tc>
          <w:tcPr>
            <w:tcW w:w="1460" w:type="dxa"/>
            <w:vAlign w:val="bottom"/>
            <w:gridSpan w:val="3"/>
            <w:shd w:val="clear" w:color="auto" w:fill="CFF0FC"/>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center"/>
              <w:ind w:right="436"/>
              <w:spacing w:after="0"/>
              <w:rPr>
                <w:sz w:val="20"/>
                <w:szCs w:val="20"/>
                <w:color w:val="auto"/>
              </w:rPr>
            </w:pPr>
            <w:r>
              <w:rPr>
                <w:rFonts w:ascii="Times New Roman" w:cs="Times New Roman" w:eastAsia="Times New Roman" w:hAnsi="Times New Roman"/>
                <w:sz w:val="18"/>
                <w:szCs w:val="18"/>
                <w:color w:val="auto"/>
                <w:w w:val="98"/>
              </w:rPr>
              <w:t>224.1</w:t>
            </w:r>
          </w:p>
        </w:tc>
        <w:tc>
          <w:tcPr>
            <w:tcW w:w="100" w:type="dxa"/>
            <w:vAlign w:val="bottom"/>
            <w:shd w:val="clear" w:color="auto" w:fill="CFF0FC"/>
          </w:tcPr>
          <w:p>
            <w:pPr>
              <w:spacing w:after="0"/>
              <w:rPr>
                <w:sz w:val="19"/>
                <w:szCs w:val="19"/>
                <w:color w:val="auto"/>
              </w:rPr>
            </w:pPr>
          </w:p>
        </w:tc>
      </w:tr>
      <w:tr>
        <w:trPr>
          <w:trHeight w:val="234"/>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Average balance – Term Loan Facility (in millions)</w:t>
            </w:r>
          </w:p>
        </w:tc>
        <w:tc>
          <w:tcPr>
            <w:tcW w:w="15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center"/>
              <w:ind w:left="176"/>
              <w:spacing w:after="0"/>
              <w:rPr>
                <w:sz w:val="20"/>
                <w:szCs w:val="20"/>
                <w:color w:val="auto"/>
              </w:rPr>
            </w:pPr>
            <w:r>
              <w:rPr>
                <w:rFonts w:ascii="Times New Roman" w:cs="Times New Roman" w:eastAsia="Times New Roman" w:hAnsi="Times New Roman"/>
                <w:sz w:val="18"/>
                <w:szCs w:val="18"/>
                <w:color w:val="auto"/>
                <w:w w:val="99"/>
              </w:rPr>
              <w:t>1,117.0</w:t>
            </w:r>
          </w:p>
        </w:tc>
        <w:tc>
          <w:tcPr>
            <w:tcW w:w="146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center"/>
              <w:ind w:right="436"/>
              <w:spacing w:after="0"/>
              <w:rPr>
                <w:sz w:val="20"/>
                <w:szCs w:val="20"/>
                <w:color w:val="auto"/>
              </w:rPr>
            </w:pPr>
            <w:r>
              <w:rPr>
                <w:rFonts w:ascii="Times New Roman" w:cs="Times New Roman" w:eastAsia="Times New Roman" w:hAnsi="Times New Roman"/>
                <w:sz w:val="18"/>
                <w:szCs w:val="18"/>
                <w:color w:val="auto"/>
                <w:w w:val="96"/>
              </w:rPr>
              <w:t>1,117.0</w:t>
            </w:r>
          </w:p>
        </w:tc>
        <w:tc>
          <w:tcPr>
            <w:tcW w:w="100" w:type="dxa"/>
            <w:vAlign w:val="bottom"/>
          </w:tcPr>
          <w:p>
            <w:pPr>
              <w:spacing w:after="0"/>
              <w:rPr>
                <w:sz w:val="20"/>
                <w:szCs w:val="20"/>
                <w:color w:val="auto"/>
              </w:rPr>
            </w:pP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21"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Income tax expense was $16.2 million during the second quarter of Fiscal 2017 compared with $12.3 million during the second quarter of Fiscal 2016. The effective tax rate for the second quarter of Fiscal 2017 was 25.6% compared with 37.6% during the second quarter of Fiscal 2016. The improvement in the effective tax rate was primarily the result of the adoption of the new share based accounting standard, which lowered our effective tax rate by approximately 1,140 basis points, as well as a reduction of state income taxes.</w:t>
      </w:r>
    </w:p>
    <w:p>
      <w:pPr>
        <w:spacing w:after="0" w:line="180"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In accordance with ASC Topic No. 270, “Interim Reporting” (Topic No. 270), and ASC Topic No. 740, “Income Taxes” (Topic No. 740), at the end of each interim period we are required to determine the best estimate of our annual effective tax rate and then apply that rate in providing for income taxes on a current year-to-date (interim period) basis. Use of this methodology during the second quarter of Fiscal 2017 resulted in an annual effective income tax rate of 37.0% (before discrete items) as our best estimate. This is consistent with the projected annual effective income tax rate for the second quarter of Fiscal 2016 of 37.1% (before discrete items).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121" w:lineRule="exact"/>
        <w:rPr>
          <w:sz w:val="20"/>
          <w:szCs w:val="20"/>
          <w:color w:val="auto"/>
        </w:rPr>
      </w:pPr>
    </w:p>
    <w:p>
      <w:pPr>
        <w:ind w:right="380" w:firstLine="518"/>
        <w:spacing w:after="0" w:line="261" w:lineRule="auto"/>
        <w:rPr>
          <w:sz w:val="20"/>
          <w:szCs w:val="20"/>
          <w:color w:val="auto"/>
        </w:rPr>
      </w:pPr>
      <w:r>
        <w:rPr>
          <w:rFonts w:ascii="Times New Roman" w:cs="Times New Roman" w:eastAsia="Times New Roman" w:hAnsi="Times New Roman"/>
          <w:sz w:val="18"/>
          <w:szCs w:val="18"/>
          <w:color w:val="auto"/>
        </w:rPr>
        <w:t>We earned net income of $46.9 million for the second quarter of Fiscal 2017 compared with net income of $20.4 million for the second quarter of Fiscal 2016. This improvement was primarily driven by our improved gross margin, as well as an improvement in our income tax expense driven by the adoption of the new share based accounting standard. These improvements were partially offset by increases in our selling, general and administrative expenses and depreciation and amortization expense.</w:t>
      </w:r>
    </w:p>
    <w:p>
      <w:pPr>
        <w:spacing w:after="0" w:line="109" w:lineRule="exact"/>
        <w:rPr>
          <w:sz w:val="20"/>
          <w:szCs w:val="20"/>
          <w:color w:val="auto"/>
        </w:rPr>
      </w:pPr>
    </w:p>
    <w:p>
      <w:pPr>
        <w:ind w:right="3860"/>
        <w:spacing w:after="0" w:line="378"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Six Month Period Ended July 29, 2017 Compared With the Six Month Period Ended July 30, 2016 </w:t>
      </w:r>
      <w:r>
        <w:rPr>
          <w:rFonts w:ascii="Times New Roman" w:cs="Times New Roman" w:eastAsia="Times New Roman" w:hAnsi="Times New Roman"/>
          <w:sz w:val="18"/>
          <w:szCs w:val="18"/>
          <w:b w:val="1"/>
          <w:bCs w:val="1"/>
          <w:i w:val="1"/>
          <w:iCs w:val="1"/>
          <w:color w:val="auto"/>
        </w:rPr>
        <w:t>Net sales</w:t>
      </w:r>
    </w:p>
    <w:p>
      <w:pPr>
        <w:ind w:right="140" w:firstLine="518"/>
        <w:spacing w:after="0" w:line="282" w:lineRule="auto"/>
        <w:rPr>
          <w:sz w:val="20"/>
          <w:szCs w:val="20"/>
          <w:color w:val="auto"/>
        </w:rPr>
      </w:pPr>
      <w:r>
        <w:rPr>
          <w:rFonts w:ascii="Times New Roman" w:cs="Times New Roman" w:eastAsia="Times New Roman" w:hAnsi="Times New Roman"/>
          <w:sz w:val="18"/>
          <w:szCs w:val="18"/>
          <w:color w:val="auto"/>
        </w:rPr>
        <w:t>Net sales improved approximately $172.0 million, or 6.8%, to $2,709.8 million during the six month period ended July 29, 2017, driven primarily by the following:</w:t>
      </w:r>
    </w:p>
    <w:p>
      <w:pPr>
        <w:spacing w:after="0" w:line="54" w:lineRule="exact"/>
        <w:rPr>
          <w:sz w:val="20"/>
          <w:szCs w:val="20"/>
          <w:color w:val="auto"/>
        </w:rPr>
      </w:pP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net sales of $134.9 million from our new and non-comparable stores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comparable store sales of $50.0 million, or 2.0%, to $2,559.3 million; partially offset by</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$12.9 million decrease related to the net impact of closed stores and other sales adjustments.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believe that the comparable store sales increase was primarily due to the improved execution of our off-price model.</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1" w:right="2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121"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Cost of sales as a percentage of net sales improved approximately 90 basis points to 59.2% during the six month period ended July 29, 2017, driven primarily by lower markdowns and higher initial markups. This improvement was in addition to an approximate 10 basis point improvement in product sourcing costs, which are included in the line item “Selling, general and administrative expenses” in our Condensed Consolidated Statements of Income. On a dollar basis, cost of sales increased $78.2 million, or 5.1%, primarily driven by our overall increase in sales.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jc w:val="both"/>
        <w:ind w:right="240" w:firstLine="518"/>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as a percentage of net sales improved approximately 20 basis points during the six month period ended July 29, 2017. The following table details selling, general and administrative expenses for the six month period ended July 29, 2017 compared with the six month period ended July 30, 2016:</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0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4"/>
          </w:tcPr>
          <w:p>
            <w:pPr>
              <w:jc w:val="right"/>
              <w:ind w:right="104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0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340" w:type="dxa"/>
            <w:vAlign w:val="bottom"/>
            <w:tcBorders>
              <w:bottom w:val="single" w:sz="8" w:color="auto"/>
            </w:tcBorders>
            <w:gridSpan w:val="4"/>
          </w:tcPr>
          <w:p>
            <w:pPr>
              <w:jc w:val="right"/>
              <w:ind w:right="840"/>
              <w:spacing w:after="0" w:line="155" w:lineRule="exact"/>
              <w:rPr>
                <w:sz w:val="20"/>
                <w:szCs w:val="20"/>
                <w:color w:val="auto"/>
              </w:rPr>
            </w:pPr>
            <w:r>
              <w:rPr>
                <w:rFonts w:ascii="Times New Roman" w:cs="Times New Roman" w:eastAsia="Times New Roman" w:hAnsi="Times New Roman"/>
                <w:sz w:val="14"/>
                <w:szCs w:val="14"/>
                <w:b w:val="1"/>
                <w:bCs w:val="1"/>
                <w:color w:val="auto"/>
              </w:rPr>
              <w:t>Six Months Ended</w:t>
            </w: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4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July 29,</w:t>
            </w:r>
          </w:p>
        </w:tc>
        <w:tc>
          <w:tcPr>
            <w:tcW w:w="120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July 30,</w:t>
            </w:r>
          </w:p>
        </w:tc>
        <w:tc>
          <w:tcPr>
            <w:tcW w:w="128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of</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of</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06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2017</w:t>
            </w:r>
          </w:p>
        </w:tc>
        <w:tc>
          <w:tcPr>
            <w:tcW w:w="240" w:type="dxa"/>
            <w:vAlign w:val="bottom"/>
            <w:tcBorders>
              <w:bottom w:val="single" w:sz="8" w:color="CFF0FC"/>
            </w:tcBorders>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24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Borders>
              <w:bottom w:val="single" w:sz="8" w:color="CFF0FC"/>
            </w:tcBorders>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3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 Variance</w:t>
            </w:r>
          </w:p>
        </w:tc>
        <w:tc>
          <w:tcPr>
            <w:tcW w:w="260" w:type="dxa"/>
            <w:vAlign w:val="bottom"/>
            <w:tcBorders>
              <w:bottom w:val="single" w:sz="8" w:color="CFF0FC"/>
            </w:tcBorders>
          </w:tcPr>
          <w:p>
            <w:pPr>
              <w:spacing w:after="0"/>
              <w:rPr>
                <w:sz w:val="15"/>
                <w:szCs w:val="15"/>
                <w:color w:val="auto"/>
              </w:rPr>
            </w:pPr>
          </w:p>
        </w:tc>
        <w:tc>
          <w:tcPr>
            <w:tcW w:w="9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Store related costs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578.1</w:t>
            </w: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21.3%</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542.9</w:t>
            </w:r>
          </w:p>
        </w:tc>
        <w:tc>
          <w:tcPr>
            <w:tcW w:w="2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2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Product sourcing costs</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costs</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Marketing and strategy costs</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0"/>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selling, general and administrative expenses</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(0.7)</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6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858.1</w:t>
            </w:r>
          </w:p>
        </w:tc>
        <w:tc>
          <w:tcPr>
            <w:tcW w:w="24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31.7%</w:t>
            </w:r>
          </w:p>
        </w:tc>
        <w:tc>
          <w:tcPr>
            <w:tcW w:w="8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810.5</w:t>
            </w:r>
          </w:p>
        </w:tc>
        <w:tc>
          <w:tcPr>
            <w:tcW w:w="2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31.9%</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26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Store related costs as a percentage of net sales improved approximately 10 basis points during the six month period ended July 29, 2017, driven by 10 basis point leverage in occupancy costs. The 10 basis point increase in store payroll as a percentage of net sales, resulting from the minimum wage increases for our stores, was offset by a 10 basis point improvement in incentive compensation. On a dollar basis, the $35.2 million increase was primarily driven by costs related to our new and non-comparable stores.</w:t>
      </w:r>
    </w:p>
    <w:p>
      <w:pPr>
        <w:spacing w:after="0" w:line="180" w:lineRule="exact"/>
        <w:rPr>
          <w:sz w:val="20"/>
          <w:szCs w:val="20"/>
          <w:color w:val="auto"/>
        </w:rPr>
      </w:pPr>
    </w:p>
    <w:p>
      <w:pPr>
        <w:ind w:right="60" w:firstLine="518"/>
        <w:spacing w:after="0" w:line="266" w:lineRule="auto"/>
        <w:rPr>
          <w:sz w:val="20"/>
          <w:szCs w:val="20"/>
          <w:color w:val="auto"/>
        </w:rPr>
      </w:pPr>
      <w:r>
        <w:rPr>
          <w:rFonts w:ascii="Times New Roman" w:cs="Times New Roman" w:eastAsia="Times New Roman" w:hAnsi="Times New Roman"/>
          <w:sz w:val="18"/>
          <w:szCs w:val="18"/>
          <w:color w:val="auto"/>
        </w:rPr>
        <w:t>Product sourcing costs as a percentage of net sales improved approximately 10 basis points during the six month period ended July 29, 2017, on top of a 90 basis point improvement in cost of sales. The improvement in product sourcing costs as a percentage of net sales was driven by warehouse labor efficiencies obtained during the year.</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$7.7 million increase in corporate costs was primarily driven by an increase in our stock based compensation.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121" w:lineRule="exact"/>
        <w:rPr>
          <w:sz w:val="20"/>
          <w:szCs w:val="20"/>
          <w:color w:val="auto"/>
        </w:rPr>
      </w:pPr>
    </w:p>
    <w:p>
      <w:pPr>
        <w:jc w:val="both"/>
        <w:ind w:right="20" w:firstLine="518"/>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related to the depreciation of fixed assets and the amortization of favorable and unfavorable leases amounted to $96.7 million during the six month period ended July 29, 2017 compared with $90.2 million during the six month period ended July 30, 2016. The increase in depreciation and amortization expense was primarily driven by our new and non-comparable stores.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right="160" w:firstLine="518"/>
        <w:spacing w:after="0" w:line="266" w:lineRule="auto"/>
        <w:rPr>
          <w:sz w:val="20"/>
          <w:szCs w:val="20"/>
          <w:color w:val="auto"/>
        </w:rPr>
      </w:pPr>
      <w:r>
        <w:rPr>
          <w:rFonts w:ascii="Times New Roman" w:cs="Times New Roman" w:eastAsia="Times New Roman" w:hAnsi="Times New Roman"/>
          <w:sz w:val="18"/>
          <w:szCs w:val="18"/>
          <w:color w:val="auto"/>
        </w:rPr>
        <w:t>Interest expense improved $2.0 million to $28.1 million, primarily driven by the repricing of our Term Loan Facility during the second quarter of Fiscal 2016 and a decrease in the average outstanding balance on our ABL Line of Credit, partially offset by an increase in the amortization of the financing costs associated with our interest rate cap contracts.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29" w:name="page30"/>
    <w:bookmarkEnd w:id="29"/>
    <w:p>
      <w:pPr>
        <w:ind w:right="60" w:firstLine="518"/>
        <w:spacing w:after="0" w:line="282" w:lineRule="auto"/>
        <w:rPr>
          <w:sz w:val="20"/>
          <w:szCs w:val="20"/>
          <w:color w:val="auto"/>
        </w:rPr>
      </w:pPr>
      <w:r>
        <w:rPr>
          <w:rFonts w:ascii="Times New Roman" w:cs="Times New Roman" w:eastAsia="Times New Roman" w:hAnsi="Times New Roman"/>
          <w:sz w:val="18"/>
          <w:szCs w:val="18"/>
          <w:color w:val="auto"/>
        </w:rPr>
        <w:t>Our average interest rates and average balances related to our Term Loan Facility and our ABL Line of Credit, for the six month period ended July 29, 2017 compared with prior year, are summarized in the table below:</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4"/>
        </w:trPr>
        <w:tc>
          <w:tcPr>
            <w:tcW w:w="53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60" w:type="dxa"/>
            <w:vAlign w:val="bottom"/>
          </w:tcPr>
          <w:p>
            <w:pPr>
              <w:jc w:val="center"/>
              <w:ind w:left="16"/>
              <w:spacing w:after="0" w:line="145" w:lineRule="exact"/>
              <w:rPr>
                <w:sz w:val="20"/>
                <w:szCs w:val="20"/>
                <w:color w:val="auto"/>
              </w:rPr>
            </w:pPr>
            <w:r>
              <w:rPr>
                <w:rFonts w:ascii="Times New Roman" w:cs="Times New Roman" w:eastAsia="Times New Roman" w:hAnsi="Times New Roman"/>
                <w:sz w:val="14"/>
                <w:szCs w:val="14"/>
                <w:b w:val="1"/>
                <w:bCs w:val="1"/>
                <w:color w:val="auto"/>
              </w:rPr>
              <w:t>July 29,</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80" w:type="dxa"/>
            <w:vAlign w:val="bottom"/>
          </w:tcPr>
          <w:p>
            <w:pPr>
              <w:jc w:val="center"/>
              <w:ind w:right="516"/>
              <w:spacing w:after="0" w:line="145" w:lineRule="exact"/>
              <w:rPr>
                <w:sz w:val="20"/>
                <w:szCs w:val="20"/>
                <w:color w:val="auto"/>
              </w:rPr>
            </w:pPr>
            <w:r>
              <w:rPr>
                <w:rFonts w:ascii="Times New Roman" w:cs="Times New Roman" w:eastAsia="Times New Roman" w:hAnsi="Times New Roman"/>
                <w:sz w:val="14"/>
                <w:szCs w:val="14"/>
                <w:b w:val="1"/>
                <w:bCs w:val="1"/>
                <w:color w:val="auto"/>
              </w:rPr>
              <w:t>July 30,</w:t>
            </w:r>
          </w:p>
        </w:tc>
        <w:tc>
          <w:tcPr>
            <w:tcW w:w="100" w:type="dxa"/>
            <w:vAlign w:val="bottom"/>
          </w:tcPr>
          <w:p>
            <w:pPr>
              <w:spacing w:after="0"/>
              <w:rPr>
                <w:sz w:val="12"/>
                <w:szCs w:val="12"/>
                <w:color w:val="auto"/>
              </w:rPr>
            </w:pPr>
          </w:p>
        </w:tc>
      </w:tr>
      <w:tr>
        <w:trPr>
          <w:trHeight w:val="173"/>
        </w:trPr>
        <w:tc>
          <w:tcPr>
            <w:tcW w:w="5300" w:type="dxa"/>
            <w:vAlign w:val="bottom"/>
            <w:tcBorders>
              <w:bottom w:val="single" w:sz="8" w:color="CFF0FC"/>
            </w:tcBorders>
          </w:tcPr>
          <w:p>
            <w:pPr>
              <w:spacing w:after="0"/>
              <w:rPr>
                <w:sz w:val="15"/>
                <w:szCs w:val="15"/>
                <w:color w:val="auto"/>
              </w:rPr>
            </w:pPr>
          </w:p>
        </w:tc>
        <w:tc>
          <w:tcPr>
            <w:tcW w:w="1540" w:type="dxa"/>
            <w:vAlign w:val="bottom"/>
            <w:tcBorders>
              <w:bottom w:val="single" w:sz="8" w:color="CFF0FC"/>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2017</w:t>
            </w:r>
          </w:p>
        </w:tc>
        <w:tc>
          <w:tcPr>
            <w:tcW w:w="680" w:type="dxa"/>
            <w:vAlign w:val="bottom"/>
            <w:tcBorders>
              <w:bottom w:val="single" w:sz="8" w:color="auto"/>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816"/>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FF0FC"/>
            </w:tcBorders>
          </w:tcPr>
          <w:p>
            <w:pPr>
              <w:spacing w:after="0"/>
              <w:rPr>
                <w:sz w:val="15"/>
                <w:szCs w:val="15"/>
                <w:color w:val="auto"/>
              </w:rPr>
            </w:pPr>
          </w:p>
        </w:tc>
      </w:tr>
      <w:tr>
        <w:trPr>
          <w:trHeight w:val="223"/>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Average interest rate – ABL Line of Credit</w:t>
            </w:r>
          </w:p>
        </w:tc>
        <w:tc>
          <w:tcPr>
            <w:tcW w:w="15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60" w:type="dxa"/>
            <w:vAlign w:val="bottom"/>
            <w:shd w:val="clear" w:color="auto" w:fill="CFF0FC"/>
          </w:tcPr>
          <w:p>
            <w:pPr>
              <w:jc w:val="center"/>
              <w:ind w:left="136"/>
              <w:spacing w:after="0"/>
              <w:rPr>
                <w:sz w:val="20"/>
                <w:szCs w:val="20"/>
                <w:color w:val="auto"/>
              </w:rPr>
            </w:pPr>
            <w:r>
              <w:rPr>
                <w:rFonts w:ascii="Times New Roman" w:cs="Times New Roman" w:eastAsia="Times New Roman" w:hAnsi="Times New Roman"/>
                <w:sz w:val="18"/>
                <w:szCs w:val="18"/>
                <w:color w:val="auto"/>
                <w:w w:val="95"/>
              </w:rPr>
              <w:t>2.7%</w:t>
            </w: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480" w:type="dxa"/>
            <w:vAlign w:val="bottom"/>
            <w:shd w:val="clear" w:color="auto" w:fill="CFF0FC"/>
          </w:tcPr>
          <w:p>
            <w:pPr>
              <w:jc w:val="center"/>
              <w:ind w:right="416"/>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FF0FC"/>
          </w:tcPr>
          <w:p>
            <w:pPr>
              <w:spacing w:after="0"/>
              <w:rPr>
                <w:sz w:val="19"/>
                <w:szCs w:val="19"/>
                <w:color w:val="auto"/>
              </w:rPr>
            </w:pPr>
          </w:p>
        </w:tc>
      </w:tr>
      <w:tr>
        <w:trPr>
          <w:trHeight w:val="23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Average interest rate – Term Loan Facility</w:t>
            </w:r>
          </w:p>
        </w:tc>
        <w:tc>
          <w:tcPr>
            <w:tcW w:w="1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center"/>
              <w:ind w:left="136"/>
              <w:spacing w:after="0"/>
              <w:rPr>
                <w:sz w:val="20"/>
                <w:szCs w:val="20"/>
                <w:color w:val="auto"/>
              </w:rPr>
            </w:pPr>
            <w:r>
              <w:rPr>
                <w:rFonts w:ascii="Times New Roman" w:cs="Times New Roman" w:eastAsia="Times New Roman" w:hAnsi="Times New Roman"/>
                <w:sz w:val="18"/>
                <w:szCs w:val="18"/>
                <w:color w:val="auto"/>
                <w:w w:val="95"/>
              </w:rPr>
              <w:t>3.7%</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80" w:type="dxa"/>
            <w:vAlign w:val="bottom"/>
          </w:tcPr>
          <w:p>
            <w:pPr>
              <w:jc w:val="center"/>
              <w:ind w:right="416"/>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r>
      <w:tr>
        <w:trPr>
          <w:trHeight w:val="230"/>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Average balance – ABL Line of Credit (in millions)</w:t>
            </w:r>
          </w:p>
        </w:tc>
        <w:tc>
          <w:tcPr>
            <w:tcW w:w="19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center"/>
              <w:ind w:left="136"/>
              <w:spacing w:after="0"/>
              <w:rPr>
                <w:sz w:val="20"/>
                <w:szCs w:val="20"/>
                <w:color w:val="auto"/>
              </w:rPr>
            </w:pPr>
            <w:r>
              <w:rPr>
                <w:rFonts w:ascii="Times New Roman" w:cs="Times New Roman" w:eastAsia="Times New Roman" w:hAnsi="Times New Roman"/>
                <w:sz w:val="18"/>
                <w:szCs w:val="18"/>
                <w:color w:val="auto"/>
              </w:rPr>
              <w:t>55.5</w:t>
            </w:r>
          </w:p>
        </w:tc>
        <w:tc>
          <w:tcPr>
            <w:tcW w:w="1500" w:type="dxa"/>
            <w:vAlign w:val="bottom"/>
            <w:gridSpan w:val="3"/>
            <w:shd w:val="clear" w:color="auto" w:fill="CFF0FC"/>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center"/>
              <w:ind w:right="436"/>
              <w:spacing w:after="0"/>
              <w:rPr>
                <w:sz w:val="20"/>
                <w:szCs w:val="20"/>
                <w:color w:val="auto"/>
              </w:rPr>
            </w:pPr>
            <w:r>
              <w:rPr>
                <w:rFonts w:ascii="Times New Roman" w:cs="Times New Roman" w:eastAsia="Times New Roman" w:hAnsi="Times New Roman"/>
                <w:sz w:val="18"/>
                <w:szCs w:val="18"/>
                <w:color w:val="auto"/>
                <w:w w:val="98"/>
              </w:rPr>
              <w:t>224.5</w:t>
            </w:r>
          </w:p>
        </w:tc>
        <w:tc>
          <w:tcPr>
            <w:tcW w:w="100" w:type="dxa"/>
            <w:vAlign w:val="bottom"/>
            <w:shd w:val="clear" w:color="auto" w:fill="CFF0FC"/>
          </w:tcPr>
          <w:p>
            <w:pPr>
              <w:spacing w:after="0"/>
              <w:rPr>
                <w:sz w:val="19"/>
                <w:szCs w:val="19"/>
                <w:color w:val="auto"/>
              </w:rPr>
            </w:pPr>
          </w:p>
        </w:tc>
      </w:tr>
      <w:tr>
        <w:trPr>
          <w:trHeight w:val="234"/>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Average balance – Term Loan Facility (in millions)</w:t>
            </w:r>
          </w:p>
        </w:tc>
        <w:tc>
          <w:tcPr>
            <w:tcW w:w="1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center"/>
              <w:ind w:left="136"/>
              <w:spacing w:after="0"/>
              <w:rPr>
                <w:sz w:val="20"/>
                <w:szCs w:val="20"/>
                <w:color w:val="auto"/>
              </w:rPr>
            </w:pPr>
            <w:r>
              <w:rPr>
                <w:rFonts w:ascii="Times New Roman" w:cs="Times New Roman" w:eastAsia="Times New Roman" w:hAnsi="Times New Roman"/>
                <w:sz w:val="18"/>
                <w:szCs w:val="18"/>
                <w:color w:val="auto"/>
                <w:w w:val="96"/>
              </w:rPr>
              <w:t>1,117.0</w:t>
            </w:r>
          </w:p>
        </w:tc>
        <w:tc>
          <w:tcPr>
            <w:tcW w:w="150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center"/>
              <w:ind w:right="416"/>
              <w:spacing w:after="0"/>
              <w:rPr>
                <w:sz w:val="20"/>
                <w:szCs w:val="20"/>
                <w:color w:val="auto"/>
              </w:rPr>
            </w:pPr>
            <w:r>
              <w:rPr>
                <w:rFonts w:ascii="Times New Roman" w:cs="Times New Roman" w:eastAsia="Times New Roman" w:hAnsi="Times New Roman"/>
                <w:sz w:val="18"/>
                <w:szCs w:val="18"/>
                <w:color w:val="auto"/>
                <w:w w:val="99"/>
              </w:rPr>
              <w:t>1,117.0</w:t>
            </w:r>
          </w:p>
        </w:tc>
        <w:tc>
          <w:tcPr>
            <w:tcW w:w="100" w:type="dxa"/>
            <w:vAlign w:val="bottom"/>
          </w:tcPr>
          <w:p>
            <w:pPr>
              <w:spacing w:after="0"/>
              <w:rPr>
                <w:sz w:val="20"/>
                <w:szCs w:val="20"/>
                <w:color w:val="auto"/>
              </w:rPr>
            </w:pP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21"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Income tax expense was $39.1 million during the six month period ended July 29, 2017 compared with $34.9 million during the six month period ended July 30, 2016. The effective tax rate for the six month period ended July 29, 2017 was 28.2% compared with 37.6% during the six month period ended July 30, 2016. The improvement in the effective tax rate was primarily the result of the adoption of the new share based accounting standard, which lowered our effective tax rate by approximately 880 basis points, as well as a reduction of state income taxes.</w:t>
      </w:r>
    </w:p>
    <w:p>
      <w:pPr>
        <w:spacing w:after="0" w:line="180" w:lineRule="exact"/>
        <w:rPr>
          <w:sz w:val="20"/>
          <w:szCs w:val="20"/>
          <w:color w:val="auto"/>
        </w:rPr>
      </w:pPr>
    </w:p>
    <w:p>
      <w:pPr>
        <w:jc w:val="both"/>
        <w:ind w:right="160" w:firstLine="518"/>
        <w:spacing w:after="0" w:line="261" w:lineRule="auto"/>
        <w:rPr>
          <w:sz w:val="20"/>
          <w:szCs w:val="20"/>
          <w:color w:val="auto"/>
        </w:rPr>
      </w:pPr>
      <w:r>
        <w:rPr>
          <w:rFonts w:ascii="Times New Roman" w:cs="Times New Roman" w:eastAsia="Times New Roman" w:hAnsi="Times New Roman"/>
          <w:sz w:val="18"/>
          <w:szCs w:val="18"/>
          <w:color w:val="auto"/>
        </w:rPr>
        <w:t>In accordance with Topic No. 270 and Topic No. 740, at the end of each interim period we are required to determine the best estimate of our annual effective tax rate and then apply that rate in providing for income taxes on a current year-to-date (interim period) basis. Use of this methodology during the six month period ended July 29, 2017 resulted in an annual effective income tax rate of 37.0% (before discrete items) as our best estimate. This is consistent with the projected annual effective income tax rate during the six month period ended July 30, 2016 of 37.1% (before discrete items).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121"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We earned net income of $99.3 million during the six month period ended July 29, 2017 compared with net income of $57.9 million for the six month period ended July 30, 2016. The improvement in our net income was primarily driven by our improved gross margin, as well as an improvement in our income tax expense driven by the adoption of the new share based accounting standard. These improvements were partially offset by increases in our selling, general and administrative expenses and depreciation and amortization expense.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Our ability to satisfy interest payment and future principal payment obligations on our outstanding debt will depend largely on our future performance which, in turn, is subject to prevailing economic conditions and to financial, business and other factors beyond our control. If we do not have sufficient cash flow to service interest payment and future principal payment obligations on our outstanding indebtedness and if we cannot borrow or obtain equity financing to satisfy those obligations, our business and results of operations will be materially adversely affected. We cannot be assured that any replacement borrowing or equity financing could be successfully completed on terms similar to our current financing agreements, or at all.</w:t>
      </w:r>
    </w:p>
    <w:p>
      <w:pPr>
        <w:spacing w:after="0" w:line="184" w:lineRule="exact"/>
        <w:rPr>
          <w:sz w:val="20"/>
          <w:szCs w:val="20"/>
          <w:color w:val="auto"/>
        </w:rPr>
      </w:pPr>
    </w:p>
    <w:p>
      <w:pPr>
        <w:jc w:val="both"/>
        <w:ind w:right="100" w:firstLine="518"/>
        <w:spacing w:after="0" w:line="266" w:lineRule="auto"/>
        <w:rPr>
          <w:sz w:val="20"/>
          <w:szCs w:val="20"/>
          <w:color w:val="auto"/>
        </w:rPr>
      </w:pPr>
      <w:r>
        <w:rPr>
          <w:rFonts w:ascii="Times New Roman" w:cs="Times New Roman" w:eastAsia="Times New Roman" w:hAnsi="Times New Roman"/>
          <w:sz w:val="18"/>
          <w:szCs w:val="18"/>
          <w:color w:val="auto"/>
        </w:rPr>
        <w:t>We believe that cash generated from operations, along with our existing cash and our ABL Line of Credit, will be sufficient to fund our expected cash flow requirements and planned capital expenditures for at least the next twelve months as well as the foreseeable future. However, there can be no assurance that we would be able to offset declines in our comparable store sales with savings initiatives in the event that the economy declines.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for the Six Month Period Ended July 29, 2017 Compared With the Six Month Period Ended July 30, 2016</w:t>
      </w:r>
    </w:p>
    <w:p>
      <w:pPr>
        <w:spacing w:after="0" w:line="121" w:lineRule="exact"/>
        <w:rPr>
          <w:sz w:val="20"/>
          <w:szCs w:val="20"/>
          <w:color w:val="auto"/>
        </w:rPr>
      </w:pPr>
    </w:p>
    <w:p>
      <w:pPr>
        <w:jc w:val="both"/>
        <w:ind w:right="80" w:firstLine="518"/>
        <w:spacing w:after="0" w:line="282" w:lineRule="auto"/>
        <w:rPr>
          <w:sz w:val="20"/>
          <w:szCs w:val="20"/>
          <w:color w:val="auto"/>
        </w:rPr>
      </w:pPr>
      <w:r>
        <w:rPr>
          <w:rFonts w:ascii="Times New Roman" w:cs="Times New Roman" w:eastAsia="Times New Roman" w:hAnsi="Times New Roman"/>
          <w:sz w:val="18"/>
          <w:szCs w:val="18"/>
          <w:color w:val="auto"/>
        </w:rPr>
        <w:t>We used $48.9 million of cash flow during the six month period ended July 29, 2017 compared with a generation of $9.6 million during the six month period ended July 30, 2016.</w:t>
      </w:r>
    </w:p>
    <w:p>
      <w:pPr>
        <w:spacing w:after="0" w:line="162" w:lineRule="exact"/>
        <w:rPr>
          <w:sz w:val="20"/>
          <w:szCs w:val="20"/>
          <w:color w:val="auto"/>
        </w:rPr>
      </w:pPr>
    </w:p>
    <w:p>
      <w:pPr>
        <w:ind w:right="160" w:firstLine="518"/>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amounted to $72.2 million during the six month period ended July 29, 2017 compared with $109.6 million during the six month period ended July 30, 2016. The decrease in our operating cash flows was primarily driven by changes in our merchandise inventories, as well as the net change in our deferred taxes and income taxes payable. These decreases were partially offset by our improved operating results and changes in our accounts payable driven by the timing of our inventory receipts and changes in our deferred income taxes.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30" w:name="page31"/>
    <w:bookmarkEnd w:id="30"/>
    <w:p>
      <w:pPr>
        <w:jc w:val="both"/>
        <w:ind w:right="160" w:firstLine="518"/>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$106.7 million during the six month period ended July 29, 2017 compared with $75.7 million during the six month period ended July 30, 2016. This change was primarily the result of an increase in capital expenditures related to our store expenditures (new stores, store refreshes and remodels and other store expenditures) and our overall supply chain initiatives.</w:t>
      </w:r>
    </w:p>
    <w:p>
      <w:pPr>
        <w:spacing w:after="0" w:line="176"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$14.4 million during the six month period ended July 29, 2017 compared with a use of $24.3 million during the six month period ended July 30, 2016. This change was primarily driven by an increase in share repurchases under our share repurchase program, partially offset by an increase in the net borrowings on our ABL Line of Credit during the first half of Fiscal 2017 compared to the first half of Fiscal 2016.</w:t>
      </w:r>
    </w:p>
    <w:p>
      <w:pPr>
        <w:spacing w:after="0" w:line="176"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Cash flow and working capital levels assist management in measuring our ability to meet our cash requirements. Changes in working capital also impact our cash flows. We had a working capital deficit at July 29, 2017 of $2.6 million compared with a working capital surplus of $65.3 million at July 30, 2016. Refer to the previous section entitled “Key Performance Measures” for explanation of the changes in our working capital. We had a working capital deficit at January 28, 2017 of $96.3 million.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121" w:lineRule="exact"/>
        <w:rPr>
          <w:sz w:val="20"/>
          <w:szCs w:val="20"/>
          <w:color w:val="auto"/>
        </w:rPr>
      </w:pPr>
    </w:p>
    <w:p>
      <w:pPr>
        <w:ind w:right="320" w:firstLine="518"/>
        <w:spacing w:after="0" w:line="258" w:lineRule="auto"/>
        <w:rPr>
          <w:sz w:val="20"/>
          <w:szCs w:val="20"/>
          <w:color w:val="auto"/>
        </w:rPr>
      </w:pPr>
      <w:r>
        <w:rPr>
          <w:rFonts w:ascii="Times New Roman" w:cs="Times New Roman" w:eastAsia="Times New Roman" w:hAnsi="Times New Roman"/>
          <w:sz w:val="18"/>
          <w:szCs w:val="18"/>
          <w:color w:val="auto"/>
        </w:rPr>
        <w:t>For the six month period ended July 29, 2017, cash spend for capital expenditures, net of $10.3 million of landlord allowances, amounted to $97.5 million. We estimate that we will spend approximately $210 million to $215 million, net of approximately $40 million of landlord allowances, in capital expenditures during Fiscal 2017, including approximately $130 million, net of the previously mentioned landlord allowances, for store expenditures (new stores, store refreshes and remodels and other store expenditures). In addition, we estimate that we will spend approximately $40 million to support our supply chain initiatives, with the remaining capital used to support our information technology and other business initiatives.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Programs</w:t>
      </w:r>
    </w:p>
    <w:p>
      <w:pPr>
        <w:spacing w:after="0" w:line="121" w:lineRule="exact"/>
        <w:rPr>
          <w:sz w:val="20"/>
          <w:szCs w:val="20"/>
          <w:color w:val="auto"/>
        </w:rPr>
      </w:pPr>
    </w:p>
    <w:p>
      <w:pPr>
        <w:jc w:val="both"/>
        <w:ind w:right="160" w:firstLine="518"/>
        <w:spacing w:after="0" w:line="266" w:lineRule="auto"/>
        <w:rPr>
          <w:sz w:val="20"/>
          <w:szCs w:val="20"/>
          <w:color w:val="auto"/>
        </w:rPr>
      </w:pPr>
      <w:r>
        <w:rPr>
          <w:rFonts w:ascii="Times New Roman" w:cs="Times New Roman" w:eastAsia="Times New Roman" w:hAnsi="Times New Roman"/>
          <w:sz w:val="18"/>
          <w:szCs w:val="18"/>
          <w:color w:val="auto"/>
        </w:rPr>
        <w:t>During the six month period ended July 29, 2017, we repurchased 1,744,615 shares of common stock for $160.8 million under the share repurchase program approved the by the Company’s Board of Directors in November 2016, which is authorized to be executed through November 2018. As of July 29, 2017, we had $38.8 million available for purchase under our share repurchase program.</w:t>
      </w:r>
    </w:p>
    <w:p>
      <w:pPr>
        <w:spacing w:after="0" w:line="68" w:lineRule="exact"/>
        <w:rPr>
          <w:sz w:val="20"/>
          <w:szCs w:val="20"/>
          <w:color w:val="auto"/>
        </w:rPr>
      </w:pPr>
    </w:p>
    <w:p>
      <w:pPr>
        <w:jc w:val="both"/>
        <w:ind w:right="180" w:firstLine="518"/>
        <w:spacing w:after="0" w:line="266" w:lineRule="auto"/>
        <w:rPr>
          <w:sz w:val="20"/>
          <w:szCs w:val="20"/>
          <w:color w:val="auto"/>
        </w:rPr>
      </w:pPr>
      <w:r>
        <w:rPr>
          <w:rFonts w:ascii="Times New Roman" w:cs="Times New Roman" w:eastAsia="Times New Roman" w:hAnsi="Times New Roman"/>
          <w:sz w:val="18"/>
          <w:szCs w:val="18"/>
          <w:color w:val="auto"/>
        </w:rPr>
        <w:t>On August 16, 2017, our Board of Directors approved the repurchase of up to an additional $300 million of our common stock. This new repurchase program, which is in addition to the share repurchase program approved by our Board of Directors in November 2016, is authorized to be executed through August 2019.</w:t>
      </w:r>
    </w:p>
    <w:p>
      <w:pPr>
        <w:spacing w:after="0" w:line="68"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We are authorized to repurchase shares of our outstanding common stock from time to time on the open market or in privately negotiated transactions under our repurchase programs. The timing and amount of stock repurchases will depend on a variety of factors, including the market conditions as well as corporate and regulatory considerations. Our share repurchase programs may be suspended, modified or discontinued at any time, and we have no obligation to repurchase any amount of our common stock under the programs.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ind w:right="80" w:firstLine="518"/>
        <w:spacing w:after="0" w:line="256" w:lineRule="auto"/>
        <w:rPr>
          <w:sz w:val="20"/>
          <w:szCs w:val="20"/>
          <w:color w:val="auto"/>
        </w:rPr>
      </w:pPr>
      <w:r>
        <w:rPr>
          <w:rFonts w:ascii="Times New Roman" w:cs="Times New Roman" w:eastAsia="Times New Roman" w:hAnsi="Times New Roman"/>
          <w:sz w:val="18"/>
          <w:szCs w:val="18"/>
          <w:color w:val="auto"/>
        </w:rPr>
        <w:t>We currently do, and intend to continue to, retain all available funds and any future earnings to fund all of the Company's capital expenditures, business initiatives, and to support any potential opportunistic capital structure initiatives. Therefore, at this time, we do not anticipate paying cash dividends in the near term. Our ability to pay dividends on our common stock will be limited by restrictions on the ability of our subsidiaries to pay dividends or make distributions under the terms of current and any future agreements governing our indebtedness. Any future determination to pay dividends will be at the discretion of our Board of Directors, subject to compliance with covenants in our current and future agreements governing our indebtedness, and will depend upon our results of operations, financial condition, capital requirements and other factors that our Board of Directors deems relevant.</w:t>
      </w:r>
    </w:p>
    <w:p>
      <w:pPr>
        <w:spacing w:after="0" w:line="80" w:lineRule="exact"/>
        <w:rPr>
          <w:sz w:val="20"/>
          <w:szCs w:val="20"/>
          <w:color w:val="auto"/>
        </w:rPr>
      </w:pPr>
    </w:p>
    <w:p>
      <w:pPr>
        <w:ind w:right="420" w:firstLine="518"/>
        <w:spacing w:after="0" w:line="266" w:lineRule="auto"/>
        <w:rPr>
          <w:sz w:val="20"/>
          <w:szCs w:val="20"/>
          <w:color w:val="auto"/>
        </w:rPr>
      </w:pPr>
      <w:r>
        <w:rPr>
          <w:rFonts w:ascii="Times New Roman" w:cs="Times New Roman" w:eastAsia="Times New Roman" w:hAnsi="Times New Roman"/>
          <w:sz w:val="18"/>
          <w:szCs w:val="18"/>
          <w:color w:val="auto"/>
        </w:rPr>
        <w:t>In addition, since we are a holding company, substantially all of the assets shown on our consolidated balance sheets are held by our subsidiaries. Accordingly, our earnings, cash flow and ability to pay dividends are largely dependent upon the earnings and cash flows of our subsidiaries and the distribution or other payment of such earnings to us in the form of dividends.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Operational Growth</w:t>
      </w:r>
    </w:p>
    <w:p>
      <w:pPr>
        <w:spacing w:after="0" w:line="121" w:lineRule="exact"/>
        <w:rPr>
          <w:sz w:val="20"/>
          <w:szCs w:val="20"/>
          <w:color w:val="auto"/>
        </w:rPr>
      </w:pPr>
    </w:p>
    <w:p>
      <w:pPr>
        <w:jc w:val="both"/>
        <w:ind w:right="40" w:firstLine="518"/>
        <w:spacing w:after="0" w:line="266" w:lineRule="auto"/>
        <w:rPr>
          <w:sz w:val="20"/>
          <w:szCs w:val="20"/>
          <w:color w:val="auto"/>
        </w:rPr>
      </w:pPr>
      <w:r>
        <w:rPr>
          <w:rFonts w:ascii="Times New Roman" w:cs="Times New Roman" w:eastAsia="Times New Roman" w:hAnsi="Times New Roman"/>
          <w:sz w:val="18"/>
          <w:szCs w:val="18"/>
          <w:color w:val="auto"/>
        </w:rPr>
        <w:t>During the six month period ended July 29, 2017, we opened 11 new stores and closed three stores, bringing our store count as of July 29, 2017 to 600 stores (inclusive of one internet store). We continue to pursue our growth plans and invest in capital projects that meet our financial requirements. For the full year, we expect to open a total of 48 new stores, inclusive of five relocations, and</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close six stores, exclusive of the aforementioned relocations, resulting in the opening of a total of 37 net new stores during Fiscal 2017.</w:t>
      </w:r>
    </w:p>
    <w:p>
      <w:pPr>
        <w:spacing w:after="0" w:line="117" w:lineRule="exact"/>
        <w:rPr>
          <w:sz w:val="20"/>
          <w:szCs w:val="20"/>
          <w:color w:val="auto"/>
        </w:rPr>
      </w:pPr>
    </w:p>
    <w:p>
      <w:pPr>
        <w:ind w:right="60" w:firstLine="518"/>
        <w:spacing w:after="0" w:line="256" w:lineRule="auto"/>
        <w:rPr>
          <w:sz w:val="20"/>
          <w:szCs w:val="20"/>
          <w:color w:val="auto"/>
        </w:rPr>
      </w:pPr>
      <w:r>
        <w:rPr>
          <w:rFonts w:ascii="Times New Roman" w:cs="Times New Roman" w:eastAsia="Times New Roman" w:hAnsi="Times New Roman"/>
          <w:sz w:val="18"/>
          <w:szCs w:val="18"/>
          <w:color w:val="auto"/>
        </w:rPr>
        <w:t>We continue to explore expansion opportunities both within our current market areas and in other regions. We believe that our ability to find satisfactory locations for our stores is essential for the continued growth of our business. The opening of stores generally is contingent upon a number of factors including, but not limited to, the availability of desirable locations with suitable structures and the negotiation of acceptable lease terms. There can be no assurance, however, that we will be able to find suitable locations for new stores or that even if such locations are found and acceptable lease terms are obtained, we will be able to open the number of new stores presently planned. Assuming that appropriate locations are identified, we believe that we will be able to execute our growth strategy without significantly impacting our current stores.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121" w:lineRule="exact"/>
        <w:rPr>
          <w:sz w:val="20"/>
          <w:szCs w:val="20"/>
          <w:color w:val="auto"/>
        </w:rPr>
      </w:pPr>
    </w:p>
    <w:p>
      <w:pPr>
        <w:ind w:right="40" w:firstLine="518"/>
        <w:spacing w:after="0" w:line="282" w:lineRule="auto"/>
        <w:rPr>
          <w:sz w:val="20"/>
          <w:szCs w:val="20"/>
          <w:color w:val="auto"/>
        </w:rPr>
      </w:pPr>
      <w:r>
        <w:rPr>
          <w:rFonts w:ascii="Times New Roman" w:cs="Times New Roman" w:eastAsia="Times New Roman" w:hAnsi="Times New Roman"/>
          <w:sz w:val="18"/>
          <w:szCs w:val="18"/>
          <w:color w:val="auto"/>
        </w:rPr>
        <w:t>As of July 29, 2017, our obligations include $1,112.6 million, inclusive of original issue discount, under our Term Loan Facility and $147.4 million of outstanding borrowings on our ABL Facility. Our debt obligations also include $22.9 million of capital lease obligations as of July 29, 2017.</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 Facility</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July 29, 2017, our borrowing rate related to the Term Loan Facility was 4.0%.</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ABL Line of Credit</w:t>
      </w:r>
    </w:p>
    <w:p>
      <w:pPr>
        <w:spacing w:after="0" w:line="119" w:lineRule="exact"/>
        <w:rPr>
          <w:sz w:val="20"/>
          <w:szCs w:val="20"/>
          <w:color w:val="auto"/>
        </w:rPr>
      </w:pPr>
    </w:p>
    <w:p>
      <w:pPr>
        <w:ind w:right="340" w:firstLine="518"/>
        <w:spacing w:after="0" w:line="266" w:lineRule="auto"/>
        <w:rPr>
          <w:sz w:val="20"/>
          <w:szCs w:val="20"/>
          <w:color w:val="auto"/>
        </w:rPr>
      </w:pPr>
      <w:r>
        <w:rPr>
          <w:rFonts w:ascii="Times New Roman" w:cs="Times New Roman" w:eastAsia="Times New Roman" w:hAnsi="Times New Roman"/>
          <w:sz w:val="18"/>
          <w:szCs w:val="18"/>
          <w:color w:val="auto"/>
        </w:rPr>
        <w:t>At July 29, 2017, we had $363.1 million available under the senior secured asset-based revolving credit facility (the ABL Line of Credit). The maximum borrowings under the facility during the six month period ended July 29, 2017 amounted to $180.3 million. Average borrowings during the six month period ended July 29, 2017 amounted to $55.5 million at an average interest rate of 2.7%.</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Information Concerning Contractual Obligations</w:t>
      </w:r>
    </w:p>
    <w:p>
      <w:pPr>
        <w:spacing w:after="0" w:line="121" w:lineRule="exact"/>
        <w:rPr>
          <w:sz w:val="20"/>
          <w:szCs w:val="20"/>
          <w:color w:val="auto"/>
        </w:rPr>
      </w:pPr>
    </w:p>
    <w:p>
      <w:pPr>
        <w:ind w:right="200" w:firstLine="518"/>
        <w:spacing w:after="0" w:line="266" w:lineRule="auto"/>
        <w:rPr>
          <w:sz w:val="20"/>
          <w:szCs w:val="20"/>
          <w:color w:val="auto"/>
        </w:rPr>
      </w:pPr>
      <w:r>
        <w:rPr>
          <w:rFonts w:ascii="Times New Roman" w:cs="Times New Roman" w:eastAsia="Times New Roman" w:hAnsi="Times New Roman"/>
          <w:sz w:val="18"/>
          <w:szCs w:val="18"/>
          <w:color w:val="auto"/>
        </w:rPr>
        <w:t>The Company had $976.7 million of purchase commitments related to goods that were not received as of July 29, 2017. There were no other significant changes regarding our obligations to make future payments under current contracts from those included in our Annual Report on Form 10-K for the fiscal year ended January 28, 2017.</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Our Condensed Consolidated Financial Statements have been prepared in accordance with GAAP. We believe there are several accounting policies that are critical to understanding our historical and future performance as these policies affect the reported amounts of revenues and other significant areas that involve management’s judgments and estimates. The preparation of our Condensed Consolidated Financial Statements requires management to make estimates and assumptions that affect (i) the reported amounts of assets and liabilities; (ii) the disclosure of contingent assets and liabilities at the date of the Condensed Consolidated Financial Statements; and (iii) the reported amounts of revenues and expenses during the reporting period. On an ongoing basis, management evaluates its estimates and judgments, including those related to revenue recognition, inventories, long-lived assets, intangible assets, goodwill, insurance reserves and income taxes. Historical experience and various other factors that are believed to be reasonable under the circumstances form the basis for making estimates and judgments about the carrying values of assets and liabilities that are not readily apparent from other sources. Actual results may differ from these estimates under different assumptions or conditions. A critical accounting estimate meets two criteria: (1) it requires assumptions about highly uncertain matters and (2) there would be a material effect on the consolidated financial statements from either using a different, although reasonable, amount within the range of the estimate in the current period or from reasonably likely period-to-period changes in the estimate.</w:t>
      </w:r>
    </w:p>
    <w:p>
      <w:pPr>
        <w:spacing w:after="0" w:line="193" w:lineRule="exact"/>
        <w:rPr>
          <w:sz w:val="20"/>
          <w:szCs w:val="20"/>
          <w:color w:val="auto"/>
        </w:rPr>
      </w:pPr>
    </w:p>
    <w:p>
      <w:pPr>
        <w:ind w:right="700" w:firstLine="518"/>
        <w:spacing w:after="0" w:line="282" w:lineRule="auto"/>
        <w:rPr>
          <w:sz w:val="20"/>
          <w:szCs w:val="20"/>
          <w:color w:val="auto"/>
        </w:rPr>
      </w:pPr>
      <w:r>
        <w:rPr>
          <w:rFonts w:ascii="Times New Roman" w:cs="Times New Roman" w:eastAsia="Times New Roman" w:hAnsi="Times New Roman"/>
          <w:sz w:val="18"/>
          <w:szCs w:val="18"/>
          <w:color w:val="auto"/>
        </w:rPr>
        <w:t>Our critical accounting policies and estimates are consistent with those disclosed in Note 1 to the audited Consolidated Financial Statements, “Summary of Significant Accounting Policies,” included in our Annual Report on Form 10-K for the fiscal year ended January 28, 2017.</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121" w:lineRule="exact"/>
        <w:rPr>
          <w:sz w:val="20"/>
          <w:szCs w:val="20"/>
          <w:color w:val="auto"/>
        </w:rPr>
      </w:pPr>
    </w:p>
    <w:p>
      <w:pPr>
        <w:ind w:right="40" w:firstLine="518"/>
        <w:spacing w:after="0" w:line="266" w:lineRule="auto"/>
        <w:rPr>
          <w:sz w:val="20"/>
          <w:szCs w:val="20"/>
          <w:color w:val="auto"/>
        </w:rPr>
      </w:pPr>
      <w:r>
        <w:rPr>
          <w:rFonts w:ascii="Times New Roman" w:cs="Times New Roman" w:eastAsia="Times New Roman" w:hAnsi="Times New Roman"/>
          <w:sz w:val="18"/>
          <w:szCs w:val="18"/>
          <w:color w:val="auto"/>
        </w:rPr>
        <w:t>This report contains forward-looking statements that are based on current expectations, estimates, forecasts and projections about us, the industry in which we operate and other matters, as well as management’s beliefs and assumptions and other statements regarding matters that are not historical facts. For example, when we use words such as “projects,” “expects,” “anticipates,” “intends,”</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29" w:right="279" w:bottom="1440" w:gutter="0" w:footer="0" w:header="0"/>
        </w:sectPr>
      </w:pPr>
    </w:p>
    <w:bookmarkStart w:id="32" w:name="page33"/>
    <w:bookmarkEnd w:id="32"/>
    <w:p>
      <w:pPr>
        <w:ind w:right="140"/>
        <w:spacing w:after="0" w:line="253" w:lineRule="auto"/>
        <w:rPr>
          <w:sz w:val="20"/>
          <w:szCs w:val="20"/>
          <w:color w:val="auto"/>
        </w:rPr>
      </w:pPr>
      <w:r>
        <w:rPr>
          <w:rFonts w:ascii="Times New Roman" w:cs="Times New Roman" w:eastAsia="Times New Roman" w:hAnsi="Times New Roman"/>
          <w:sz w:val="18"/>
          <w:szCs w:val="18"/>
          <w:color w:val="auto"/>
        </w:rPr>
        <w:t>“plans,” “believes,” “seeks,” “estimates,” “should,” “would,” “could,” “will,” “opportunity,” “potential” or “may,” variations of such words or other words that convey uncertainty of future events or outcomes, we are making forward-looking statements within the meaning of Section 27A of the Securities Act of 1933 (Securities Act) and Section 21E of the Securities Exchange Act of 1934 (Exchange Act). Our forward-looking statements are subject to risks and uncertainties. Such statements include, but are not limited to, proposed store openings and closings, proposed capital expenditures, projected financing requirements, proposed developmental projects, projected sales and earnings, our ability to maintain selling margins, and the effect of the adoption of recent accounting pronouncements on our consolidated financial position, results of operations and cash flows. Actual events or results may differ materially from the results anticipated in these forward-looking statements as a result of a variety of factors. While it is impossible to identify all such factors, factors that could cause actual results to differ materially from those estimated by us include: competition in the retail industry, seasonality of our business, adverse weather conditions, changes in consumer preferences and consumer spending patterns, import risks, inflation, general economic conditions, our ability to implement our strategy, our substantial level of indebtedness and related debt-service obligations, restrictions imposed by covenants in our debt agreements, availability of adequate financing, our dependence on vendors for our merchandise, events affecting the delivery of merchandise to our stores, existence of adverse litigation, availability of desirable locations on suitable terms, and other risks discussed from time to time in our filings with the Securities and Exchange Commission (SEC).</w:t>
      </w:r>
    </w:p>
    <w:p>
      <w:pPr>
        <w:spacing w:after="0" w:line="189" w:lineRule="exact"/>
        <w:rPr>
          <w:sz w:val="20"/>
          <w:szCs w:val="20"/>
          <w:color w:val="auto"/>
        </w:rPr>
      </w:pPr>
    </w:p>
    <w:p>
      <w:pPr>
        <w:ind w:right="200" w:firstLine="518"/>
        <w:spacing w:after="0" w:line="256" w:lineRule="auto"/>
        <w:rPr>
          <w:sz w:val="20"/>
          <w:szCs w:val="20"/>
          <w:color w:val="auto"/>
        </w:rPr>
      </w:pPr>
      <w:r>
        <w:rPr>
          <w:rFonts w:ascii="Times New Roman" w:cs="Times New Roman" w:eastAsia="Times New Roman" w:hAnsi="Times New Roman"/>
          <w:sz w:val="18"/>
          <w:szCs w:val="18"/>
          <w:color w:val="auto"/>
        </w:rPr>
        <w:t>Many of these factors are beyond our ability to predict or control. In addition, as a result of these and other factors, our past financial performance should not be relied on as an indication of future performance. The cautionary statements referred to in this section also should be considered in connection with any subsequent written or oral forward-looking statements that may be issued by us or persons acting on our behalf. We undertake no obligation to publicly update or revise any forward-looking statements, whether as a result of new information, future events or otherwise, except as required by law. In light of these risks and uncertainties, the forward-looking events and circumstances discussed in this report might not occur. Furthermore, we cannot guarantee future results, events, levels of activity, performance or achievements.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520" w:firstLine="518"/>
        <w:spacing w:after="0" w:line="282" w:lineRule="auto"/>
        <w:rPr>
          <w:sz w:val="20"/>
          <w:szCs w:val="20"/>
          <w:color w:val="auto"/>
        </w:rPr>
      </w:pPr>
      <w:r>
        <w:rPr>
          <w:rFonts w:ascii="Times New Roman" w:cs="Times New Roman" w:eastAsia="Times New Roman" w:hAnsi="Times New Roman"/>
          <w:sz w:val="18"/>
          <w:szCs w:val="18"/>
          <w:color w:val="auto"/>
        </w:rPr>
        <w:t>Refer to Note 1 to our Condensed Consolidated Financial Statements, “Summary of Significant Accounting Policies,” for a discussion of recent accounting pronouncements and their impact in our Condensed Consolidated Financial Statements.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w:t>
      </w:r>
    </w:p>
    <w:p>
      <w:pPr>
        <w:spacing w:after="0" w:line="99" w:lineRule="exact"/>
        <w:rPr>
          <w:sz w:val="20"/>
          <w:szCs w:val="20"/>
          <w:color w:val="auto"/>
        </w:rPr>
      </w:pPr>
    </w:p>
    <w:p>
      <w:pPr>
        <w:ind w:right="220" w:firstLine="518"/>
        <w:spacing w:after="0" w:line="282" w:lineRule="auto"/>
        <w:rPr>
          <w:sz w:val="20"/>
          <w:szCs w:val="20"/>
          <w:color w:val="auto"/>
        </w:rPr>
      </w:pPr>
      <w:r>
        <w:rPr>
          <w:rFonts w:ascii="Times New Roman" w:cs="Times New Roman" w:eastAsia="Times New Roman" w:hAnsi="Times New Roman"/>
          <w:sz w:val="18"/>
          <w:szCs w:val="18"/>
          <w:color w:val="auto"/>
        </w:rPr>
        <w:t>There were no material changes to our quantitative and qualitative disclosures about market risk from those included in our Annual Report on Form 10-K for the fiscal year ended January 28, 2017.</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21"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Our management team, under the supervision and with the participation of our principal executive officer and our principal financial officer, evaluated the effectiveness of the design and operation of our disclosure controls and procedures as such term is defined under Rule 13a-15(e) promulgated under the Securities Exchange Act of 1934, as amended (Exchange Act), as of the last day of the fiscal period covered by this report, July 29, 2017. The term disclosure controls and procedures means our controls and other procedures that are designed to ensure that information required to be disclosed by us in the reports that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management, including our principal executive and principal financial officer, or persons performing similar functions, as appropriate to allow timely decisions regarding required disclosure. Based on this evaluation, our principal executive officer and our principal financial officer concluded that our disclosure controls and procedures were effective as of July 29, 2017.</w:t>
      </w:r>
    </w:p>
    <w:p>
      <w:pPr>
        <w:spacing w:after="0" w:line="189" w:lineRule="exact"/>
        <w:rPr>
          <w:sz w:val="20"/>
          <w:szCs w:val="20"/>
          <w:color w:val="auto"/>
        </w:rPr>
      </w:pPr>
    </w:p>
    <w:p>
      <w:pPr>
        <w:ind w:right="400" w:firstLine="518"/>
        <w:spacing w:after="0" w:line="282" w:lineRule="auto"/>
        <w:rPr>
          <w:sz w:val="20"/>
          <w:szCs w:val="20"/>
          <w:color w:val="auto"/>
        </w:rPr>
      </w:pPr>
      <w:r>
        <w:rPr>
          <w:rFonts w:ascii="Times New Roman" w:cs="Times New Roman" w:eastAsia="Times New Roman" w:hAnsi="Times New Roman"/>
          <w:sz w:val="18"/>
          <w:szCs w:val="18"/>
          <w:color w:val="auto"/>
        </w:rPr>
        <w:t>During the quarter ended July 29, 2017, there were no changes in our internal control over financial reporting that have materially affected, or are reasonably likely to materially affect, our internal control over financial reporting.</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Like many retailers, we have been named in class or collective actions on behalf of various groups alleging violations of federal and state wage and hour and other labor statutes, and alleged violation of state consumer and/or privacy protection statutes. In the normal course of business, we are also party to various other lawsuits and regulatory proceedings including, among others, commercial, product, product safety, employee, customer, intellectual property and other claims. Actions against us are in various</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33" w:name="page34"/>
    <w:bookmarkEnd w:id="33"/>
    <w:p>
      <w:pPr>
        <w:ind w:right="160"/>
        <w:spacing w:after="0" w:line="256" w:lineRule="auto"/>
        <w:rPr>
          <w:sz w:val="20"/>
          <w:szCs w:val="20"/>
          <w:color w:val="auto"/>
        </w:rPr>
      </w:pPr>
      <w:r>
        <w:rPr>
          <w:rFonts w:ascii="Times New Roman" w:cs="Times New Roman" w:eastAsia="Times New Roman" w:hAnsi="Times New Roman"/>
          <w:sz w:val="18"/>
          <w:szCs w:val="18"/>
          <w:color w:val="auto"/>
        </w:rPr>
        <w:t>procedural stages. Many of these proceedings raise factual and legal issues and are subject to uncertainties. To determine the likelihood of a loss and/or the measurement of any loss can be complex. Consequently, we are unable to estimate the range of reasonably possible loss in excess of amounts accrued. Our assessments are based on estimates and assumptions that have been deemed reasonable by management, but the assessment process relies heavily on estimates and assumptions that may prove to be incomplete or inaccurate, and unanticipated events and circumstances may occur that might cause us to change those estimates and assumptions. While no assurance can be given as to the ultimate outcome of these matters, we believe that the final resolution of these actions will not have a material adverse effect on our results of operations, financial position, liquidity or capital resources.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80" w:firstLine="51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risk factors from those disclosed in Part I, Item 1A of our Annual Report on Form 10-K for the fiscal year ended January 28, 2017.</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Purchases of Equity Securities by the Issuer and Affiliated Purchasers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purchases of common stock during the three fiscal months ended July 29, 2017:</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Dollar Value</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That May Yet</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Be Purchased</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Under the</w:t>
            </w:r>
          </w:p>
        </w:tc>
        <w:tc>
          <w:tcPr>
            <w:tcW w:w="0" w:type="dxa"/>
            <w:vAlign w:val="bottom"/>
          </w:tcPr>
          <w:p>
            <w:pPr>
              <w:spacing w:after="0"/>
              <w:rPr>
                <w:sz w:val="1"/>
                <w:szCs w:val="1"/>
                <w:color w:val="auto"/>
              </w:rPr>
            </w:pPr>
          </w:p>
        </w:tc>
      </w:tr>
      <w:tr>
        <w:trPr>
          <w:trHeight w:val="149"/>
        </w:trPr>
        <w:tc>
          <w:tcPr>
            <w:tcW w:w="5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Month</w:t>
            </w: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Paid Per</w:t>
            </w: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Plans or</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Plans or</w:t>
            </w:r>
          </w:p>
        </w:tc>
        <w:tc>
          <w:tcPr>
            <w:tcW w:w="0" w:type="dxa"/>
            <w:vAlign w:val="bottom"/>
          </w:tcPr>
          <w:p>
            <w:pPr>
              <w:spacing w:after="0"/>
              <w:rPr>
                <w:sz w:val="1"/>
                <w:szCs w:val="1"/>
                <w:color w:val="auto"/>
              </w:rPr>
            </w:pPr>
          </w:p>
        </w:tc>
      </w:tr>
      <w:tr>
        <w:trPr>
          <w:trHeight w:val="173"/>
        </w:trPr>
        <w:tc>
          <w:tcPr>
            <w:tcW w:w="5960" w:type="dxa"/>
            <w:vAlign w:val="bottom"/>
            <w:gridSpan w:val="2"/>
            <w:vMerge w:val="continue"/>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Purchased(1)</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Share(2)</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Programs(3)</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0" w:type="dxa"/>
            <w:vAlign w:val="bottom"/>
          </w:tcPr>
          <w:p>
            <w:pPr>
              <w:spacing w:after="0"/>
              <w:rPr>
                <w:sz w:val="1"/>
                <w:szCs w:val="1"/>
                <w:color w:val="auto"/>
              </w:rPr>
            </w:pPr>
          </w:p>
        </w:tc>
      </w:tr>
      <w:tr>
        <w:trPr>
          <w:trHeight w:val="223"/>
        </w:trPr>
        <w:tc>
          <w:tcPr>
            <w:tcW w:w="58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April 30, 2017 through May 27, 2017</w:t>
            </w:r>
          </w:p>
        </w:tc>
        <w:tc>
          <w:tcPr>
            <w:tcW w:w="1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124,511</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98.32</w:t>
            </w:r>
          </w:p>
        </w:tc>
        <w:tc>
          <w:tcPr>
            <w:tcW w:w="2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107,086</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140,168,060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28, 2017 through July 1, 2017</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888,214</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91.51</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887,390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58,966,583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July 2, 2017 through July 29, 2017</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232,533</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86.78</w:t>
            </w:r>
          </w:p>
        </w:tc>
        <w:tc>
          <w:tcPr>
            <w:tcW w:w="240" w:type="dxa"/>
            <w:vAlign w:val="bottom"/>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231,974</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38,836,864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1,245,258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1,226,450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520" w:right="200" w:hanging="512"/>
        <w:spacing w:after="0" w:line="257"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purchased between April 30, 2017 and May 27, 2017, between May 28, 2017 and July 1, 2017 and between July 2, 2017 and July 29, 2017 include 17,425; 824 and 5,559 shares, respectively, which were withheld for tax payments due upon the vesting of employee restricted stock awards, and do not reduce the dollar value that may yet be purchased under our publicly announced share repurchase program.</w:t>
      </w:r>
    </w:p>
    <w:p>
      <w:pPr>
        <w:spacing w:after="0" w:line="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commissions for the shares repurchased under our publicly announced share repurchase program.</w:t>
      </w:r>
    </w:p>
    <w:p>
      <w:pPr>
        <w:spacing w:after="0" w:line="9" w:lineRule="exact"/>
        <w:rPr>
          <w:rFonts w:ascii="Times New Roman" w:cs="Times New Roman" w:eastAsia="Times New Roman" w:hAnsi="Times New Roman"/>
          <w:sz w:val="18"/>
          <w:szCs w:val="18"/>
          <w:color w:val="auto"/>
        </w:rPr>
      </w:pPr>
    </w:p>
    <w:p>
      <w:pPr>
        <w:ind w:left="520" w:right="20" w:hanging="512"/>
        <w:spacing w:after="0" w:line="252"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15, 2016, our Board of Directors authorized the repurchase of up to $200 million of our common stock. This share repurchase program is authorized to be executed through November 2018. As of July 29, 2017, we had $38.8 million available for purchase under this share repurchase program. On August 16, 2017, our Board of Directors approved the repurchase of up to an additional $300 million of our common stock. This new repurchase program, which is in addition to the share repurchase program announced in November 2016, is authorized to be executed through August 2019. For a further discussion of our share repurchase program, see “Part I, Item 2. Management’s Discussion and Analysis of Financial Condition and Results of Operations—Liquidity and Capital Resources—Share Repurchase Program.”</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660" w:type="dxa"/>
            <w:vAlign w:val="bottom"/>
          </w:tcPr>
          <w:p>
            <w:pPr>
              <w:spacing w:after="0"/>
              <w:rPr>
                <w:sz w:val="13"/>
                <w:szCs w:val="13"/>
                <w:color w:val="auto"/>
              </w:rPr>
            </w:pPr>
          </w:p>
        </w:tc>
        <w:tc>
          <w:tcPr>
            <w:tcW w:w="5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r>
      <w:tr>
        <w:trPr>
          <w:trHeight w:val="331"/>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 (1)</w:t>
            </w:r>
          </w:p>
        </w:tc>
        <w:tc>
          <w:tcPr>
            <w:tcW w:w="104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Burlington Stores, Inc. Executive Severance Plan.</w:t>
            </w:r>
          </w:p>
        </w:tc>
      </w:tr>
      <w:tr>
        <w:trPr>
          <w:trHeight w:val="338"/>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 (1)</w:t>
            </w:r>
          </w:p>
        </w:tc>
        <w:tc>
          <w:tcPr>
            <w:tcW w:w="104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Burlington Stores, Inc. 2013 Omnibus Incentive Plan (as amended and restated May 17, 2017).</w:t>
            </w:r>
          </w:p>
        </w:tc>
      </w:tr>
      <w:tr>
        <w:trPr>
          <w:trHeight w:val="319"/>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 (1)</w:t>
            </w:r>
          </w:p>
        </w:tc>
        <w:tc>
          <w:tcPr>
            <w:tcW w:w="104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Form of Non-Qualified Stock Option Agreement between Burlington Stores, Inc. and Employees with Employment Agreements or subject to</w:t>
            </w:r>
          </w:p>
        </w:tc>
      </w:tr>
      <w:tr>
        <w:trPr>
          <w:trHeight w:val="234"/>
        </w:trPr>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the Executive Severance Plan pursuant to 2013 Omnibus Incentive Plan, as amended and restated May 17, 2017.</w:t>
            </w:r>
          </w:p>
        </w:tc>
      </w:tr>
      <w:tr>
        <w:trPr>
          <w:trHeight w:val="319"/>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 (1)</w:t>
            </w:r>
          </w:p>
        </w:tc>
        <w:tc>
          <w:tcPr>
            <w:tcW w:w="104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Form of Non-Qualified Stock Option Agreement between Burlington Stores, Inc. and Employees without Employment Agreements pursuant</w:t>
            </w:r>
          </w:p>
        </w:tc>
      </w:tr>
      <w:tr>
        <w:trPr>
          <w:trHeight w:val="234"/>
        </w:trPr>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 2013 Omnibus Incentive Plan, as amended and restated May 17, 2017.</w:t>
            </w:r>
          </w:p>
        </w:tc>
      </w:tr>
      <w:tr>
        <w:trPr>
          <w:trHeight w:val="319"/>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10.5 (1)</w:t>
            </w:r>
          </w:p>
        </w:tc>
        <w:tc>
          <w:tcPr>
            <w:tcW w:w="104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Form of Restricted Stock Grant Agreement between Burlington Stores, Inc. and Employees with Employment Agreements or subject to the</w:t>
            </w:r>
          </w:p>
        </w:tc>
      </w:tr>
      <w:tr>
        <w:trPr>
          <w:trHeight w:val="234"/>
        </w:trPr>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Executive Severance Plan pursuant to 2013 Omnibus Incentive Plan, as amended and restated May 17, 2017.</w:t>
            </w:r>
          </w:p>
        </w:tc>
      </w:tr>
      <w:tr>
        <w:trPr>
          <w:trHeight w:val="319"/>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10.6 (1)</w:t>
            </w:r>
          </w:p>
        </w:tc>
        <w:tc>
          <w:tcPr>
            <w:tcW w:w="104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Form of Restricted Stock Grant Agreement between Burlington Stores, Inc. and Employees without Employment Agreements pursuant to</w:t>
            </w:r>
          </w:p>
        </w:tc>
      </w:tr>
      <w:tr>
        <w:trPr>
          <w:trHeight w:val="234"/>
        </w:trPr>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2013 Omnibus Incentive Plan, as amended and restated May 17, 2017.</w:t>
            </w:r>
          </w:p>
        </w:tc>
      </w:tr>
      <w:tr>
        <w:trPr>
          <w:trHeight w:val="319"/>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10.7 (1)</w:t>
            </w:r>
          </w:p>
        </w:tc>
        <w:tc>
          <w:tcPr>
            <w:tcW w:w="104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w w:val="99"/>
              </w:rPr>
              <w:t>Form of Restricted Stock Agreement between Burlington Stores, Inc. and Independent Directors pursuant to 2013 Omnibus Incentive Plan, as</w:t>
            </w:r>
          </w:p>
        </w:tc>
      </w:tr>
      <w:tr>
        <w:trPr>
          <w:trHeight w:val="234"/>
        </w:trPr>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amended and restated May 17, 2017.</w:t>
            </w:r>
          </w:p>
        </w:tc>
      </w:tr>
      <w:tr>
        <w:trPr>
          <w:trHeight w:val="319"/>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10.8 (1)</w:t>
            </w:r>
          </w:p>
        </w:tc>
        <w:tc>
          <w:tcPr>
            <w:tcW w:w="104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Amendment to Amended and Restated Employment Agreement by and between Burlington Coat Factory Warehouse Corporation and</w:t>
            </w:r>
          </w:p>
        </w:tc>
      </w:tr>
      <w:tr>
        <w:trPr>
          <w:trHeight w:val="234"/>
        </w:trPr>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Jennifer Vecchio dated May 19, 2017.</w:t>
            </w:r>
          </w:p>
        </w:tc>
      </w:tr>
      <w:tr>
        <w:trPr>
          <w:trHeight w:val="319"/>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31.1†</w:t>
            </w:r>
          </w:p>
        </w:tc>
        <w:tc>
          <w:tcPr>
            <w:tcW w:w="104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Certification of Principal Executive Officer required by Rule 13a-14(a) or Rule 15d-14(a) of the Securities Exchange Act of 1934, as adopted</w:t>
            </w:r>
          </w:p>
        </w:tc>
      </w:tr>
      <w:tr>
        <w:trPr>
          <w:trHeight w:val="234"/>
        </w:trPr>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pursuant to Section 302 of the Sarbanes-Oxley Act of 2002</w:t>
            </w:r>
          </w:p>
        </w:tc>
      </w:tr>
      <w:tr>
        <w:trPr>
          <w:trHeight w:val="319"/>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31.2†</w:t>
            </w:r>
          </w:p>
        </w:tc>
        <w:tc>
          <w:tcPr>
            <w:tcW w:w="104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Certification of Principal Financial Officer required by Rule 13a-14(a) or Rule 15d-14(a) of the Securities Exchange Act of 1934, as adopted</w:t>
            </w:r>
          </w:p>
        </w:tc>
      </w:tr>
      <w:tr>
        <w:trPr>
          <w:trHeight w:val="234"/>
        </w:trPr>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pursuant to Section 302 of the Sarbanes-Oxley Act of 2002</w:t>
            </w:r>
          </w:p>
        </w:tc>
      </w:tr>
      <w:tr>
        <w:trPr>
          <w:trHeight w:val="319"/>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32.1†</w:t>
            </w:r>
          </w:p>
        </w:tc>
        <w:tc>
          <w:tcPr>
            <w:tcW w:w="104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18 U.S.C. 1350, as adopted pursuant to Section 906 of the Sarbanes-Oxley Act of</w:t>
            </w:r>
          </w:p>
        </w:tc>
      </w:tr>
      <w:tr>
        <w:trPr>
          <w:trHeight w:val="234"/>
        </w:trPr>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2002</w:t>
            </w:r>
          </w:p>
        </w:tc>
        <w:tc>
          <w:tcPr>
            <w:tcW w:w="760" w:type="dxa"/>
            <w:vAlign w:val="bottom"/>
          </w:tcPr>
          <w:p>
            <w:pPr>
              <w:spacing w:after="0"/>
              <w:rPr>
                <w:sz w:val="20"/>
                <w:szCs w:val="20"/>
                <w:color w:val="auto"/>
              </w:rPr>
            </w:pPr>
          </w:p>
        </w:tc>
        <w:tc>
          <w:tcPr>
            <w:tcW w:w="5020" w:type="dxa"/>
            <w:vAlign w:val="bottom"/>
          </w:tcPr>
          <w:p>
            <w:pPr>
              <w:spacing w:after="0"/>
              <w:rPr>
                <w:sz w:val="20"/>
                <w:szCs w:val="20"/>
                <w:color w:val="auto"/>
              </w:rPr>
            </w:pPr>
          </w:p>
        </w:tc>
      </w:tr>
      <w:tr>
        <w:trPr>
          <w:trHeight w:val="338"/>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32.2†</w:t>
            </w:r>
          </w:p>
        </w:tc>
        <w:tc>
          <w:tcPr>
            <w:tcW w:w="104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w w:val="99"/>
              </w:rPr>
              <w:t>Certification of Principal Financial Officer pursuant to 18 U.S.C. 1350, as adopted pursuant to Section 906 of the Sarbanes-Oxley Act of 2002</w:t>
            </w:r>
          </w:p>
        </w:tc>
      </w:tr>
      <w:tr>
        <w:trPr>
          <w:trHeight w:val="338"/>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104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338"/>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04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XBRL Taxonomy Extension Schema</w:t>
            </w:r>
          </w:p>
        </w:tc>
      </w:tr>
      <w:tr>
        <w:trPr>
          <w:trHeight w:val="338"/>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104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r>
      <w:tr>
        <w:trPr>
          <w:trHeight w:val="338"/>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104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r>
      <w:tr>
        <w:trPr>
          <w:trHeight w:val="338"/>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104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XBRL Taxonomy Extension Label Linkbase</w:t>
            </w:r>
          </w:p>
        </w:tc>
      </w:tr>
      <w:tr>
        <w:trPr>
          <w:trHeight w:val="338"/>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104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69469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1" w:lineRule="exact"/>
        <w:rPr>
          <w:sz w:val="20"/>
          <w:szCs w:val="20"/>
          <w:color w:val="auto"/>
        </w:rPr>
      </w:pPr>
    </w:p>
    <w:p>
      <w:pPr>
        <w:ind w:left="760" w:hanging="752"/>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760" w:hanging="752"/>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Current Report on Form 8-K filed by Burlington Stores, Inc. on May 22, 2017.</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66" w:lineRule="exact"/>
        <w:rPr>
          <w:rFonts w:ascii="Times New Roman" w:cs="Times New Roman" w:eastAsia="Times New Roman" w:hAnsi="Times New Roman"/>
          <w:sz w:val="18"/>
          <w:szCs w:val="18"/>
          <w:color w:val="auto"/>
        </w:rPr>
      </w:pPr>
    </w:p>
    <w:p>
      <w:pPr>
        <w:ind w:left="5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35" w:name="page36"/>
    <w:bookmarkEnd w:id="35"/>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b w:val="1"/>
          <w:bCs w:val="1"/>
          <w:color w:val="auto"/>
        </w:rPr>
        <w:t>BURLINGTON STORES, INC.</w:t>
      </w:r>
    </w:p>
    <w:p>
      <w:pPr>
        <w:spacing w:after="0" w:line="256"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8"/>
          <w:szCs w:val="18"/>
          <w:color w:val="auto"/>
        </w:rPr>
        <w:t>/s/ Thomas A. Kingsbury</w:t>
      </w:r>
    </w:p>
    <w:p>
      <w:pPr>
        <w:spacing w:after="0" w:line="27"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8"/>
          <w:szCs w:val="18"/>
          <w:color w:val="auto"/>
        </w:rPr>
        <w:t>Thomas A. Kingsbury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-130810</wp:posOffset>
            </wp:positionV>
            <wp:extent cx="30873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3" w:lineRule="exact"/>
        <w:rPr>
          <w:sz w:val="20"/>
          <w:szCs w:val="20"/>
          <w:color w:val="auto"/>
        </w:rPr>
      </w:pPr>
    </w:p>
    <w:p>
      <w:pPr>
        <w:jc w:val="center"/>
        <w:ind w:left="656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9" w:lineRule="exact"/>
        <w:rPr>
          <w:sz w:val="20"/>
          <w:szCs w:val="20"/>
          <w:color w:val="auto"/>
        </w:rPr>
      </w:pPr>
    </w:p>
    <w:p>
      <w:pPr>
        <w:jc w:val="center"/>
        <w:ind w:left="65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47" w:lineRule="exact"/>
        <w:rPr>
          <w:sz w:val="20"/>
          <w:szCs w:val="20"/>
          <w:color w:val="auto"/>
        </w:rPr>
      </w:pPr>
    </w:p>
    <w:p>
      <w:pPr>
        <w:ind w:left="8500"/>
        <w:spacing w:after="0"/>
        <w:rPr>
          <w:sz w:val="20"/>
          <w:szCs w:val="20"/>
          <w:color w:val="auto"/>
        </w:rPr>
      </w:pPr>
      <w:r>
        <w:rPr>
          <w:rFonts w:ascii="Times New Roman" w:cs="Times New Roman" w:eastAsia="Times New Roman" w:hAnsi="Times New Roman"/>
          <w:sz w:val="18"/>
          <w:szCs w:val="18"/>
          <w:color w:val="auto"/>
        </w:rPr>
        <w:t>/s/ Marc Katz</w:t>
      </w:r>
    </w:p>
    <w:p>
      <w:pPr>
        <w:spacing w:after="0" w:line="27" w:lineRule="exact"/>
        <w:rPr>
          <w:sz w:val="20"/>
          <w:szCs w:val="20"/>
          <w:color w:val="auto"/>
        </w:rPr>
      </w:pPr>
    </w:p>
    <w:p>
      <w:pPr>
        <w:ind w:left="8600"/>
        <w:spacing w:after="0"/>
        <w:rPr>
          <w:sz w:val="20"/>
          <w:szCs w:val="20"/>
          <w:color w:val="auto"/>
        </w:rPr>
      </w:pPr>
      <w:r>
        <w:rPr>
          <w:rFonts w:ascii="Times New Roman" w:cs="Times New Roman" w:eastAsia="Times New Roman" w:hAnsi="Times New Roman"/>
          <w:sz w:val="18"/>
          <w:szCs w:val="18"/>
          <w:color w:val="auto"/>
        </w:rPr>
        <w:t>Marc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-130810</wp:posOffset>
            </wp:positionV>
            <wp:extent cx="30873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3" w:lineRule="exact"/>
        <w:rPr>
          <w:sz w:val="20"/>
          <w:szCs w:val="20"/>
          <w:color w:val="auto"/>
        </w:rPr>
      </w:pPr>
    </w:p>
    <w:p>
      <w:pPr>
        <w:jc w:val="center"/>
        <w:ind w:left="6560"/>
        <w:spacing w:after="0"/>
        <w:rPr>
          <w:sz w:val="20"/>
          <w:szCs w:val="20"/>
          <w:color w:val="auto"/>
        </w:rPr>
      </w:pPr>
      <w:r>
        <w:rPr>
          <w:rFonts w:ascii="Times New Roman" w:cs="Times New Roman" w:eastAsia="Times New Roman" w:hAnsi="Times New Roman"/>
          <w:sz w:val="18"/>
          <w:szCs w:val="18"/>
          <w:color w:val="auto"/>
        </w:rPr>
        <w:t>Chief Financial Officer/Principal</w:t>
      </w:r>
    </w:p>
    <w:p>
      <w:pPr>
        <w:spacing w:after="0" w:line="9" w:lineRule="exact"/>
        <w:rPr>
          <w:sz w:val="20"/>
          <w:szCs w:val="20"/>
          <w:color w:val="auto"/>
        </w:rPr>
      </w:pPr>
    </w:p>
    <w:p>
      <w:pPr>
        <w:jc w:val="center"/>
        <w:ind w:left="65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24,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00"/>
          </w:cols>
          <w:pgMar w:left="240" w:top="117" w:right="85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8"/>
        </w:trPr>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80" w:type="dxa"/>
            <w:vAlign w:val="bottom"/>
            <w:gridSpan w:val="3"/>
          </w:tcPr>
          <w:p>
            <w:pPr>
              <w:ind w:left="3960"/>
              <w:spacing w:after="0"/>
              <w:rPr>
                <w:sz w:val="20"/>
                <w:szCs w:val="20"/>
                <w:color w:val="auto"/>
              </w:rPr>
            </w:pPr>
            <w:r>
              <w:rPr>
                <w:rFonts w:ascii="Times New Roman" w:cs="Times New Roman" w:eastAsia="Times New Roman" w:hAnsi="Times New Roman"/>
                <w:sz w:val="18"/>
                <w:szCs w:val="18"/>
                <w:b w:val="1"/>
                <w:bCs w:val="1"/>
                <w:color w:val="auto"/>
              </w:rPr>
              <w:t>INDEX TO EXHIBITS</w:t>
            </w:r>
          </w:p>
        </w:tc>
      </w:tr>
      <w:tr>
        <w:trPr>
          <w:trHeight w:val="365"/>
        </w:trPr>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700" w:type="dxa"/>
            <w:vAlign w:val="bottom"/>
          </w:tcPr>
          <w:p>
            <w:pPr>
              <w:spacing w:after="0"/>
              <w:rPr>
                <w:sz w:val="24"/>
                <w:szCs w:val="24"/>
                <w:color w:val="auto"/>
              </w:rPr>
            </w:pPr>
          </w:p>
        </w:tc>
        <w:tc>
          <w:tcPr>
            <w:tcW w:w="5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r>
      <w:tr>
        <w:trPr>
          <w:trHeight w:val="31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400" w:type="dxa"/>
            <w:vAlign w:val="bottom"/>
          </w:tcPr>
          <w:p>
            <w:pPr>
              <w:spacing w:after="0"/>
              <w:rPr>
                <w:sz w:val="24"/>
                <w:szCs w:val="24"/>
                <w:color w:val="auto"/>
              </w:rPr>
            </w:pPr>
          </w:p>
        </w:tc>
        <w:tc>
          <w:tcPr>
            <w:tcW w:w="104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Certification of Principal Executive Officer required by Rule 13a-14(a) or Rule 15d-14(a) of the Securities Exchange Act of 1934, as adopted</w:t>
            </w:r>
          </w:p>
        </w:tc>
      </w:tr>
      <w:tr>
        <w:trPr>
          <w:trHeight w:val="234"/>
        </w:trPr>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pursuant to Section 302 of the Sarbanes-Oxley Act of 2002</w:t>
            </w:r>
          </w:p>
        </w:tc>
      </w:tr>
      <w:tr>
        <w:trPr>
          <w:trHeight w:val="319"/>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400" w:type="dxa"/>
            <w:vAlign w:val="bottom"/>
          </w:tcPr>
          <w:p>
            <w:pPr>
              <w:spacing w:after="0"/>
              <w:rPr>
                <w:sz w:val="24"/>
                <w:szCs w:val="24"/>
                <w:color w:val="auto"/>
              </w:rPr>
            </w:pPr>
          </w:p>
        </w:tc>
        <w:tc>
          <w:tcPr>
            <w:tcW w:w="104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Certification of Principal Financial Officer required by Rule 13a-14(a) or Rule 15d-14(a) of the Securities Exchange Act of 1934, as adopted</w:t>
            </w:r>
          </w:p>
        </w:tc>
      </w:tr>
      <w:tr>
        <w:trPr>
          <w:trHeight w:val="234"/>
        </w:trPr>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pursuant to Section 302 of the Sarbanes-Oxley Act of 2002</w:t>
            </w:r>
          </w:p>
        </w:tc>
      </w:tr>
      <w:tr>
        <w:trPr>
          <w:trHeight w:val="338"/>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400" w:type="dxa"/>
            <w:vAlign w:val="bottom"/>
          </w:tcPr>
          <w:p>
            <w:pPr>
              <w:spacing w:after="0"/>
              <w:rPr>
                <w:sz w:val="24"/>
                <w:szCs w:val="24"/>
                <w:color w:val="auto"/>
              </w:rPr>
            </w:pPr>
          </w:p>
        </w:tc>
        <w:tc>
          <w:tcPr>
            <w:tcW w:w="104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w w:val="99"/>
              </w:rPr>
              <w:t>Certification of Principal Executive Officer pursuant to 18 U.S.C. 1350, as adopted pursuant to Section 906 of the Sarbanes-Oxley Act of 2002</w:t>
            </w:r>
          </w:p>
        </w:tc>
      </w:tr>
      <w:tr>
        <w:trPr>
          <w:trHeight w:val="338"/>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400" w:type="dxa"/>
            <w:vAlign w:val="bottom"/>
          </w:tcPr>
          <w:p>
            <w:pPr>
              <w:spacing w:after="0"/>
              <w:rPr>
                <w:sz w:val="24"/>
                <w:szCs w:val="24"/>
                <w:color w:val="auto"/>
              </w:rPr>
            </w:pPr>
          </w:p>
        </w:tc>
        <w:tc>
          <w:tcPr>
            <w:tcW w:w="104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18 U.S.C. 1350, as adopted pursuant to Section 906 of the Sarbanes-Oxley Act of 2002</w:t>
            </w:r>
          </w:p>
        </w:tc>
      </w:tr>
      <w:tr>
        <w:trPr>
          <w:trHeight w:val="338"/>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104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338"/>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04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XBRL Taxonomy Extension Schema</w:t>
            </w:r>
          </w:p>
        </w:tc>
      </w:tr>
      <w:tr>
        <w:trPr>
          <w:trHeight w:val="338"/>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104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r>
      <w:tr>
        <w:trPr>
          <w:trHeight w:val="338"/>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104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r>
      <w:tr>
        <w:trPr>
          <w:trHeight w:val="338"/>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104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XBRL Taxonomy Extension Label Linkbase</w:t>
            </w:r>
          </w:p>
        </w:tc>
      </w:tr>
      <w:tr>
        <w:trPr>
          <w:trHeight w:val="338"/>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104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340"/>
          </w:cols>
          <w:pgMar w:left="240" w:top="117" w:right="31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A. Kingsbury, certify that:</w:t>
      </w:r>
    </w:p>
    <w:p>
      <w:pPr>
        <w:spacing w:after="0" w:line="117" w:lineRule="exact"/>
        <w:rPr>
          <w:sz w:val="20"/>
          <w:szCs w:val="20"/>
          <w:color w:val="auto"/>
        </w:rPr>
      </w:pPr>
    </w:p>
    <w:p>
      <w:pPr>
        <w:ind w:left="180" w:hanging="172"/>
        <w:spacing w:after="0"/>
        <w:tabs>
          <w:tab w:leader="none" w:pos="1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Burlington Stores, Inc.;</w:t>
      </w:r>
    </w:p>
    <w:p>
      <w:pPr>
        <w:spacing w:after="0" w:line="117" w:lineRule="exact"/>
        <w:rPr>
          <w:rFonts w:ascii="Times New Roman" w:cs="Times New Roman" w:eastAsia="Times New Roman" w:hAnsi="Times New Roman"/>
          <w:sz w:val="18"/>
          <w:szCs w:val="18"/>
          <w:color w:val="auto"/>
        </w:rPr>
      </w:pPr>
    </w:p>
    <w:p>
      <w:pPr>
        <w:ind w:right="440" w:firstLine="8"/>
        <w:spacing w:after="0" w:line="282" w:lineRule="auto"/>
        <w:tabs>
          <w:tab w:leader="none" w:pos="1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right="60" w:firstLine="8"/>
        <w:spacing w:after="0" w:line="282" w:lineRule="auto"/>
        <w:tabs>
          <w:tab w:leader="none" w:pos="1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right="520" w:firstLine="526"/>
        <w:spacing w:after="0" w:line="266" w:lineRule="auto"/>
        <w:tabs>
          <w:tab w:leader="none" w:pos="68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right="20" w:firstLine="526"/>
        <w:spacing w:after="0" w:line="266" w:lineRule="auto"/>
        <w:tabs>
          <w:tab w:leader="none" w:pos="69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right="40" w:firstLine="526"/>
        <w:spacing w:after="0" w:line="282" w:lineRule="auto"/>
        <w:tabs>
          <w:tab w:leader="none" w:pos="68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right="60" w:firstLine="526"/>
        <w:spacing w:after="0" w:line="266" w:lineRule="auto"/>
        <w:tabs>
          <w:tab w:leader="none" w:pos="69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right="640" w:firstLine="8"/>
        <w:spacing w:after="0" w:line="282" w:lineRule="auto"/>
        <w:tabs>
          <w:tab w:leader="none" w:pos="1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right="420" w:firstLine="526"/>
        <w:spacing w:after="0" w:line="282" w:lineRule="auto"/>
        <w:tabs>
          <w:tab w:leader="none" w:pos="68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right="360" w:firstLine="526"/>
        <w:spacing w:after="0" w:line="282" w:lineRule="auto"/>
        <w:tabs>
          <w:tab w:leader="none" w:pos="69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24, 2017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Thomas A. Kingsbury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Thomas A. Kingsbury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158" w:right="2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Marc Katz, certify that:</w:t>
      </w:r>
    </w:p>
    <w:p>
      <w:pPr>
        <w:spacing w:after="0" w:line="117" w:lineRule="exact"/>
        <w:rPr>
          <w:sz w:val="20"/>
          <w:szCs w:val="20"/>
          <w:color w:val="auto"/>
        </w:rPr>
      </w:pPr>
    </w:p>
    <w:p>
      <w:pPr>
        <w:ind w:left="180" w:hanging="172"/>
        <w:spacing w:after="0"/>
        <w:tabs>
          <w:tab w:leader="none" w:pos="1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Burlington Stores, Inc.;</w:t>
      </w:r>
    </w:p>
    <w:p>
      <w:pPr>
        <w:spacing w:after="0" w:line="117" w:lineRule="exact"/>
        <w:rPr>
          <w:rFonts w:ascii="Times New Roman" w:cs="Times New Roman" w:eastAsia="Times New Roman" w:hAnsi="Times New Roman"/>
          <w:sz w:val="18"/>
          <w:szCs w:val="18"/>
          <w:color w:val="auto"/>
        </w:rPr>
      </w:pPr>
    </w:p>
    <w:p>
      <w:pPr>
        <w:ind w:right="440" w:firstLine="8"/>
        <w:spacing w:after="0" w:line="282" w:lineRule="auto"/>
        <w:tabs>
          <w:tab w:leader="none" w:pos="1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right="60" w:firstLine="8"/>
        <w:spacing w:after="0" w:line="282" w:lineRule="auto"/>
        <w:tabs>
          <w:tab w:leader="none" w:pos="1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right="520" w:firstLine="526"/>
        <w:spacing w:after="0" w:line="266" w:lineRule="auto"/>
        <w:tabs>
          <w:tab w:leader="none" w:pos="688"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right="20" w:firstLine="526"/>
        <w:spacing w:after="0" w:line="266" w:lineRule="auto"/>
        <w:tabs>
          <w:tab w:leader="none" w:pos="698"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right="40" w:firstLine="526"/>
        <w:spacing w:after="0" w:line="282" w:lineRule="auto"/>
        <w:tabs>
          <w:tab w:leader="none" w:pos="688"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right="60" w:firstLine="526"/>
        <w:spacing w:after="0" w:line="266" w:lineRule="auto"/>
        <w:tabs>
          <w:tab w:leader="none" w:pos="698"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right="640" w:firstLine="8"/>
        <w:spacing w:after="0" w:line="282" w:lineRule="auto"/>
        <w:tabs>
          <w:tab w:leader="none" w:pos="1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right="420" w:firstLine="526"/>
        <w:spacing w:after="0" w:line="282" w:lineRule="auto"/>
        <w:tabs>
          <w:tab w:leader="none" w:pos="688"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right="360" w:firstLine="526"/>
        <w:spacing w:after="0" w:line="282" w:lineRule="auto"/>
        <w:tabs>
          <w:tab w:leader="none" w:pos="698"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24, 2017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Marc Katz</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Officer/Principal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420"/>
          </w:cols>
          <w:pgMar w:left="240" w:top="158" w:right="2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Burlington Stores, Inc. (the “Company”) on Form 10-Q for the fiscal quarter ended July 29, 2017, as filed with the Securities and Exchange Commission on the date hereof (the “Report”), I, Thomas A. Kingsbury, Chairman, President and Chief Executive Officer of the Company, certify, pursuant to 18 U.S.C. §1350, as adopted pursuant to §906 of the Sarbanes-Oxley Act of 2002, that:</w:t>
      </w:r>
    </w:p>
    <w:p>
      <w:pPr>
        <w:spacing w:after="0" w:line="68" w:lineRule="exact"/>
        <w:rPr>
          <w:sz w:val="20"/>
          <w:szCs w:val="20"/>
          <w:color w:val="auto"/>
        </w:rPr>
      </w:pPr>
    </w:p>
    <w:p>
      <w:pPr>
        <w:ind w:left="780" w:hanging="254"/>
        <w:spacing w:after="0"/>
        <w:tabs>
          <w:tab w:leader="none" w:pos="7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780" w:hanging="254"/>
        <w:spacing w:after="0"/>
        <w:tabs>
          <w:tab w:leader="none" w:pos="7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position and results of operations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24, 2017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Thomas A. Kingsbury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Thomas A. Kingsbury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117" w:right="2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Burlington Stores, Inc. (the “Company”) on Form 10-Q for the fiscal quarter ended July 29, 2017, as filed with the Securities and Exchange Commission on the date hereof (the “Report”), I, Marc Katz, Chief Financial Officer/Principal of the Company, certify, pursuant to 18 U.S.C. §1350, as adopted pursuant to §906 of the Sarbanes-Oxley Act of 2002, that:</w:t>
      </w:r>
    </w:p>
    <w:p>
      <w:pPr>
        <w:spacing w:after="0" w:line="68" w:lineRule="exact"/>
        <w:rPr>
          <w:sz w:val="20"/>
          <w:szCs w:val="20"/>
          <w:color w:val="auto"/>
        </w:rPr>
      </w:pPr>
    </w:p>
    <w:p>
      <w:pPr>
        <w:ind w:left="780" w:hanging="254"/>
        <w:spacing w:after="0"/>
        <w:tabs>
          <w:tab w:leader="none" w:pos="7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780" w:hanging="254"/>
        <w:spacing w:after="0"/>
        <w:tabs>
          <w:tab w:leader="none" w:pos="7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position and results of operations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24, 2017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Marc Katz</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Officer/Principal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lowerLetter"/>
      <w:start w:val="1"/>
    </w:lvl>
  </w:abstractNum>
  <w:abstractNum w:abstractNumId="3">
    <w:nsid w:val="519B500D"/>
    <w:multiLevelType w:val="hybridMultilevel"/>
    <w:lvl w:ilvl="0">
      <w:lvlJc w:val="left"/>
      <w:lvlText w:val="(%1)"/>
      <w:numFmt w:val="lowerLetter"/>
      <w:start w:val="1"/>
    </w:lvl>
  </w:abstractNum>
  <w:abstractNum w:abstractNumId="4">
    <w:nsid w:val="431BD7B7"/>
    <w:multiLevelType w:val="hybridMultilevel"/>
    <w:lvl w:ilvl="0">
      <w:lvlJc w:val="left"/>
      <w:lvlText w:val="(%1)"/>
      <w:numFmt w:val="lowerLetter"/>
      <w:start w:val="2"/>
    </w:lvl>
  </w:abstractNum>
  <w:abstractNum w:abstractNumId="5">
    <w:nsid w:val="3F2DBA31"/>
    <w:multiLevelType w:val="hybridMultilevel"/>
    <w:lvl w:ilvl="0">
      <w:lvlJc w:val="left"/>
      <w:lvlText w:val="(%1)"/>
      <w:numFmt w:val="lowerLetter"/>
      <w:start w:val="1"/>
    </w:lvl>
  </w:abstractNum>
  <w:abstractNum w:abstractNumId="6">
    <w:nsid w:val="7C83E458"/>
    <w:multiLevelType w:val="hybridMultilevel"/>
    <w:lvl w:ilvl="0">
      <w:lvlJc w:val="left"/>
      <w:lvlText w:val="(%1)"/>
      <w:numFmt w:val="lowerLetter"/>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lvl w:ilvl="1">
      <w:lvlJc w:val="left"/>
      <w:lvlText w:val="•"/>
      <w:numFmt w:val="bullet"/>
      <w:start w:val="1"/>
    </w:lvl>
  </w:abstractNum>
  <w:abstractNum w:abstractNumId="12">
    <w:nsid w:val="721DA317"/>
    <w:multiLevelType w:val="hybridMultilevel"/>
    <w:lvl w:ilvl="0">
      <w:lvlJc w:val="left"/>
      <w:lvlText w:val="•"/>
      <w:numFmt w:val="bullet"/>
      <w:start w:val="1"/>
    </w:lvl>
    <w:lvl w:ilvl="1">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1)"/>
      <w:numFmt w:val="lowerRoman"/>
      <w:start w:val="5"/>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1)"/>
      <w:numFmt w:val="lowerLetter"/>
      <w:start w:val="1"/>
    </w:lvl>
  </w:abstractNum>
  <w:abstractNum w:abstractNumId="17">
    <w:nsid w:val="8EDBDAB"/>
    <w:multiLevelType w:val="hybridMultilevel"/>
    <w:lvl w:ilvl="0">
      <w:lvlJc w:val="left"/>
      <w:lvlText w:val="(%1)"/>
      <w:numFmt w:val="lowerLetter"/>
      <w:start w:val="2"/>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1)"/>
      <w:numFmt w:val="lowerLetter"/>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1)"/>
      <w:numFmt w:val="lowerLetter"/>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1)"/>
      <w:numFmt w:val="decimal"/>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1)"/>
      <w:numFmt w:val="decimal"/>
      <w:start w:val="1"/>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2019-12-29T04:26:01Z</dcterms:created>
  <dcterms:modified xsi:type="dcterms:W3CDTF">2019-12-29T04:26:01Z</dcterms:modified>
</cp:coreProperties>
</file>