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3"/>
          <w:szCs w:val="33"/>
          <w:b w:val="1"/>
          <w:bCs w:val="1"/>
          <w:color w:val="auto"/>
        </w:rPr>
        <w:t>BURLINGTON STORES, INC.</w:t>
      </w:r>
    </w:p>
    <w:p>
      <w:pPr>
        <w:spacing w:after="0" w:line="6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Borders>
              <w:top w:val="single" w:sz="8" w:color="auto"/>
            </w:tcBorders>
          </w:tcPr>
          <w:p>
            <w:pPr>
              <w:jc w:val="center"/>
              <w:ind w:left="5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6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rPr>
              <w:t>001-36107</w:t>
            </w:r>
          </w:p>
        </w:tc>
        <w:tc>
          <w:tcPr>
            <w:tcW w:w="3020" w:type="dxa"/>
            <w:vAlign w:val="bottom"/>
            <w:tcBorders>
              <w:top w:val="single" w:sz="8" w:color="auto"/>
            </w:tcBorders>
          </w:tcPr>
          <w:p>
            <w:pPr>
              <w:jc w:val="center"/>
              <w:ind w:right="645"/>
              <w:spacing w:after="0"/>
              <w:rPr>
                <w:sz w:val="20"/>
                <w:szCs w:val="20"/>
                <w:color w:val="auto"/>
              </w:rPr>
            </w:pPr>
            <w:r>
              <w:rPr>
                <w:rFonts w:ascii="Times New Roman" w:cs="Times New Roman" w:eastAsia="Times New Roman" w:hAnsi="Times New Roman"/>
                <w:sz w:val="16"/>
                <w:szCs w:val="16"/>
                <w:b w:val="1"/>
                <w:bCs w:val="1"/>
                <w:color w:val="auto"/>
              </w:rPr>
              <w:t>80-0895227</w:t>
            </w:r>
          </w:p>
        </w:tc>
      </w:tr>
      <w:tr>
        <w:trPr>
          <w:trHeight w:val="148"/>
        </w:trPr>
        <w:tc>
          <w:tcPr>
            <w:tcW w:w="3160" w:type="dxa"/>
            <w:vAlign w:val="bottom"/>
          </w:tcPr>
          <w:p>
            <w:pPr>
              <w:jc w:val="center"/>
              <w:ind w:left="5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20" w:type="dxa"/>
            <w:vAlign w:val="bottom"/>
          </w:tcPr>
          <w:p>
            <w:pPr>
              <w:jc w:val="center"/>
              <w:ind w:right="6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60" w:type="dxa"/>
            <w:vAlign w:val="bottom"/>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20" w:type="dxa"/>
            <w:vAlign w:val="bottom"/>
          </w:tcPr>
          <w:p>
            <w:pPr>
              <w:jc w:val="center"/>
              <w:ind w:right="66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3160" w:type="dxa"/>
            <w:vAlign w:val="bottom"/>
          </w:tcPr>
          <w:p>
            <w:pPr>
              <w:spacing w:after="0"/>
              <w:rPr>
                <w:sz w:val="24"/>
                <w:szCs w:val="24"/>
                <w:color w:val="auto"/>
              </w:rPr>
            </w:pPr>
          </w:p>
        </w:tc>
        <w:tc>
          <w:tcPr>
            <w:tcW w:w="506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2006 Route 130 North</w:t>
            </w:r>
          </w:p>
        </w:tc>
        <w:tc>
          <w:tcPr>
            <w:tcW w:w="3020" w:type="dxa"/>
            <w:vAlign w:val="bottom"/>
          </w:tcPr>
          <w:p>
            <w:pPr>
              <w:spacing w:after="0"/>
              <w:rPr>
                <w:sz w:val="24"/>
                <w:szCs w:val="24"/>
                <w:color w:val="auto"/>
              </w:rPr>
            </w:pPr>
          </w:p>
        </w:tc>
      </w:tr>
      <w:tr>
        <w:trPr>
          <w:trHeight w:val="194"/>
        </w:trPr>
        <w:tc>
          <w:tcPr>
            <w:tcW w:w="3160" w:type="dxa"/>
            <w:vAlign w:val="bottom"/>
          </w:tcPr>
          <w:p>
            <w:pPr>
              <w:spacing w:after="0"/>
              <w:rPr>
                <w:sz w:val="16"/>
                <w:szCs w:val="16"/>
                <w:color w:val="auto"/>
              </w:rPr>
            </w:pPr>
          </w:p>
        </w:tc>
        <w:tc>
          <w:tcPr>
            <w:tcW w:w="506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Burlington, New Jersey 08016</w:t>
            </w:r>
          </w:p>
        </w:tc>
        <w:tc>
          <w:tcPr>
            <w:tcW w:w="3020" w:type="dxa"/>
            <w:vAlign w:val="bottom"/>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5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20" w:type="dxa"/>
            <w:vAlign w:val="bottom"/>
          </w:tcPr>
          <w:p>
            <w:pPr>
              <w:spacing w:after="0"/>
              <w:rPr>
                <w:sz w:val="16"/>
                <w:szCs w:val="16"/>
                <w:color w:val="auto"/>
              </w:rPr>
            </w:pPr>
          </w:p>
        </w:tc>
      </w:tr>
      <w:tr>
        <w:trPr>
          <w:trHeight w:val="377"/>
        </w:trPr>
        <w:tc>
          <w:tcPr>
            <w:tcW w:w="3160" w:type="dxa"/>
            <w:vAlign w:val="bottom"/>
          </w:tcPr>
          <w:p>
            <w:pPr>
              <w:spacing w:after="0"/>
              <w:rPr>
                <w:sz w:val="24"/>
                <w:szCs w:val="24"/>
                <w:color w:val="auto"/>
              </w:rPr>
            </w:pPr>
          </w:p>
        </w:tc>
        <w:tc>
          <w:tcPr>
            <w:tcW w:w="506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9"/>
              </w:rPr>
              <w:t>(609) 387-7800</w:t>
            </w:r>
          </w:p>
        </w:tc>
        <w:tc>
          <w:tcPr>
            <w:tcW w:w="3020" w:type="dxa"/>
            <w:vAlign w:val="bottom"/>
          </w:tcPr>
          <w:p>
            <w:pPr>
              <w:spacing w:after="0"/>
              <w:rPr>
                <w:sz w:val="24"/>
                <w:szCs w:val="24"/>
                <w:color w:val="auto"/>
              </w:rPr>
            </w:pPr>
          </w:p>
        </w:tc>
      </w:tr>
      <w:tr>
        <w:trPr>
          <w:trHeight w:val="190"/>
        </w:trPr>
        <w:tc>
          <w:tcPr>
            <w:tcW w:w="3160" w:type="dxa"/>
            <w:vAlign w:val="bottom"/>
          </w:tcPr>
          <w:p>
            <w:pPr>
              <w:spacing w:after="0"/>
              <w:rPr>
                <w:sz w:val="16"/>
                <w:szCs w:val="16"/>
                <w:color w:val="auto"/>
              </w:rPr>
            </w:pPr>
          </w:p>
        </w:tc>
        <w:tc>
          <w:tcPr>
            <w:tcW w:w="50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20" w:type="dxa"/>
            <w:vAlign w:val="bottom"/>
          </w:tcPr>
          <w:p>
            <w:pPr>
              <w:spacing w:after="0"/>
              <w:rPr>
                <w:sz w:val="16"/>
                <w:szCs w:val="16"/>
                <w:color w:val="auto"/>
              </w:rPr>
            </w:pPr>
          </w:p>
        </w:tc>
      </w:tr>
      <w:tr>
        <w:trPr>
          <w:trHeight w:val="377"/>
        </w:trPr>
        <w:tc>
          <w:tcPr>
            <w:tcW w:w="3160" w:type="dxa"/>
            <w:vAlign w:val="bottom"/>
          </w:tcPr>
          <w:p>
            <w:pPr>
              <w:spacing w:after="0"/>
              <w:rPr>
                <w:sz w:val="24"/>
                <w:szCs w:val="24"/>
                <w:color w:val="auto"/>
              </w:rPr>
            </w:pPr>
          </w:p>
        </w:tc>
        <w:tc>
          <w:tcPr>
            <w:tcW w:w="506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020" w:type="dxa"/>
            <w:vAlign w:val="bottom"/>
          </w:tcPr>
          <w:p>
            <w:pPr>
              <w:spacing w:after="0"/>
              <w:rPr>
                <w:sz w:val="24"/>
                <w:szCs w:val="24"/>
                <w:color w:val="auto"/>
              </w:rPr>
            </w:pPr>
          </w:p>
        </w:tc>
      </w:tr>
      <w:tr>
        <w:trPr>
          <w:trHeight w:val="190"/>
        </w:trPr>
        <w:tc>
          <w:tcPr>
            <w:tcW w:w="3160" w:type="dxa"/>
            <w:vAlign w:val="bottom"/>
          </w:tcPr>
          <w:p>
            <w:pPr>
              <w:spacing w:after="0"/>
              <w:rPr>
                <w:sz w:val="16"/>
                <w:szCs w:val="16"/>
                <w:color w:val="auto"/>
              </w:rPr>
            </w:pPr>
          </w:p>
        </w:tc>
        <w:tc>
          <w:tcPr>
            <w:tcW w:w="50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880" w:hanging="491"/>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880" w:hanging="491"/>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880" w:hanging="491"/>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880" w:hanging="491"/>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4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r>
      <w:tr>
        <w:trPr>
          <w:trHeight w:val="169"/>
        </w:trPr>
        <w:tc>
          <w:tcPr>
            <w:tcW w:w="4580" w:type="dxa"/>
            <w:vAlign w:val="bottom"/>
            <w:tcBorders>
              <w:left w:val="single" w:sz="8" w:color="auto"/>
              <w:bottom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Title of each class</w:t>
            </w:r>
          </w:p>
        </w:tc>
        <w:tc>
          <w:tcPr>
            <w:tcW w:w="2140" w:type="dxa"/>
            <w:vAlign w:val="bottom"/>
            <w:tcBorders>
              <w:bottom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Trading Symbol(s)</w:t>
            </w:r>
          </w:p>
        </w:tc>
        <w:tc>
          <w:tcPr>
            <w:tcW w:w="4520" w:type="dxa"/>
            <w:vAlign w:val="bottom"/>
            <w:tcBorders>
              <w:bottom w:val="single" w:sz="8" w:color="auto"/>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39"/>
        </w:trPr>
        <w:tc>
          <w:tcPr>
            <w:tcW w:w="4580" w:type="dxa"/>
            <w:vAlign w:val="bottom"/>
            <w:tcBorders>
              <w:left w:val="single" w:sz="8" w:color="auto"/>
              <w:bottom w:val="single" w:sz="8" w:color="auto"/>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2140" w:type="dxa"/>
            <w:vAlign w:val="bottom"/>
            <w:tcBorders>
              <w:bottom w:val="single" w:sz="8" w:color="auto"/>
              <w:right w:val="single" w:sz="8" w:color="auto"/>
            </w:tcBorders>
          </w:tcPr>
          <w:p>
            <w:pPr>
              <w:ind w:left="100"/>
              <w:spacing w:after="0" w:line="139" w:lineRule="exact"/>
              <w:rPr>
                <w:sz w:val="20"/>
                <w:szCs w:val="20"/>
                <w:color w:val="auto"/>
              </w:rPr>
            </w:pPr>
            <w:r>
              <w:rPr>
                <w:rFonts w:ascii="Times New Roman" w:cs="Times New Roman" w:eastAsia="Times New Roman" w:hAnsi="Times New Roman"/>
                <w:sz w:val="14"/>
                <w:szCs w:val="14"/>
                <w:color w:val="auto"/>
              </w:rPr>
              <w:t>BURL</w:t>
            </w:r>
          </w:p>
        </w:tc>
        <w:tc>
          <w:tcPr>
            <w:tcW w:w="4520" w:type="dxa"/>
            <w:vAlign w:val="bottom"/>
            <w:tcBorders>
              <w:bottom w:val="single" w:sz="8" w:color="auto"/>
              <w:right w:val="single" w:sz="8" w:color="auto"/>
            </w:tcBorders>
          </w:tcPr>
          <w:p>
            <w:pPr>
              <w:ind w:left="100"/>
              <w:spacing w:after="0" w:line="139" w:lineRule="exact"/>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5" w:lineRule="exact"/>
        <w:rPr>
          <w:sz w:val="24"/>
          <w:szCs w:val="24"/>
          <w:color w:val="auto"/>
        </w:rPr>
      </w:pPr>
    </w:p>
    <w:p>
      <w:pPr>
        <w:ind w:right="3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4"/>
          <w:szCs w:val="14"/>
          <w:color w:val="auto"/>
        </w:rPr>
        <w:t>☐</w:t>
      </w:r>
    </w:p>
    <w:p>
      <w:pPr>
        <w:spacing w:after="0" w:line="60"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5.07</w:t>
            </w:r>
          </w:p>
        </w:tc>
        <w:tc>
          <w:tcPr>
            <w:tcW w:w="45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Submission of Matters to a Vote of Security Holders.</w:t>
            </w: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Burlington Stores, Inc. (the “Company”) held its annual meeting of stockholders (the “Annual Meeting”) on May 19, 2026. A total of 59,553,183 shares of the Company’s common stock, representing approximately 95% of the shares outstanding and eligible to vote and constituting a quorum, were voted at the Annual Meeting. The Company’s stockholders voted on the following proposals at the Annual Meeting:</w:t>
      </w:r>
    </w:p>
    <w:p>
      <w:pPr>
        <w:spacing w:after="0" w:line="6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seven directors of the Company to serve for a term of one year;</w:t>
      </w:r>
    </w:p>
    <w:p>
      <w:pPr>
        <w:spacing w:after="0" w:line="95" w:lineRule="exact"/>
        <w:rPr>
          <w:rFonts w:ascii="Times New Roman" w:cs="Times New Roman" w:eastAsia="Times New Roman" w:hAnsi="Times New Roman"/>
          <w:sz w:val="14"/>
          <w:szCs w:val="14"/>
          <w:color w:val="auto"/>
        </w:rPr>
      </w:pPr>
    </w:p>
    <w:p>
      <w:pPr>
        <w:ind w:left="1020" w:right="180" w:hanging="503"/>
        <w:spacing w:after="0" w:line="261"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the appointment of Deloitte &amp; Touche LLP as the Company’s independent registered certified public accounting firm for the fiscal year ending January 30, 2027;</w:t>
      </w:r>
    </w:p>
    <w:p>
      <w:pPr>
        <w:spacing w:after="0" w:line="5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vote regarding the compensation of the Company’s named executive officers ("Say-On-Pay"); and</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vote regarding the frequency of future Say-On-Pay votes.</w:t>
      </w:r>
    </w:p>
    <w:p>
      <w:pPr>
        <w:spacing w:after="0" w:line="163" w:lineRule="exact"/>
        <w:rPr>
          <w:sz w:val="20"/>
          <w:szCs w:val="20"/>
          <w:color w:val="auto"/>
        </w:rPr>
      </w:pPr>
    </w:p>
    <w:p>
      <w:pPr>
        <w:ind w:left="60" w:right="520" w:firstLine="777"/>
        <w:spacing w:after="0" w:line="261" w:lineRule="auto"/>
        <w:rPr>
          <w:sz w:val="20"/>
          <w:szCs w:val="20"/>
          <w:color w:val="auto"/>
        </w:rPr>
      </w:pPr>
      <w:r>
        <w:rPr>
          <w:rFonts w:ascii="Times New Roman" w:cs="Times New Roman" w:eastAsia="Times New Roman" w:hAnsi="Times New Roman"/>
          <w:sz w:val="14"/>
          <w:szCs w:val="14"/>
          <w:color w:val="auto"/>
        </w:rPr>
        <w:t>The proposals are described in more detail in the Company’s Definitive Proxy Statement on Schedule 14A filed with the Securities and Exchange Commission on April 2, 2026. The final voting results with respect to each proposal are set forth below.</w:t>
      </w:r>
    </w:p>
    <w:p>
      <w:pPr>
        <w:spacing w:after="0" w:line="136" w:lineRule="exact"/>
        <w:rPr>
          <w:sz w:val="20"/>
          <w:szCs w:val="20"/>
          <w:color w:val="auto"/>
        </w:rPr>
      </w:pPr>
    </w:p>
    <w:p>
      <w:pPr>
        <w:ind w:left="240" w:hanging="187"/>
        <w:spacing w:after="0"/>
        <w:tabs>
          <w:tab w:leader="none" w:pos="2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Election of Directors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Name</w:t>
            </w:r>
          </w:p>
        </w:tc>
        <w:tc>
          <w:tcPr>
            <w:tcW w:w="1920" w:type="dxa"/>
            <w:vAlign w:val="bottom"/>
          </w:tcPr>
          <w:p>
            <w:pPr>
              <w:ind w:left="560"/>
              <w:spacing w:after="0"/>
              <w:rPr>
                <w:sz w:val="20"/>
                <w:szCs w:val="20"/>
                <w:color w:val="auto"/>
              </w:rPr>
            </w:pPr>
            <w:r>
              <w:rPr>
                <w:rFonts w:ascii="Times New Roman" w:cs="Times New Roman" w:eastAsia="Times New Roman" w:hAnsi="Times New Roman"/>
                <w:sz w:val="14"/>
                <w:szCs w:val="14"/>
                <w:i w:val="1"/>
                <w:iCs w:val="1"/>
                <w:color w:val="auto"/>
              </w:rPr>
              <w:t>For</w:t>
            </w:r>
          </w:p>
        </w:tc>
        <w:tc>
          <w:tcPr>
            <w:tcW w:w="1960" w:type="dxa"/>
            <w:vAlign w:val="bottom"/>
          </w:tcPr>
          <w:p>
            <w:pPr>
              <w:ind w:left="720"/>
              <w:spacing w:after="0"/>
              <w:rPr>
                <w:sz w:val="20"/>
                <w:szCs w:val="20"/>
                <w:color w:val="auto"/>
              </w:rPr>
            </w:pPr>
            <w:r>
              <w:rPr>
                <w:rFonts w:ascii="Times New Roman" w:cs="Times New Roman" w:eastAsia="Times New Roman" w:hAnsi="Times New Roman"/>
                <w:sz w:val="14"/>
                <w:szCs w:val="14"/>
                <w:i w:val="1"/>
                <w:iCs w:val="1"/>
                <w:color w:val="auto"/>
              </w:rPr>
              <w:t>Against</w:t>
            </w:r>
          </w:p>
        </w:tc>
        <w:tc>
          <w:tcPr>
            <w:tcW w:w="2000" w:type="dxa"/>
            <w:vAlign w:val="bottom"/>
          </w:tcPr>
          <w:p>
            <w:pPr>
              <w:ind w:left="700"/>
              <w:spacing w:after="0"/>
              <w:rPr>
                <w:sz w:val="20"/>
                <w:szCs w:val="20"/>
                <w:color w:val="auto"/>
              </w:rPr>
            </w:pPr>
            <w:r>
              <w:rPr>
                <w:rFonts w:ascii="Times New Roman" w:cs="Times New Roman" w:eastAsia="Times New Roman" w:hAnsi="Times New Roman"/>
                <w:sz w:val="14"/>
                <w:szCs w:val="14"/>
                <w:i w:val="1"/>
                <w:iCs w:val="1"/>
                <w:color w:val="auto"/>
              </w:rPr>
              <w:t>Abstained</w:t>
            </w:r>
          </w:p>
        </w:tc>
        <w:tc>
          <w:tcPr>
            <w:tcW w:w="2820" w:type="dxa"/>
            <w:vAlign w:val="bottom"/>
          </w:tcPr>
          <w:p>
            <w:pPr>
              <w:jc w:val="right"/>
              <w:ind w:right="968"/>
              <w:spacing w:after="0"/>
              <w:rPr>
                <w:sz w:val="20"/>
                <w:szCs w:val="20"/>
                <w:color w:val="auto"/>
              </w:rPr>
            </w:pPr>
            <w:r>
              <w:rPr>
                <w:rFonts w:ascii="Times New Roman" w:cs="Times New Roman" w:eastAsia="Times New Roman" w:hAnsi="Times New Roman"/>
                <w:sz w:val="14"/>
                <w:szCs w:val="14"/>
                <w:i w:val="1"/>
                <w:iCs w:val="1"/>
                <w:color w:val="auto"/>
              </w:rPr>
              <w:t>Broker Non-Votes</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Ted English</w:t>
            </w:r>
          </w:p>
        </w:tc>
        <w:tc>
          <w:tcPr>
            <w:tcW w:w="19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57,957,497</w:t>
            </w:r>
          </w:p>
        </w:tc>
        <w:tc>
          <w:tcPr>
            <w:tcW w:w="196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4"/>
                <w:szCs w:val="14"/>
                <w:color w:val="auto"/>
              </w:rPr>
              <w:t>420,133</w:t>
            </w:r>
          </w:p>
        </w:tc>
        <w:tc>
          <w:tcPr>
            <w:tcW w:w="20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4"/>
                <w:szCs w:val="14"/>
                <w:color w:val="auto"/>
              </w:rPr>
              <w:t>18,811</w:t>
            </w:r>
          </w:p>
        </w:tc>
        <w:tc>
          <w:tcPr>
            <w:tcW w:w="2820" w:type="dxa"/>
            <w:vAlign w:val="bottom"/>
            <w:shd w:val="clear" w:color="auto" w:fill="CCECFF"/>
          </w:tcPr>
          <w:p>
            <w:pPr>
              <w:jc w:val="right"/>
              <w:ind w:right="1448"/>
              <w:spacing w:after="0"/>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Shira Goodman</w:t>
            </w:r>
          </w:p>
        </w:tc>
        <w:tc>
          <w:tcPr>
            <w:tcW w:w="19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58,160,786</w:t>
            </w:r>
          </w:p>
        </w:tc>
        <w:tc>
          <w:tcPr>
            <w:tcW w:w="196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218,286</w:t>
            </w:r>
          </w:p>
        </w:tc>
        <w:tc>
          <w:tcPr>
            <w:tcW w:w="200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17,369</w:t>
            </w:r>
          </w:p>
        </w:tc>
        <w:tc>
          <w:tcPr>
            <w:tcW w:w="2820" w:type="dxa"/>
            <w:vAlign w:val="bottom"/>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Jordan Hitch</w:t>
            </w:r>
          </w:p>
        </w:tc>
        <w:tc>
          <w:tcPr>
            <w:tcW w:w="1920" w:type="dxa"/>
            <w:vAlign w:val="bottom"/>
            <w:shd w:val="clear" w:color="auto" w:fill="CCECFF"/>
          </w:tcPr>
          <w:p>
            <w:pPr>
              <w:ind w:left="560"/>
              <w:spacing w:after="0" w:line="149" w:lineRule="exact"/>
              <w:rPr>
                <w:sz w:val="20"/>
                <w:szCs w:val="20"/>
                <w:color w:val="auto"/>
              </w:rPr>
            </w:pPr>
            <w:r>
              <w:rPr>
                <w:rFonts w:ascii="Times New Roman" w:cs="Times New Roman" w:eastAsia="Times New Roman" w:hAnsi="Times New Roman"/>
                <w:sz w:val="14"/>
                <w:szCs w:val="14"/>
                <w:color w:val="auto"/>
              </w:rPr>
              <w:t>51,416,474</w:t>
            </w:r>
          </w:p>
        </w:tc>
        <w:tc>
          <w:tcPr>
            <w:tcW w:w="1960" w:type="dxa"/>
            <w:vAlign w:val="bottom"/>
            <w:shd w:val="clear" w:color="auto" w:fill="CCECFF"/>
          </w:tcPr>
          <w:p>
            <w:pPr>
              <w:ind w:left="700"/>
              <w:spacing w:after="0" w:line="149" w:lineRule="exact"/>
              <w:rPr>
                <w:sz w:val="20"/>
                <w:szCs w:val="20"/>
                <w:color w:val="auto"/>
              </w:rPr>
            </w:pPr>
            <w:r>
              <w:rPr>
                <w:rFonts w:ascii="Times New Roman" w:cs="Times New Roman" w:eastAsia="Times New Roman" w:hAnsi="Times New Roman"/>
                <w:sz w:val="14"/>
                <w:szCs w:val="14"/>
                <w:color w:val="auto"/>
              </w:rPr>
              <w:t>6,961,069</w:t>
            </w:r>
          </w:p>
        </w:tc>
        <w:tc>
          <w:tcPr>
            <w:tcW w:w="2000" w:type="dxa"/>
            <w:vAlign w:val="bottom"/>
            <w:shd w:val="clear" w:color="auto" w:fill="CCECFF"/>
          </w:tcPr>
          <w:p>
            <w:pPr>
              <w:ind w:left="680"/>
              <w:spacing w:after="0" w:line="149" w:lineRule="exact"/>
              <w:rPr>
                <w:sz w:val="20"/>
                <w:szCs w:val="20"/>
                <w:color w:val="auto"/>
              </w:rPr>
            </w:pPr>
            <w:r>
              <w:rPr>
                <w:rFonts w:ascii="Times New Roman" w:cs="Times New Roman" w:eastAsia="Times New Roman" w:hAnsi="Times New Roman"/>
                <w:sz w:val="14"/>
                <w:szCs w:val="14"/>
                <w:color w:val="auto"/>
              </w:rPr>
              <w:t>18,898</w:t>
            </w:r>
          </w:p>
        </w:tc>
        <w:tc>
          <w:tcPr>
            <w:tcW w:w="2820" w:type="dxa"/>
            <w:vAlign w:val="bottom"/>
            <w:shd w:val="clear" w:color="auto" w:fill="CCECFF"/>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John Mahoney</w:t>
            </w:r>
          </w:p>
        </w:tc>
        <w:tc>
          <w:tcPr>
            <w:tcW w:w="19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56,553,070</w:t>
            </w:r>
          </w:p>
        </w:tc>
        <w:tc>
          <w:tcPr>
            <w:tcW w:w="196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1,825,834</w:t>
            </w:r>
          </w:p>
        </w:tc>
        <w:tc>
          <w:tcPr>
            <w:tcW w:w="200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17,537</w:t>
            </w:r>
          </w:p>
        </w:tc>
        <w:tc>
          <w:tcPr>
            <w:tcW w:w="2820" w:type="dxa"/>
            <w:vAlign w:val="bottom"/>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Laura Sen</w:t>
            </w:r>
          </w:p>
        </w:tc>
        <w:tc>
          <w:tcPr>
            <w:tcW w:w="1920" w:type="dxa"/>
            <w:vAlign w:val="bottom"/>
            <w:shd w:val="clear" w:color="auto" w:fill="CCECFF"/>
          </w:tcPr>
          <w:p>
            <w:pPr>
              <w:ind w:left="560"/>
              <w:spacing w:after="0" w:line="149" w:lineRule="exact"/>
              <w:rPr>
                <w:sz w:val="20"/>
                <w:szCs w:val="20"/>
                <w:color w:val="auto"/>
              </w:rPr>
            </w:pPr>
            <w:r>
              <w:rPr>
                <w:rFonts w:ascii="Times New Roman" w:cs="Times New Roman" w:eastAsia="Times New Roman" w:hAnsi="Times New Roman"/>
                <w:sz w:val="14"/>
                <w:szCs w:val="14"/>
                <w:color w:val="auto"/>
              </w:rPr>
              <w:t>58,161,198</w:t>
            </w:r>
          </w:p>
        </w:tc>
        <w:tc>
          <w:tcPr>
            <w:tcW w:w="1960" w:type="dxa"/>
            <w:vAlign w:val="bottom"/>
            <w:shd w:val="clear" w:color="auto" w:fill="CCECFF"/>
          </w:tcPr>
          <w:p>
            <w:pPr>
              <w:ind w:left="700"/>
              <w:spacing w:after="0" w:line="149" w:lineRule="exact"/>
              <w:rPr>
                <w:sz w:val="20"/>
                <w:szCs w:val="20"/>
                <w:color w:val="auto"/>
              </w:rPr>
            </w:pPr>
            <w:r>
              <w:rPr>
                <w:rFonts w:ascii="Times New Roman" w:cs="Times New Roman" w:eastAsia="Times New Roman" w:hAnsi="Times New Roman"/>
                <w:sz w:val="14"/>
                <w:szCs w:val="14"/>
                <w:color w:val="auto"/>
              </w:rPr>
              <w:t>217,874</w:t>
            </w:r>
          </w:p>
        </w:tc>
        <w:tc>
          <w:tcPr>
            <w:tcW w:w="2000" w:type="dxa"/>
            <w:vAlign w:val="bottom"/>
            <w:shd w:val="clear" w:color="auto" w:fill="CCECFF"/>
          </w:tcPr>
          <w:p>
            <w:pPr>
              <w:ind w:left="680"/>
              <w:spacing w:after="0" w:line="149" w:lineRule="exact"/>
              <w:rPr>
                <w:sz w:val="20"/>
                <w:szCs w:val="20"/>
                <w:color w:val="auto"/>
              </w:rPr>
            </w:pPr>
            <w:r>
              <w:rPr>
                <w:rFonts w:ascii="Times New Roman" w:cs="Times New Roman" w:eastAsia="Times New Roman" w:hAnsi="Times New Roman"/>
                <w:sz w:val="14"/>
                <w:szCs w:val="14"/>
                <w:color w:val="auto"/>
              </w:rPr>
              <w:t>17,369</w:t>
            </w:r>
          </w:p>
        </w:tc>
        <w:tc>
          <w:tcPr>
            <w:tcW w:w="2820" w:type="dxa"/>
            <w:vAlign w:val="bottom"/>
            <w:shd w:val="clear" w:color="auto" w:fill="CCECFF"/>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Michael Skirvin</w:t>
            </w:r>
          </w:p>
        </w:tc>
        <w:tc>
          <w:tcPr>
            <w:tcW w:w="19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58,006,892</w:t>
            </w:r>
          </w:p>
        </w:tc>
        <w:tc>
          <w:tcPr>
            <w:tcW w:w="196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372,180</w:t>
            </w:r>
          </w:p>
        </w:tc>
        <w:tc>
          <w:tcPr>
            <w:tcW w:w="200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17,369</w:t>
            </w:r>
          </w:p>
        </w:tc>
        <w:tc>
          <w:tcPr>
            <w:tcW w:w="2820" w:type="dxa"/>
            <w:vAlign w:val="bottom"/>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Paul Sullivan</w:t>
            </w:r>
          </w:p>
        </w:tc>
        <w:tc>
          <w:tcPr>
            <w:tcW w:w="1920" w:type="dxa"/>
            <w:vAlign w:val="bottom"/>
            <w:shd w:val="clear" w:color="auto" w:fill="CCECFF"/>
          </w:tcPr>
          <w:p>
            <w:pPr>
              <w:ind w:left="560"/>
              <w:spacing w:after="0" w:line="149" w:lineRule="exact"/>
              <w:rPr>
                <w:sz w:val="20"/>
                <w:szCs w:val="20"/>
                <w:color w:val="auto"/>
              </w:rPr>
            </w:pPr>
            <w:r>
              <w:rPr>
                <w:rFonts w:ascii="Times New Roman" w:cs="Times New Roman" w:eastAsia="Times New Roman" w:hAnsi="Times New Roman"/>
                <w:sz w:val="14"/>
                <w:szCs w:val="14"/>
                <w:color w:val="auto"/>
              </w:rPr>
              <w:t>57,268,056</w:t>
            </w:r>
          </w:p>
        </w:tc>
        <w:tc>
          <w:tcPr>
            <w:tcW w:w="1960" w:type="dxa"/>
            <w:vAlign w:val="bottom"/>
            <w:shd w:val="clear" w:color="auto" w:fill="CCECFF"/>
          </w:tcPr>
          <w:p>
            <w:pPr>
              <w:ind w:left="700"/>
              <w:spacing w:after="0" w:line="149" w:lineRule="exact"/>
              <w:rPr>
                <w:sz w:val="20"/>
                <w:szCs w:val="20"/>
                <w:color w:val="auto"/>
              </w:rPr>
            </w:pPr>
            <w:r>
              <w:rPr>
                <w:rFonts w:ascii="Times New Roman" w:cs="Times New Roman" w:eastAsia="Times New Roman" w:hAnsi="Times New Roman"/>
                <w:sz w:val="14"/>
                <w:szCs w:val="14"/>
                <w:color w:val="auto"/>
              </w:rPr>
              <w:t>1,111,017</w:t>
            </w:r>
          </w:p>
        </w:tc>
        <w:tc>
          <w:tcPr>
            <w:tcW w:w="2000" w:type="dxa"/>
            <w:vAlign w:val="bottom"/>
            <w:shd w:val="clear" w:color="auto" w:fill="CCECFF"/>
          </w:tcPr>
          <w:p>
            <w:pPr>
              <w:ind w:left="680"/>
              <w:spacing w:after="0" w:line="149" w:lineRule="exact"/>
              <w:rPr>
                <w:sz w:val="20"/>
                <w:szCs w:val="20"/>
                <w:color w:val="auto"/>
              </w:rPr>
            </w:pPr>
            <w:r>
              <w:rPr>
                <w:rFonts w:ascii="Times New Roman" w:cs="Times New Roman" w:eastAsia="Times New Roman" w:hAnsi="Times New Roman"/>
                <w:sz w:val="14"/>
                <w:szCs w:val="14"/>
                <w:color w:val="auto"/>
              </w:rPr>
              <w:t>17,368</w:t>
            </w:r>
          </w:p>
        </w:tc>
        <w:tc>
          <w:tcPr>
            <w:tcW w:w="2820" w:type="dxa"/>
            <w:vAlign w:val="bottom"/>
            <w:shd w:val="clear" w:color="auto" w:fill="CCECFF"/>
          </w:tcPr>
          <w:p>
            <w:pPr>
              <w:jc w:val="right"/>
              <w:ind w:right="1448"/>
              <w:spacing w:after="0" w:line="149" w:lineRule="exact"/>
              <w:rPr>
                <w:sz w:val="20"/>
                <w:szCs w:val="20"/>
                <w:color w:val="auto"/>
              </w:rPr>
            </w:pPr>
            <w:r>
              <w:rPr>
                <w:rFonts w:ascii="Times New Roman" w:cs="Times New Roman" w:eastAsia="Times New Roman" w:hAnsi="Times New Roman"/>
                <w:sz w:val="14"/>
                <w:szCs w:val="14"/>
                <w:color w:val="auto"/>
              </w:rPr>
              <w:t>1,156,742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40" w:hanging="187"/>
        <w:spacing w:after="0"/>
        <w:tabs>
          <w:tab w:leader="none" w:pos="2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Ratification of Appointment of Independent Registered Certified Public Accounting Firm</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w:t>
            </w:r>
          </w:p>
        </w:tc>
        <w:tc>
          <w:tcPr>
            <w:tcW w:w="2560" w:type="dxa"/>
            <w:vAlign w:val="bottom"/>
          </w:tcPr>
          <w:p>
            <w:pPr>
              <w:ind w:left="980"/>
              <w:spacing w:after="0"/>
              <w:rPr>
                <w:sz w:val="20"/>
                <w:szCs w:val="20"/>
                <w:color w:val="auto"/>
              </w:rPr>
            </w:pPr>
            <w:r>
              <w:rPr>
                <w:rFonts w:ascii="Times New Roman" w:cs="Times New Roman" w:eastAsia="Times New Roman" w:hAnsi="Times New Roman"/>
                <w:sz w:val="14"/>
                <w:szCs w:val="14"/>
                <w:i w:val="1"/>
                <w:iCs w:val="1"/>
                <w:color w:val="auto"/>
              </w:rPr>
              <w:t>Against</w:t>
            </w:r>
          </w:p>
        </w:tc>
        <w:tc>
          <w:tcPr>
            <w:tcW w:w="2520" w:type="dxa"/>
            <w:vAlign w:val="bottom"/>
          </w:tcPr>
          <w:p>
            <w:pPr>
              <w:ind w:left="1000"/>
              <w:spacing w:after="0"/>
              <w:rPr>
                <w:sz w:val="20"/>
                <w:szCs w:val="20"/>
                <w:color w:val="auto"/>
              </w:rPr>
            </w:pPr>
            <w:r>
              <w:rPr>
                <w:rFonts w:ascii="Times New Roman" w:cs="Times New Roman" w:eastAsia="Times New Roman" w:hAnsi="Times New Roman"/>
                <w:sz w:val="14"/>
                <w:szCs w:val="14"/>
                <w:i w:val="1"/>
                <w:iCs w:val="1"/>
                <w:color w:val="auto"/>
              </w:rPr>
              <w:t>Abstained</w:t>
            </w:r>
          </w:p>
        </w:tc>
        <w:tc>
          <w:tcPr>
            <w:tcW w:w="3520" w:type="dxa"/>
            <w:vAlign w:val="bottom"/>
          </w:tcPr>
          <w:p>
            <w:pPr>
              <w:ind w:left="920"/>
              <w:spacing w:after="0"/>
              <w:rPr>
                <w:sz w:val="20"/>
                <w:szCs w:val="20"/>
                <w:color w:val="auto"/>
              </w:rPr>
            </w:pPr>
            <w:r>
              <w:rPr>
                <w:rFonts w:ascii="Times New Roman" w:cs="Times New Roman" w:eastAsia="Times New Roman" w:hAnsi="Times New Roman"/>
                <w:sz w:val="14"/>
                <w:szCs w:val="14"/>
                <w:i w:val="1"/>
                <w:iCs w:val="1"/>
                <w:color w:val="auto"/>
              </w:rPr>
              <w:t>Broker Non-Votes</w:t>
            </w:r>
          </w:p>
        </w:tc>
      </w:tr>
      <w:tr>
        <w:trPr>
          <w:trHeight w:val="203"/>
        </w:trPr>
        <w:tc>
          <w:tcPr>
            <w:tcW w:w="16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57,429,806</w:t>
            </w:r>
          </w:p>
        </w:tc>
        <w:tc>
          <w:tcPr>
            <w:tcW w:w="25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4"/>
                <w:szCs w:val="14"/>
                <w:color w:val="auto"/>
              </w:rPr>
              <w:t>2,105,955</w:t>
            </w:r>
          </w:p>
        </w:tc>
        <w:tc>
          <w:tcPr>
            <w:tcW w:w="25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17,422</w:t>
            </w:r>
          </w:p>
        </w:tc>
        <w:tc>
          <w:tcPr>
            <w:tcW w:w="352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166" w:lineRule="exact"/>
        <w:rPr>
          <w:sz w:val="20"/>
          <w:szCs w:val="20"/>
          <w:color w:val="auto"/>
        </w:rPr>
      </w:pPr>
    </w:p>
    <w:p>
      <w:pPr>
        <w:ind w:left="240" w:hanging="187"/>
        <w:spacing w:after="0"/>
        <w:tabs>
          <w:tab w:leader="none" w:pos="2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Advisory Vote on Compensation of Named Executive Officers</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w:t>
            </w:r>
          </w:p>
        </w:tc>
        <w:tc>
          <w:tcPr>
            <w:tcW w:w="2540" w:type="dxa"/>
            <w:vAlign w:val="bottom"/>
          </w:tcPr>
          <w:p>
            <w:pPr>
              <w:ind w:left="960"/>
              <w:spacing w:after="0"/>
              <w:rPr>
                <w:sz w:val="20"/>
                <w:szCs w:val="20"/>
                <w:color w:val="auto"/>
              </w:rPr>
            </w:pPr>
            <w:r>
              <w:rPr>
                <w:rFonts w:ascii="Times New Roman" w:cs="Times New Roman" w:eastAsia="Times New Roman" w:hAnsi="Times New Roman"/>
                <w:sz w:val="14"/>
                <w:szCs w:val="14"/>
                <w:i w:val="1"/>
                <w:iCs w:val="1"/>
                <w:color w:val="auto"/>
              </w:rPr>
              <w:t>Against</w:t>
            </w:r>
          </w:p>
        </w:tc>
        <w:tc>
          <w:tcPr>
            <w:tcW w:w="2500" w:type="dxa"/>
            <w:vAlign w:val="bottom"/>
          </w:tcPr>
          <w:p>
            <w:pPr>
              <w:ind w:left="1020"/>
              <w:spacing w:after="0"/>
              <w:rPr>
                <w:sz w:val="20"/>
                <w:szCs w:val="20"/>
                <w:color w:val="auto"/>
              </w:rPr>
            </w:pPr>
            <w:r>
              <w:rPr>
                <w:rFonts w:ascii="Times New Roman" w:cs="Times New Roman" w:eastAsia="Times New Roman" w:hAnsi="Times New Roman"/>
                <w:sz w:val="14"/>
                <w:szCs w:val="14"/>
                <w:i w:val="1"/>
                <w:iCs w:val="1"/>
                <w:color w:val="auto"/>
              </w:rPr>
              <w:t>Abstained</w:t>
            </w:r>
          </w:p>
        </w:tc>
        <w:tc>
          <w:tcPr>
            <w:tcW w:w="3560" w:type="dxa"/>
            <w:vAlign w:val="bottom"/>
          </w:tcPr>
          <w:p>
            <w:pPr>
              <w:jc w:val="right"/>
              <w:ind w:right="1508"/>
              <w:spacing w:after="0"/>
              <w:rPr>
                <w:sz w:val="20"/>
                <w:szCs w:val="20"/>
                <w:color w:val="auto"/>
              </w:rPr>
            </w:pPr>
            <w:r>
              <w:rPr>
                <w:rFonts w:ascii="Times New Roman" w:cs="Times New Roman" w:eastAsia="Times New Roman" w:hAnsi="Times New Roman"/>
                <w:sz w:val="14"/>
                <w:szCs w:val="14"/>
                <w:i w:val="1"/>
                <w:iCs w:val="1"/>
                <w:color w:val="auto"/>
              </w:rPr>
              <w:t>Broker Non-Votes</w:t>
            </w:r>
          </w:p>
        </w:tc>
      </w:tr>
      <w:tr>
        <w:trPr>
          <w:trHeight w:val="203"/>
        </w:trPr>
        <w:tc>
          <w:tcPr>
            <w:tcW w:w="16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51,330,197</w:t>
            </w:r>
          </w:p>
        </w:tc>
        <w:tc>
          <w:tcPr>
            <w:tcW w:w="2540" w:type="dxa"/>
            <w:vAlign w:val="bottom"/>
            <w:shd w:val="clear" w:color="auto" w:fill="CCECFF"/>
          </w:tcPr>
          <w:p>
            <w:pPr>
              <w:ind w:left="960"/>
              <w:spacing w:after="0"/>
              <w:rPr>
                <w:sz w:val="20"/>
                <w:szCs w:val="20"/>
                <w:color w:val="auto"/>
              </w:rPr>
            </w:pPr>
            <w:r>
              <w:rPr>
                <w:rFonts w:ascii="Times New Roman" w:cs="Times New Roman" w:eastAsia="Times New Roman" w:hAnsi="Times New Roman"/>
                <w:sz w:val="14"/>
                <w:szCs w:val="14"/>
                <w:color w:val="auto"/>
              </w:rPr>
              <w:t>6,993,967</w:t>
            </w:r>
          </w:p>
        </w:tc>
        <w:tc>
          <w:tcPr>
            <w:tcW w:w="2500" w:type="dxa"/>
            <w:vAlign w:val="bottom"/>
            <w:shd w:val="clear" w:color="auto" w:fill="CCECFF"/>
          </w:tcPr>
          <w:p>
            <w:pPr>
              <w:ind w:left="1020"/>
              <w:spacing w:after="0"/>
              <w:rPr>
                <w:sz w:val="20"/>
                <w:szCs w:val="20"/>
                <w:color w:val="auto"/>
              </w:rPr>
            </w:pPr>
            <w:r>
              <w:rPr>
                <w:rFonts w:ascii="Times New Roman" w:cs="Times New Roman" w:eastAsia="Times New Roman" w:hAnsi="Times New Roman"/>
                <w:sz w:val="14"/>
                <w:szCs w:val="14"/>
                <w:color w:val="auto"/>
              </w:rPr>
              <w:t>72,277</w:t>
            </w:r>
          </w:p>
        </w:tc>
        <w:tc>
          <w:tcPr>
            <w:tcW w:w="3560" w:type="dxa"/>
            <w:vAlign w:val="bottom"/>
            <w:shd w:val="clear" w:color="auto" w:fill="CCECFF"/>
          </w:tcPr>
          <w:p>
            <w:pPr>
              <w:jc w:val="right"/>
              <w:ind w:right="2008"/>
              <w:spacing w:after="0"/>
              <w:rPr>
                <w:sz w:val="20"/>
                <w:szCs w:val="20"/>
                <w:color w:val="auto"/>
              </w:rPr>
            </w:pPr>
            <w:r>
              <w:rPr>
                <w:rFonts w:ascii="Times New Roman" w:cs="Times New Roman" w:eastAsia="Times New Roman" w:hAnsi="Times New Roman"/>
                <w:sz w:val="14"/>
                <w:szCs w:val="14"/>
                <w:color w:val="auto"/>
              </w:rPr>
              <w:t>1,156,742</w:t>
            </w:r>
          </w:p>
        </w:tc>
      </w:tr>
    </w:tbl>
    <w:p>
      <w:pPr>
        <w:spacing w:after="0" w:line="153" w:lineRule="exact"/>
        <w:rPr>
          <w:sz w:val="20"/>
          <w:szCs w:val="20"/>
          <w:color w:val="auto"/>
        </w:rPr>
      </w:pPr>
    </w:p>
    <w:p>
      <w:pPr>
        <w:ind w:left="240" w:hanging="187"/>
        <w:spacing w:after="0"/>
        <w:tabs>
          <w:tab w:leader="none" w:pos="2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Advisory Vote on Frequency of Future Say-On-Pay Votes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Every 1 Year</w:t>
            </w:r>
          </w:p>
        </w:tc>
        <w:tc>
          <w:tcPr>
            <w:tcW w:w="2100" w:type="dxa"/>
            <w:vAlign w:val="bottom"/>
          </w:tcPr>
          <w:p>
            <w:pPr>
              <w:ind w:left="660"/>
              <w:spacing w:after="0"/>
              <w:rPr>
                <w:sz w:val="20"/>
                <w:szCs w:val="20"/>
                <w:color w:val="auto"/>
              </w:rPr>
            </w:pPr>
            <w:r>
              <w:rPr>
                <w:rFonts w:ascii="Times New Roman" w:cs="Times New Roman" w:eastAsia="Times New Roman" w:hAnsi="Times New Roman"/>
                <w:sz w:val="14"/>
                <w:szCs w:val="14"/>
                <w:i w:val="1"/>
                <w:iCs w:val="1"/>
                <w:color w:val="auto"/>
              </w:rPr>
              <w:t>Every 2 Years</w:t>
            </w:r>
          </w:p>
        </w:tc>
        <w:tc>
          <w:tcPr>
            <w:tcW w:w="200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Every 3 Years</w:t>
            </w:r>
          </w:p>
        </w:tc>
        <w:tc>
          <w:tcPr>
            <w:tcW w:w="1880" w:type="dxa"/>
            <w:vAlign w:val="bottom"/>
          </w:tcPr>
          <w:p>
            <w:pPr>
              <w:ind w:left="560"/>
              <w:spacing w:after="0"/>
              <w:rPr>
                <w:sz w:val="20"/>
                <w:szCs w:val="20"/>
                <w:color w:val="auto"/>
              </w:rPr>
            </w:pPr>
            <w:r>
              <w:rPr>
                <w:rFonts w:ascii="Times New Roman" w:cs="Times New Roman" w:eastAsia="Times New Roman" w:hAnsi="Times New Roman"/>
                <w:sz w:val="14"/>
                <w:szCs w:val="14"/>
                <w:i w:val="1"/>
                <w:iCs w:val="1"/>
                <w:color w:val="auto"/>
              </w:rPr>
              <w:t>Abstained</w:t>
            </w:r>
          </w:p>
        </w:tc>
        <w:tc>
          <w:tcPr>
            <w:tcW w:w="2820" w:type="dxa"/>
            <w:vAlign w:val="bottom"/>
          </w:tcPr>
          <w:p>
            <w:pPr>
              <w:jc w:val="right"/>
              <w:ind w:right="968"/>
              <w:spacing w:after="0"/>
              <w:rPr>
                <w:sz w:val="20"/>
                <w:szCs w:val="20"/>
                <w:color w:val="auto"/>
              </w:rPr>
            </w:pPr>
            <w:r>
              <w:rPr>
                <w:rFonts w:ascii="Times New Roman" w:cs="Times New Roman" w:eastAsia="Times New Roman" w:hAnsi="Times New Roman"/>
                <w:sz w:val="14"/>
                <w:szCs w:val="14"/>
                <w:i w:val="1"/>
                <w:iCs w:val="1"/>
                <w:color w:val="auto"/>
              </w:rPr>
              <w:t>Broker Non-Votes</w:t>
            </w:r>
          </w:p>
        </w:tc>
      </w:tr>
      <w:tr>
        <w:trPr>
          <w:trHeight w:val="203"/>
        </w:trPr>
        <w:tc>
          <w:tcPr>
            <w:tcW w:w="14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57,851,887</w:t>
            </w:r>
          </w:p>
        </w:tc>
        <w:tc>
          <w:tcPr>
            <w:tcW w:w="21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4"/>
                <w:szCs w:val="14"/>
                <w:color w:val="auto"/>
              </w:rPr>
              <w:t>4,893</w:t>
            </w:r>
          </w:p>
        </w:tc>
        <w:tc>
          <w:tcPr>
            <w:tcW w:w="20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4"/>
                <w:szCs w:val="14"/>
                <w:color w:val="auto"/>
              </w:rPr>
              <w:t>513,237</w:t>
            </w:r>
          </w:p>
        </w:tc>
        <w:tc>
          <w:tcPr>
            <w:tcW w:w="18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26,424</w:t>
            </w:r>
          </w:p>
        </w:tc>
        <w:tc>
          <w:tcPr>
            <w:tcW w:w="2820" w:type="dxa"/>
            <w:vAlign w:val="bottom"/>
            <w:shd w:val="clear" w:color="auto" w:fill="CCECFF"/>
          </w:tcPr>
          <w:p>
            <w:pPr>
              <w:jc w:val="right"/>
              <w:ind w:right="1448"/>
              <w:spacing w:after="0"/>
              <w:rPr>
                <w:sz w:val="20"/>
                <w:szCs w:val="20"/>
                <w:color w:val="auto"/>
              </w:rPr>
            </w:pPr>
            <w:r>
              <w:rPr>
                <w:rFonts w:ascii="Times New Roman" w:cs="Times New Roman" w:eastAsia="Times New Roman" w:hAnsi="Times New Roman"/>
                <w:sz w:val="14"/>
                <w:szCs w:val="14"/>
                <w:color w:val="auto"/>
              </w:rPr>
              <w:t>1,156,742</w:t>
            </w:r>
          </w:p>
        </w:tc>
      </w:tr>
    </w:tbl>
    <w:p>
      <w:pPr>
        <w:spacing w:after="0" w:line="126"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14"/>
          <w:szCs w:val="14"/>
          <w:color w:val="auto"/>
        </w:rPr>
        <w:t>The Company has considered these voting results and determined that an advisory vote regarding the compensation of the Company’s named executive officers will be submitted to stockholders on an annual basis until the next required vote on frequency or until the Board of Directors otherwise determines that a different frequency is in the best interest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27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4114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59"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color w:val="auto"/>
        </w:rPr>
        <w:t>David Glick</w:t>
      </w:r>
    </w:p>
    <w:p>
      <w:pPr>
        <w:spacing w:after="0" w:line="27"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color w:val="auto"/>
        </w:rPr>
        <w:t>Group Senior Vice President of Investor Relations and Treasurer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2026-05-26T15:40:50Z</dcterms:created>
  <dcterms:modified xsi:type="dcterms:W3CDTF">2026-05-26T15:40:50Z</dcterms:modified>
</cp:coreProperties>
</file>