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burl-20260502.htm"/>
      <w:bookmarkStart w:id="1" w:name="ksburl20260502"/>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May 2,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001-36107</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31432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723900"/>
                    </a:xfrm>
                    <a:prstGeom prst="rect">
                      <a:avLst/>
                    </a:prstGeom>
                  </pic:spPr>
                </pic:pic>
              </a:graphicData>
            </a:graphic>
          </wp:inline>
        </w:drawing>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BURLINGTON STORES,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80-0895227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2006 Route 130 North</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Burlington, New Jersey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08016</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(609) 387-7800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BURL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29" w:type="dxa"/>
        <w:jc w:val="left"/>
        <w:tblInd w:w="0" w:type="dxa"/>
        <w:tblLayout w:type="fixed"/>
        <w:tblCellMar>
          <w:top w:w="28" w:type="dxa"/>
          <w:left w:w="28" w:type="dxa"/>
          <w:bottom w:w="28" w:type="dxa"/>
          <w:right w:w="28" w:type="dxa"/>
        </w:tblCellMar>
      </w:tblPr>
      <w:tblGrid>
        <w:gridCol w:w="1666"/>
        <w:gridCol w:w="37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registrant had 62,942,206</w:t>
      </w:r>
      <w:r>
        <w:rPr>
          <w:rFonts w:ascii="Times New Roman" w:hAnsi="Times New Roman"/>
          <w:color w:val="000000"/>
          <w:sz w:val="20"/>
        </w:rPr>
        <w:t xml:space="preserve"> </w:t>
      </w:r>
      <w:r>
        <w:rPr>
          <w:rFonts w:ascii="Times New Roman" w:hAnsi="Times New Roman"/>
          <w:color w:val="000000"/>
          <w:sz w:val="16"/>
        </w:rPr>
        <w:t>shares of common stock outstanding as of May 2,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4"/>
        <w:gridCol w:w="146"/>
        <w:gridCol w:w="1415"/>
      </w:tblGrid>
      <w:tr>
        <w:trPr/>
        <w:tc>
          <w:tcPr>
            <w:tcW w:w="8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_financial_statements">
              <w:r>
                <w:rPr>
                  <w:rStyle w:val="InternetLink"/>
                  <w:rFonts w:ascii="Times New Roman" w:hAnsi="Times New Roman"/>
                  <w:b/>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operat">
              <w:r>
                <w:rPr>
                  <w:rStyle w:val="InternetLink"/>
                  <w:rFonts w:ascii="Times New Roman" w:hAnsi="Times New Roman"/>
                  <w:color w:val="0000FF"/>
                  <w:sz w:val="20"/>
                  <w:u w:val="single"/>
                </w:rPr>
                <w:t>Condensed Consolidated Statements of Income - Three Months Ended May 2, 2026 and May 3, 2025</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compre">
              <w:r>
                <w:rPr>
                  <w:rStyle w:val="InternetLink"/>
                  <w:rFonts w:ascii="Times New Roman" w:hAnsi="Times New Roman"/>
                  <w:color w:val="0000FF"/>
                  <w:sz w:val="20"/>
                  <w:u w:val="single"/>
                </w:rPr>
                <w:t>Condensed Consolidated Statements of Comprehensive Income – Three Months Ended May 2, 2026 and May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balance_sheets">
              <w:r>
                <w:rPr>
                  <w:rStyle w:val="InternetLink"/>
                  <w:rFonts w:ascii="Times New Roman" w:hAnsi="Times New Roman"/>
                  <w:color w:val="0000FF"/>
                  <w:sz w:val="20"/>
                  <w:u w:val="single"/>
                </w:rPr>
                <w:t>Condensed Consolidated Balance Sheets – May 2, 2026, January 31, 2026 and May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cash_f">
              <w:r>
                <w:rPr>
                  <w:rStyle w:val="InternetLink"/>
                  <w:rFonts w:ascii="Times New Roman" w:hAnsi="Times New Roman"/>
                  <w:color w:val="0000FF"/>
                  <w:sz w:val="20"/>
                  <w:u w:val="single"/>
                </w:rPr>
                <w:t>Condensed Consolidated Statements of Cash Flows – Three Months Ended May 2, 2026 and May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2_managements_discussion_analysis_f">
              <w:r>
                <w:rPr>
                  <w:rStyle w:val="InternetLink"/>
                  <w:rFonts w:ascii="Times New Roman" w:hAnsi="Times New Roman"/>
                  <w:b/>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3_quantitative_qualitative_disclosu">
              <w:r>
                <w:rPr>
                  <w:rStyle w:val="InternetLink"/>
                  <w:rFonts w:ascii="Times New Roman" w:hAnsi="Times New Roman"/>
                  <w:b/>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4_controls_procedures">
              <w:r>
                <w:rPr>
                  <w:rStyle w:val="InternetLink"/>
                  <w:rFonts w:ascii="Times New Roman" w:hAnsi="Times New Roman"/>
                  <w:b/>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_legal_proceedings">
              <w:r>
                <w:rPr>
                  <w:rStyle w:val="InternetLink"/>
                  <w:rFonts w:ascii="Times New Roman" w:hAnsi="Times New Roman"/>
                  <w:b/>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a_risk_factors">
              <w:r>
                <w:rPr>
                  <w:rStyle w:val="InternetLink"/>
                  <w:rFonts w:ascii="Times New Roman" w:hAnsi="Times New Roman"/>
                  <w:b/>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2_unregistered_sales_equity_securit">
              <w:r>
                <w:rPr>
                  <w:rStyle w:val="InternetLink"/>
                  <w:rFonts w:ascii="Times New Roman" w:hAnsi="Times New Roman"/>
                  <w:b/>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3_defaults_upon_senior_securities">
              <w:r>
                <w:rPr>
                  <w:rStyle w:val="InternetLink"/>
                  <w:rFonts w:ascii="Times New Roman" w:hAnsi="Times New Roman"/>
                  <w:b/>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4_mine_safety_disclosures">
              <w:r>
                <w:rPr>
                  <w:rStyle w:val="InternetLink"/>
                  <w:rFonts w:ascii="Times New Roman" w:hAnsi="Times New Roman"/>
                  <w:b/>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5_or_information">
              <w:r>
                <w:rPr>
                  <w:rStyle w:val="InternetLink"/>
                  <w:rFonts w:ascii="Times New Roman" w:hAnsi="Times New Roman"/>
                  <w:b/>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6_exhibits">
              <w:r>
                <w:rPr>
                  <w:rStyle w:val="InternetLink"/>
                  <w:rFonts w:ascii="Times New Roman" w:hAnsi="Times New Roman"/>
                  <w:b/>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per share data)</w:t>
      </w:r>
    </w:p>
    <w:tbl>
      <w:tblPr>
        <w:tblW w:w="7848" w:type="dxa"/>
        <w:jc w:val="left"/>
        <w:tblInd w:w="0" w:type="dxa"/>
        <w:tblLayout w:type="fixed"/>
        <w:tblCellMar>
          <w:top w:w="28" w:type="dxa"/>
          <w:left w:w="28" w:type="dxa"/>
          <w:bottom w:w="28" w:type="dxa"/>
          <w:right w:w="28" w:type="dxa"/>
        </w:tblCellMar>
      </w:tblPr>
      <w:tblGrid>
        <w:gridCol w:w="4861"/>
        <w:gridCol w:w="211"/>
        <w:gridCol w:w="931"/>
        <w:gridCol w:w="166"/>
        <w:gridCol w:w="146"/>
        <w:gridCol w:w="211"/>
        <w:gridCol w:w="931"/>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2,504,020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 and inducement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tcBorders>
            <w:shd w:fill="CFF0FC"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bottom w:val="single" w:sz="4" w:space="0" w:color="FFFFFF"/>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p>
      <w:pPr>
        <w:pStyle w:val="TextBody"/>
        <w:bidi w:val="0"/>
        <w:jc w:val="left"/>
        <w:rPr/>
      </w:pPr>
      <w:r>
        <w:rPr/>
        <w:t> </w:t>
      </w:r>
    </w:p>
    <w:tbl>
      <w:tblPr>
        <w:tblW w:w="7553" w:type="dxa"/>
        <w:jc w:val="left"/>
        <w:tblInd w:w="0" w:type="dxa"/>
        <w:tblLayout w:type="fixed"/>
        <w:tblCellMar>
          <w:top w:w="28" w:type="dxa"/>
          <w:left w:w="28" w:type="dxa"/>
          <w:bottom w:w="28" w:type="dxa"/>
          <w:right w:w="28" w:type="dxa"/>
        </w:tblCellMar>
      </w:tblPr>
      <w:tblGrid>
        <w:gridCol w:w="4646"/>
        <w:gridCol w:w="211"/>
        <w:gridCol w:w="781"/>
        <w:gridCol w:w="166"/>
        <w:gridCol w:w="146"/>
        <w:gridCol w:w="211"/>
        <w:gridCol w:w="781"/>
        <w:gridCol w:w="611"/>
      </w:tblGrid>
      <w:tr>
        <w:trPr/>
        <w:tc>
          <w:tcPr>
            <w:tcW w:w="4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derivative contracts: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gain (loss) arising during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reclassification into earnings during the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18"/>
        <w:gridCol w:w="146"/>
        <w:gridCol w:w="211"/>
        <w:gridCol w:w="991"/>
        <w:gridCol w:w="166"/>
        <w:gridCol w:w="146"/>
        <w:gridCol w:w="211"/>
        <w:gridCol w:w="991"/>
        <w:gridCol w:w="166"/>
        <w:gridCol w:w="146"/>
        <w:gridCol w:w="211"/>
        <w:gridCol w:w="991"/>
        <w:gridCol w:w="411"/>
      </w:tblGrid>
      <w:tr>
        <w:trPr/>
        <w:tc>
          <w:tcPr>
            <w:tcW w:w="5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2,698,789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3,415,265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8,549,897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 term debt and other current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1,956,841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3,279,926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authorized: 50,000,000 shares;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Authorized: 500,000,000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Issued: 83,988,406 shares, 83,337,586 shares and 83,149,208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Outstanding: 62,942,206 shares, 62,717,720 shares and 63,086,660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1,588,536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1,352,197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8,549,897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w:t>
      </w:r>
    </w:p>
    <w:tbl>
      <w:tblPr>
        <w:tblW w:w="9199" w:type="dxa"/>
        <w:jc w:val="left"/>
        <w:tblInd w:w="0" w:type="dxa"/>
        <w:tblLayout w:type="fixed"/>
        <w:tblCellMar>
          <w:top w:w="28" w:type="dxa"/>
          <w:left w:w="28" w:type="dxa"/>
          <w:bottom w:w="28" w:type="dxa"/>
          <w:right w:w="28" w:type="dxa"/>
        </w:tblCellMar>
      </w:tblPr>
      <w:tblGrid>
        <w:gridCol w:w="6361"/>
        <w:gridCol w:w="246"/>
        <w:gridCol w:w="196"/>
        <w:gridCol w:w="826"/>
        <w:gridCol w:w="166"/>
        <w:gridCol w:w="246"/>
        <w:gridCol w:w="196"/>
        <w:gridCol w:w="751"/>
        <w:gridCol w:w="211"/>
      </w:tblGrid>
      <w:tr>
        <w:trPr/>
        <w:tc>
          <w:tcPr>
            <w:tcW w:w="6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income to net cash provided by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charges—long-lived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of deferred financing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Accretion of long term debt instruments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stock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lease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received from landlord allowances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Inducement charges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Merchandise 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Prepaid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long term assets and 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acquisition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(removal costs) proceeds from sale of property and equipment and assets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(412,683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debt—ABL Line of Credit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debt—Term Loan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 on long term debt— Convertible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 of treasury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(127,563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stock option exercises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(182,015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(623,606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994,698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371,092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payments -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in exchange of 2027 Convertible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May 2, 2026</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2, 2026, Burlington Stores, Inc., a Delaware corporation (collectively with its subsidiaries, the Company), through its indirect subsidiary Burlington Coat Factory Warehouse Corporation (BCFWC), operated 1,242 retail stores.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unaudited Condensed Consolidated Financial Statements include the accounts of Burlington Stores, Inc. and its subsidiaries. All inter-company accounts and transactions have been eliminated in consolidation. The Condensed Consolidated Financial Statements are unaudited, but in the opinion of management reflect all adjustments (which are of a normal and recurring nature) necessary for the fair presentation of the results of operations for the interim periods presented. Certain information and note disclosures normally included in financial statements prepared in accordance with accounting principles generally accepted in the United States of America (GAAP) have been condensed or omitted. These Condensed Consolidated Financial Statements should be read in conjunction with the audited Consolidated Financial Statements and notes thereto included in the Company’s Annual Report on Form 10-K for the fiscal year ended January 31, 2026 (Fiscal 2025 10-K). The balance sheet at January 31, 2026 presented herein has been derived from the audited Consolidated Financial Statements contained in the Fiscal 2025 10-K. Because the Company’s business is seasonal in nature, the operating results for the three month period ended May 2, 2026 are not necessarily indicative of results for the fiscal year. Interest income was disaggregated from the financial statement line item other income, net on the Company’s Condensed Consolidated Statement of Income beginning in the fourth quarter of Fiscal 2025. The interest income and other income, net amounts for the first quarter of Fiscal 2025 were retrospectively adjusted for comparability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Accounting policies followed by the Company are described in Note 1, “Summary of Significant Accounting Policies,” included in Part II, Item 8 of the Fiscal 2025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defines its fiscal year as the 52 or 53-week period ending on the Saturday closest to January 31. Fiscal 2026 is defined as the 52-week year ending January 30, 2027, and Fiscal 2025 is defined as the 52-week year ended January 31, 2026. The first quarters of Fiscal 2026 and Fiscal 2025 each consist of 13 weeks.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segment information in accordance with ASC Topic No. 280 “Segment Reporting,” and has one reportable segment. The Company derives all revenue in the United States and manages its business activities on a consolidated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off-price retailer that derives revenues from customers by providing a complete line of value-priced apparel, including: women’s ready-to-wear apparel, menswear, youth apparel, baby, beauty, footwear, accessories, home, toys, gifts and coats. The Company’s chief operating decision maker (CODM) is the Chief Executive Officer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segment and decides how to allocate resources based on net income that also is reported on the Condensed Consolidated Statements of Income. The measure of segment assets is reported on the Condensed Consolidated Balance Sheets as total assets. Net income is used to monitor budget versus actual results, as well as actual results compared to the prior period. These comparisons are used in assessing performance of the segment and in establishing management’s allocation of resources. Below is an extract of certain disaggregated expense information that is regularly provided to the CODM.</w:t>
      </w:r>
    </w:p>
    <w:tbl>
      <w:tblPr>
        <w:tblW w:w="8214" w:type="dxa"/>
        <w:jc w:val="left"/>
        <w:tblInd w:w="0" w:type="dxa"/>
        <w:tblLayout w:type="fixed"/>
        <w:tblCellMar>
          <w:top w:w="28" w:type="dxa"/>
          <w:left w:w="28" w:type="dxa"/>
          <w:bottom w:w="28" w:type="dxa"/>
          <w:right w:w="28" w:type="dxa"/>
        </w:tblCellMar>
      </w:tblPr>
      <w:tblGrid>
        <w:gridCol w:w="5061"/>
        <w:gridCol w:w="146"/>
        <w:gridCol w:w="211"/>
        <w:gridCol w:w="931"/>
        <w:gridCol w:w="166"/>
        <w:gridCol w:w="146"/>
        <w:gridCol w:w="211"/>
        <w:gridCol w:w="931"/>
        <w:gridCol w:w="41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2,504,020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sourcing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segment expenses category includes store related costs, store payroll costs, corporate costs, marketing &amp; strategy costs, and other store &amp; selling expenses.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2024-04, “Debt—Debt with Conversion and Other Option (Subtopic 470-20): Induced Conversions of Convertible Debt Instruments” (ASU 2024-04), which clarifies the requirements related to accounting for the settlement of a debt instrument as an induced conversion. The Company adopted ASU 2024-04 beginning in Fiscal 2026 and applied the accounting for induced conversions to the March 2026 exchange of certain of the 2027 Convertible Notes. Refer to Note 4, "Long Term Debt" for further discussion regarding this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other new accounting standards that had a material impact on the Company’s Condensed Consolidated Financial Statements and notes thereto during the three month period ended May 2,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which requires disaggregated disclosure of income statement expenses for public business entities. ASU 2024-03 is effective for fiscal years beginning after December 15, 2026, and interim periods within fiscal years beginning after December 15, 2027, with early adoption permitted. The Company is currently evaluating the impact of ASU 2024-03 on its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(ASU 2025-06), which amends certain aspects of the accounting for and disclosure of software costs under ASC 350-40. ASU 2025-06 is effective for annual reporting periods beginning after December 15, 2027, and interim reporting periods within those annual reporting periods, with early adoption permitted. The Company is currently evaluating the impact of ASU 2025-06 on its disclosures in the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for the three month periods ended May 2, 2026 and May 3, 2025 in the Company’s stockholders’ equity is summarized below: </w:t>
      </w:r>
    </w:p>
    <w:tbl>
      <w:tblPr>
        <w:tblW w:w="11711" w:type="dxa"/>
        <w:jc w:val="left"/>
        <w:tblInd w:w="0" w:type="dxa"/>
        <w:tblLayout w:type="fixed"/>
        <w:tblCellMar>
          <w:top w:w="28" w:type="dxa"/>
          <w:left w:w="28" w:type="dxa"/>
          <w:bottom w:w="28" w:type="dxa"/>
          <w:right w:w="28" w:type="dxa"/>
        </w:tblCellMar>
      </w:tblPr>
      <w:tblGrid>
        <w:gridCol w:w="1171"/>
        <w:gridCol w:w="146"/>
        <w:gridCol w:w="146"/>
        <w:gridCol w:w="916"/>
        <w:gridCol w:w="146"/>
        <w:gridCol w:w="146"/>
        <w:gridCol w:w="228"/>
        <w:gridCol w:w="403"/>
        <w:gridCol w:w="146"/>
        <w:gridCol w:w="146"/>
        <w:gridCol w:w="196"/>
        <w:gridCol w:w="826"/>
        <w:gridCol w:w="166"/>
        <w:gridCol w:w="146"/>
        <w:gridCol w:w="196"/>
        <w:gridCol w:w="826"/>
        <w:gridCol w:w="146"/>
        <w:gridCol w:w="146"/>
        <w:gridCol w:w="269"/>
        <w:gridCol w:w="827"/>
        <w:gridCol w:w="166"/>
        <w:gridCol w:w="146"/>
        <w:gridCol w:w="146"/>
        <w:gridCol w:w="976"/>
        <w:gridCol w:w="166"/>
        <w:gridCol w:w="146"/>
        <w:gridCol w:w="196"/>
        <w:gridCol w:w="886"/>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(in thousands, except share data)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83,337,586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(20,619,866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as part of convertible debt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purchased as part of publicly announced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gains on interest rate derivative contracts, net of related taxes of $2.6</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$0.7</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83,988,406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1,836,567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711" w:type="dxa"/>
        <w:jc w:val="left"/>
        <w:tblInd w:w="0" w:type="dxa"/>
        <w:tblLayout w:type="fixed"/>
        <w:tblCellMar>
          <w:top w:w="28" w:type="dxa"/>
          <w:left w:w="28" w:type="dxa"/>
          <w:bottom w:w="28" w:type="dxa"/>
          <w:right w:w="28" w:type="dxa"/>
        </w:tblCellMar>
      </w:tblPr>
      <w:tblGrid>
        <w:gridCol w:w="1171"/>
        <w:gridCol w:w="146"/>
        <w:gridCol w:w="146"/>
        <w:gridCol w:w="916"/>
        <w:gridCol w:w="146"/>
        <w:gridCol w:w="146"/>
        <w:gridCol w:w="228"/>
        <w:gridCol w:w="403"/>
        <w:gridCol w:w="146"/>
        <w:gridCol w:w="146"/>
        <w:gridCol w:w="196"/>
        <w:gridCol w:w="826"/>
        <w:gridCol w:w="166"/>
        <w:gridCol w:w="146"/>
        <w:gridCol w:w="196"/>
        <w:gridCol w:w="826"/>
        <w:gridCol w:w="146"/>
        <w:gridCol w:w="146"/>
        <w:gridCol w:w="250"/>
        <w:gridCol w:w="846"/>
        <w:gridCol w:w="166"/>
        <w:gridCol w:w="146"/>
        <w:gridCol w:w="146"/>
        <w:gridCol w:w="976"/>
        <w:gridCol w:w="166"/>
        <w:gridCol w:w="146"/>
        <w:gridCol w:w="196"/>
        <w:gridCol w:w="886"/>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(in thousands, except share data)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February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82,805,353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(19,520,968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as part of convertible debt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$0.6</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losses on interest rate derivative contracts, net of related taxes of $4.5</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83,149,208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2,262,157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1,588,536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(20,062,548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(2,525,514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1,352,197</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Lease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leases primarily consist of stores, distribution facilities and office space under operating and finance leases that will expire principally during the next 30 years. The leases typically include renewal options at five-year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schedule of the Company’s future lease payments:</w:t>
      </w:r>
    </w:p>
    <w:tbl>
      <w:tblPr>
        <w:tblW w:w="6869" w:type="dxa"/>
        <w:jc w:val="left"/>
        <w:tblInd w:w="0" w:type="dxa"/>
        <w:tblLayout w:type="fixed"/>
        <w:tblCellMar>
          <w:top w:w="28" w:type="dxa"/>
          <w:left w:w="28" w:type="dxa"/>
          <w:bottom w:w="28" w:type="dxa"/>
          <w:right w:w="28" w:type="dxa"/>
        </w:tblCellMar>
      </w:tblPr>
      <w:tblGrid>
        <w:gridCol w:w="3901"/>
        <w:gridCol w:w="146"/>
        <w:gridCol w:w="211"/>
        <w:gridCol w:w="991"/>
        <w:gridCol w:w="271"/>
        <w:gridCol w:w="146"/>
        <w:gridCol w:w="211"/>
        <w:gridCol w:w="676"/>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3,954,184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 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3,516,527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schedule excludes approximately $507.6 million for 89 stores and an additional floor at the Company’s New York buying office that the Company has committed to open or relocate but has not yet taken possession of the space. The discount rates used in valuing the Company’s leases are not readily determinable, and are based on the Company’s incremental borrowing rate on a fully collateralized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schedule of net lease costs for the periods indicated: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35" w:type="dxa"/>
        <w:jc w:val="left"/>
        <w:tblInd w:w="0" w:type="dxa"/>
        <w:tblLayout w:type="fixed"/>
        <w:tblCellMar>
          <w:top w:w="28" w:type="dxa"/>
          <w:left w:w="28" w:type="dxa"/>
          <w:bottom w:w="28" w:type="dxa"/>
          <w:right w:w="28" w:type="dxa"/>
        </w:tblCellMar>
      </w:tblPr>
      <w:tblGrid>
        <w:gridCol w:w="3526"/>
        <w:gridCol w:w="146"/>
        <w:gridCol w:w="217"/>
        <w:gridCol w:w="803"/>
        <w:gridCol w:w="166"/>
        <w:gridCol w:w="146"/>
        <w:gridCol w:w="217"/>
        <w:gridCol w:w="803"/>
        <w:gridCol w:w="4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asset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and leaseback transaction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 rental income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rent expense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in the line item “Depreciation and amortization” in the Company’s Condensed Consolidated Statements of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sz w:val="24"/>
        </w:rPr>
      </w:pPr>
      <w:r>
        <w:rPr>
          <w:rFonts w:ascii="Times New Roman" w:hAnsi="Times New Roman"/>
          <w:color w:val="000000"/>
          <w:sz w:val="20"/>
        </w:rPr>
        <w:t>Included in the line item “Interest expense” in the Company’s Condensed Consolidated Statements of Income.</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in the line item “Selling, general and administrative expenses” in the Company’s Condensed Consolidated Statements of Income. Variable lease cost is primarily comprised of real estate taxes, common area maintenance, insurance and percentage rent.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included in line item “Other income - net” in the Company’s Condensed Consolidated Statements of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sz w:val="24"/>
        </w:rPr>
      </w:pPr>
      <w:r>
        <w:rPr>
          <w:rFonts w:ascii="Times New Roman" w:hAnsi="Times New Roman"/>
          <w:color w:val="000000"/>
          <w:sz w:val="20"/>
        </w:rPr>
        <w:t>Included in the line item “Other revenue” in the Company’s Condensed Consolidated Statements of Income.</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Excludes an immaterial amount of short-term lease cost.</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Supplemental cash flow disclosures related to leases are as follows:</w:t>
      </w:r>
    </w:p>
    <w:tbl>
      <w:tblPr>
        <w:tblW w:w="8535" w:type="dxa"/>
        <w:jc w:val="left"/>
        <w:tblInd w:w="0" w:type="dxa"/>
        <w:tblLayout w:type="fixed"/>
        <w:tblCellMar>
          <w:top w:w="28" w:type="dxa"/>
          <w:left w:w="28" w:type="dxa"/>
          <w:bottom w:w="28" w:type="dxa"/>
          <w:right w:w="28" w:type="dxa"/>
        </w:tblCellMar>
      </w:tblPr>
      <w:tblGrid>
        <w:gridCol w:w="5866"/>
        <w:gridCol w:w="146"/>
        <w:gridCol w:w="217"/>
        <w:gridCol w:w="803"/>
        <w:gridCol w:w="146"/>
        <w:gridCol w:w="146"/>
        <w:gridCol w:w="217"/>
        <w:gridCol w:w="803"/>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arising from operating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for the principal portion of finance lease liabilities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for the interest portion of finance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within operating activities in the Company’s Condensed Consolidated Statements of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Included within financing activities in the Company’s Condensed Consolidated Statements of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Long 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 term debt consists of:</w:t>
      </w:r>
    </w:p>
    <w:tbl>
      <w:tblPr>
        <w:tblW w:w="10205" w:type="dxa"/>
        <w:jc w:val="left"/>
        <w:tblInd w:w="0" w:type="dxa"/>
        <w:tblLayout w:type="fixed"/>
        <w:tblCellMar>
          <w:top w:w="28" w:type="dxa"/>
          <w:left w:w="28" w:type="dxa"/>
          <w:bottom w:w="28" w:type="dxa"/>
          <w:right w:w="28" w:type="dxa"/>
        </w:tblCellMar>
      </w:tblPr>
      <w:tblGrid>
        <w:gridCol w:w="5798"/>
        <w:gridCol w:w="146"/>
        <w:gridCol w:w="211"/>
        <w:gridCol w:w="931"/>
        <w:gridCol w:w="166"/>
        <w:gridCol w:w="146"/>
        <w:gridCol w:w="211"/>
        <w:gridCol w:w="931"/>
        <w:gridCol w:w="166"/>
        <w:gridCol w:w="146"/>
        <w:gridCol w:w="211"/>
        <w:gridCol w:w="931"/>
        <w:gridCol w:w="211"/>
      </w:tblGrid>
      <w:tr>
        <w:trPr/>
        <w:tc>
          <w:tcPr>
            <w:tcW w:w="5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facility, adjusted SOFR (with a floor of 0.00%) plus 1.75%, matures on September 24,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1.25%, matures on December 15,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senior secured revolving facility, SOFR plus spread based on average outstanding balance, matures on July 25,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net of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the Company purchased 178 acres of land in Buckeye, AZ. As part of the consideration for this purchase, the Company entered into a promissory note with the seller for $50.6 million, which was included in the line item "Current maturities of long-term debt and other current debt" on the Consolidated Balance Sheet in the Fiscal 2025 10-K. The promissory note had a stated interest rate of zero percent and was repaid on the maturity date of February 9, 2026. The $50.6 million short-term promissory note is excluded from the balance as of January 31, 2026 in the table above.</w:t>
      </w:r>
    </w:p>
    <w:p>
      <w:pPr>
        <w:pStyle w:val="TextBody"/>
        <w:bidi w:val="0"/>
        <w:spacing w:before="160" w:after="283"/>
        <w:jc w:val="left"/>
        <w:rPr>
          <w:rFonts w:ascii="Times New Roman" w:hAnsi="Times New Roman"/>
          <w:sz w:val="20"/>
        </w:rPr>
      </w:pPr>
      <w:r>
        <w:rPr>
          <w:rFonts w:ascii="Times New Roman" w:hAnsi="Times New Roman"/>
          <w:i/>
          <w:color w:val="000000"/>
          <w:sz w:val="20"/>
        </w:rPr>
        <w:t>Term Loan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May 2, 2026 of $1,726.2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11, 2025, the Company entered into an amendment to the Term Loan Facility, which among other things, incurred $500.0 million of incremental term loans under the Term Loan Credit Agreement as additional Term B-7 Loans. The incremental term loans were issued with an original issue discount of 99.0 and are otherwise on terms identical to the existing Term B-7 Loans and are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May 2, 2026 and May 3, 2025, the interest rate related to the Term Loan Facility was 5.4% and 6.1%, respectively.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the Company issued its 2.25% Convertible Senior Notes due 2025 (the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12, 2023, the Company closed the issuance of approximately $297.1 million aggregate principal amount of its 1.25% Convertible Senior Notes due 2027 (the "2027 Convertible Notes" and, together with the 2025 Convertible Notes, the "Convertible Notes") pursuant to separate, privately negotiated exchange and subscription agreements with a limited number of holders of its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the Company issues a notice of redemption, and which is also subject to certain anti-dilution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the Company’s common stock), subject to adjustment if certain events occur. The initial conversion price represents a conversion premium of approximately 32.50% over $155.42 per share, the last reported sale price of the Company’s common stock on September 7, 2023 on The New York Stock Exchange. Upon conversion, the Company will pay cash for the aggregate principal amount of 2027 Convertible Notes being converted, and pay (and deliver, if applicable) cash, shares of the Company’s common stock or a combination thereof, at its election, in respect of the remainder (if any) of the Company’s conversion obligation in excess of such aggregate principal amount. The Company will not be able to redeem the 2027 Convertible Notes prior to December 20, 2025. On or after December 20, 2025 and prior to the 21st scheduled trading day immediately preceding December 15, 2027, the Company will be able to redeem for cash all or any portion of the 2027 Convertible Notes, at its option, if the last reported sale price of the Company’s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subject to certain conditions, holders of the 2027 Convertible Notes may require the Company to repurchase for cash all or any portion of their 2027 New Convertible Notes. The fundamental change repurchase price will be 100% of the aggregate principal amount of the 2027 Convertible Notes to be repurchased plus any accrued and unpaid interest to, but excluding, the fundamental change repurchase date. The effective interest rate is 1.7%.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Fiscal 2026, the Company entered into separate, privately negotiated exchange agreements with certain holders of the 2027 Convertible Notes. Under the terms of the Exchange Agreements, the holders agreed to exchange $111.0 million in aggregate principal amount of 2027 Convertible Notes held by them for a combination of an aggregate of $128.6 million in cash and 150,831 shares of the Company's common stock. These exchange transactions closed on March 19, 2026. The Company evaluated the accounting for this transaction under ASC 470</w:t>
        <w:noBreakHyphen/>
        <w:t>20, “Debt—Debt with Conversion and Other Options,” as amended by ASU 2024</w:t>
        <w:noBreakHyphen/>
        <w:t>04, “Clarifying the Accounting for Induced Conversions of Convertible Debt Instruments,” which was effective beginning in Fiscal 2026. These exchanges resulted in an inducement charge of $14.6 million, as well as legal and other transaction related fees of $0.7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the Company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3, 2025, the Company had $748.2 million available under the ABL Line of Credit and borrowings of $100.0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 2026, the Company had $942.1 million available under the ABL Line of Credit. There were no borrowings under the ABL Line of Credit during the three month period ended May 2, 2026.</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derivatives and hedging activities in accordance with ASC 815, “Derivatives and Hedging” (ASC 815). As required by ASC 815, the Company records all derivatives on the balance sheet at fair value and adjusts to market on a quarterly basis. In addition, to comply with the provisions of ASC 820, “Fair Value Measurements” (ASC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 In accordance with ASC 820, the Company made an accounting policy election to measure the credit risk of its derivative financial instruments that are subject to master netting agreements on a net basis by counterparty portfolio. The Company classifies its derivative valuations in Level 2 of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2024, the Company terminated the previous $450.0 million interest rate swap, and entered into a new interest rate swap in the notional amount of $500.0 million with a blended interest rate of 2.83%. On this same date, the Company also entered into a new interest rate swap for $300.0 million with an interest rate of 3.37%. These interest rate swap agreements are designated as cash flow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12, 2025, the Company entered into an interest rate swap agreement with a notional amount of $200.0 million and a fixed interest rate of 3.76%. On the same date, the Company also entered into an interest rate swap agreement with a notional amount of $100.0 million and a fixed interest rate of 3.73%. These interest rate swap agreements are designated as cash flow hedges.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2, 2026, the Company had the following outstanding interest rate derivatives that were designated as cash flow hedges of interest rate risk:</w:t>
      </w:r>
    </w:p>
    <w:p>
      <w:pPr>
        <w:pStyle w:val="TextBody"/>
        <w:bidi w:val="0"/>
        <w:spacing w:before="120" w:after="283"/>
        <w:jc w:val="left"/>
        <w:rPr/>
      </w:pPr>
      <w:r>
        <w:rPr/>
        <w:t> </w:t>
      </w:r>
    </w:p>
    <w:tbl>
      <w:tblPr>
        <w:tblW w:w="8689" w:type="dxa"/>
        <w:jc w:val="left"/>
        <w:tblInd w:w="0" w:type="dxa"/>
        <w:tblLayout w:type="fixed"/>
        <w:tblCellMar>
          <w:top w:w="28" w:type="dxa"/>
          <w:left w:w="28" w:type="dxa"/>
          <w:bottom w:w="28" w:type="dxa"/>
          <w:right w:w="28" w:type="dxa"/>
        </w:tblCellMar>
      </w:tblPr>
      <w:tblGrid>
        <w:gridCol w:w="2296"/>
        <w:gridCol w:w="146"/>
        <w:gridCol w:w="961"/>
        <w:gridCol w:w="146"/>
        <w:gridCol w:w="1591"/>
        <w:gridCol w:w="146"/>
        <w:gridCol w:w="1486"/>
        <w:gridCol w:w="146"/>
        <w:gridCol w:w="17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Notional Aggregate</w:t>
            </w:r>
            <w:r>
              <w:rPr>
                <w:rFonts w:ascii="Times New Roman" w:hAnsi="Times New Roman"/>
                <w:color w:val="000000"/>
                <w:sz w:val="16"/>
              </w:rPr>
              <w:t xml:space="preserve"> </w:t>
            </w:r>
            <w:r>
              <w:rPr>
                <w:rFonts w:ascii="sans-serif" w:hAnsi="sans-serif"/>
                <w:b/>
                <w:color w:val="000000"/>
                <w:sz w:val="16"/>
              </w:rPr>
              <w:br/>
            </w: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Swap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24, 2031</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Tabular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the fair value of the Company’s derivative financial instruments on a gross basis as well as their classification on the Company’s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1197"/>
        <w:gridCol w:w="211"/>
        <w:gridCol w:w="146"/>
        <w:gridCol w:w="676"/>
        <w:gridCol w:w="146"/>
        <w:gridCol w:w="146"/>
        <w:gridCol w:w="1197"/>
        <w:gridCol w:w="211"/>
        <w:gridCol w:w="146"/>
        <w:gridCol w:w="676"/>
        <w:gridCol w:w="146"/>
        <w:gridCol w:w="146"/>
        <w:gridCol w:w="1197"/>
        <w:gridCol w:w="211"/>
        <w:gridCol w:w="146"/>
        <w:gridCol w:w="676"/>
        <w:gridCol w:w="194"/>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Values of Derivative Instruments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unrealized gains and losses deferred to accumulated other comprehensive income resulting from the Company’s derivative financial instruments for each of the reporting periods: </w:t>
      </w:r>
    </w:p>
    <w:p>
      <w:pPr>
        <w:pStyle w:val="TextBody"/>
        <w:bidi w:val="0"/>
        <w:jc w:val="left"/>
        <w:rPr/>
      </w:pPr>
      <w:r>
        <w:rPr/>
        <w:t> </w:t>
      </w:r>
    </w:p>
    <w:tbl>
      <w:tblPr>
        <w:tblW w:w="5905" w:type="dxa"/>
        <w:jc w:val="left"/>
        <w:tblInd w:w="0" w:type="dxa"/>
        <w:tblLayout w:type="fixed"/>
        <w:tblCellMar>
          <w:top w:w="28" w:type="dxa"/>
          <w:left w:w="28" w:type="dxa"/>
          <w:bottom w:w="28" w:type="dxa"/>
          <w:right w:w="28" w:type="dxa"/>
        </w:tblCellMar>
      </w:tblPr>
      <w:tblGrid>
        <w:gridCol w:w="3196"/>
        <w:gridCol w:w="146"/>
        <w:gridCol w:w="255"/>
        <w:gridCol w:w="765"/>
        <w:gridCol w:w="166"/>
        <w:gridCol w:w="146"/>
        <w:gridCol w:w="227"/>
        <w:gridCol w:w="793"/>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about the reclassification of gains and losses from accumulated other comprehensive income into earnings related to the Company’s derivative instruments for each of the reporting periods:</w:t>
      </w:r>
    </w:p>
    <w:p>
      <w:pPr>
        <w:pStyle w:val="TextBody"/>
        <w:bidi w:val="0"/>
        <w:jc w:val="left"/>
        <w:rPr/>
      </w:pPr>
      <w:r>
        <w:rPr/>
        <w:t> </w:t>
      </w:r>
    </w:p>
    <w:tbl>
      <w:tblPr>
        <w:tblW w:w="5500" w:type="dxa"/>
        <w:jc w:val="left"/>
        <w:tblInd w:w="0" w:type="dxa"/>
        <w:tblLayout w:type="fixed"/>
        <w:tblCellMar>
          <w:top w:w="28" w:type="dxa"/>
          <w:left w:w="28" w:type="dxa"/>
          <w:bottom w:w="28" w:type="dxa"/>
          <w:right w:w="28" w:type="dxa"/>
        </w:tblCellMar>
      </w:tblPr>
      <w:tblGrid>
        <w:gridCol w:w="2791"/>
        <w:gridCol w:w="146"/>
        <w:gridCol w:w="255"/>
        <w:gridCol w:w="765"/>
        <w:gridCol w:w="166"/>
        <w:gridCol w:w="146"/>
        <w:gridCol w:w="255"/>
        <w:gridCol w:w="765"/>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 of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reclassification into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that approximately $10.6 million will be reclassified from accumulated other comprehensive income as a reduction to interest expense during the next twelve months.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fair value measurements in accordance with ASC 820, which defines fair value, establishes a framework for measurement and expands disclosure about fair value measurements. ASC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for identical assets or liabilities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Pricing inputs that are unobservable for the assets and liabilities and include situations where there is little, if any, market activity for the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inputs into the determination of fair value require significant management judgment or estimation.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cash equivalents, accounts receivable and accounts payable approximate fair value due to the short-term nature of these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5, “Derivative Instruments and Hedging Activities,” for further discussion regarding the fair value of the Company’s interest rate swap contracts.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of the Company’s financial assets and the hierarchy of the level of inputs as of May 2, 2026, January 31, 2026 and May 3, 2025 are summarized below: </w:t>
      </w:r>
    </w:p>
    <w:tbl>
      <w:tblPr>
        <w:tblW w:w="5453" w:type="dxa"/>
        <w:jc w:val="left"/>
        <w:tblInd w:w="0" w:type="dxa"/>
        <w:tblLayout w:type="fixed"/>
        <w:tblCellMar>
          <w:top w:w="28" w:type="dxa"/>
          <w:left w:w="28" w:type="dxa"/>
          <w:bottom w:w="28" w:type="dxa"/>
          <w:right w:w="28" w:type="dxa"/>
        </w:tblCellMar>
      </w:tblPr>
      <w:tblGrid>
        <w:gridCol w:w="1716"/>
        <w:gridCol w:w="146"/>
        <w:gridCol w:w="211"/>
        <w:gridCol w:w="781"/>
        <w:gridCol w:w="146"/>
        <w:gridCol w:w="146"/>
        <w:gridCol w:w="211"/>
        <w:gridCol w:w="781"/>
        <w:gridCol w:w="146"/>
        <w:gridCol w:w="146"/>
        <w:gridCol w:w="211"/>
        <w:gridCol w:w="42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Long-lived assets are measured at fair value on a non-recurring basis for purposes of calculating impairment using the fair value hierarchy of ASC 820. The fair value of the Company’s long-lived assets is calculated using a discounted cash-flow model that uses level 3 inputs. In calculating future cash flows, the Company makes estimates regarding future operating results and market rent rates, based on its experience and knowledge of market factors in which the retail location is located.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 were $0.8 million during the first quarter of Fiscal 2026, primarily related to impairment of assets held-for-sale at one store as well as unrecoverable assets at underperforming stores. Impairment charges on long-lived assets were $0.5 million during the first quarter of Fiscal 2025, related to unrecoverable assets at underperforming stores and relocating stores, as well as lease asset impairment charges related to one of those stores.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May 2, 2026 and the three month period ended May 3, 2025, the assets impaired had a remaining carrying value after impairments of $20.8 million and $15.0 million, respectively.</w:t>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Financial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liabilities are summarized below:</w:t>
      </w:r>
    </w:p>
    <w:tbl>
      <w:tblPr>
        <w:tblW w:w="10205" w:type="dxa"/>
        <w:jc w:val="left"/>
        <w:tblInd w:w="0" w:type="dxa"/>
        <w:tblLayout w:type="fixed"/>
        <w:tblCellMar>
          <w:top w:w="28" w:type="dxa"/>
          <w:left w:w="28" w:type="dxa"/>
          <w:bottom w:w="28" w:type="dxa"/>
          <w:right w:w="28" w:type="dxa"/>
        </w:tblCellMar>
      </w:tblPr>
      <w:tblGrid>
        <w:gridCol w:w="1556"/>
        <w:gridCol w:w="146"/>
        <w:gridCol w:w="211"/>
        <w:gridCol w:w="931"/>
        <w:gridCol w:w="146"/>
        <w:gridCol w:w="146"/>
        <w:gridCol w:w="211"/>
        <w:gridCol w:w="931"/>
        <w:gridCol w:w="146"/>
        <w:gridCol w:w="146"/>
        <w:gridCol w:w="211"/>
        <w:gridCol w:w="931"/>
        <w:gridCol w:w="146"/>
        <w:gridCol w:w="146"/>
        <w:gridCol w:w="211"/>
        <w:gridCol w:w="931"/>
        <w:gridCol w:w="146"/>
        <w:gridCol w:w="146"/>
        <w:gridCol w:w="211"/>
        <w:gridCol w:w="931"/>
        <w:gridCol w:w="146"/>
        <w:gridCol w:w="146"/>
        <w:gridCol w:w="211"/>
        <w:gridCol w:w="931"/>
        <w:gridCol w:w="1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Line of Credit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Company has any outstanding borrowings under the ABL Line of Credit, the fair value would approximate its reported value, because the interest rate is variable and reflects current market rates, due to its short term 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above excludes finance lease obligations, debt discount and deferred debt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presented herein are based on pertinent information available to management as of the respective period end dates. The estimated fair values of the Company’s debt are classified as Level 2 in the fair value hierarchy, and are based on current market quotes received from inactive markets.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$27.9 million during the first quarter of Fiscal 2026 compared with $32.0 million during the first quarter of Fiscal 2025. The effective tax rate for the first quarter of Fiscal 2026 was 19.6% compared with 24.1% during the first quarter of Fiscal 2025. The decrease in income tax expense and the lower tax rate was primarily attributable to the tax benefit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deferred taxes are as follows:</w:t>
      </w:r>
    </w:p>
    <w:tbl>
      <w:tblPr>
        <w:tblW w:w="6013" w:type="dxa"/>
        <w:jc w:val="left"/>
        <w:tblInd w:w="0" w:type="dxa"/>
        <w:tblLayout w:type="fixed"/>
        <w:tblCellMar>
          <w:top w:w="28" w:type="dxa"/>
          <w:left w:w="28" w:type="dxa"/>
          <w:bottom w:w="28" w:type="dxa"/>
          <w:right w:w="28" w:type="dxa"/>
        </w:tblCellMar>
      </w:tblPr>
      <w:tblGrid>
        <w:gridCol w:w="2116"/>
        <w:gridCol w:w="146"/>
        <w:gridCol w:w="211"/>
        <w:gridCol w:w="781"/>
        <w:gridCol w:w="146"/>
        <w:gridCol w:w="146"/>
        <w:gridCol w:w="211"/>
        <w:gridCol w:w="781"/>
        <w:gridCol w:w="146"/>
        <w:gridCol w:w="146"/>
        <w:gridCol w:w="211"/>
        <w:gridCol w:w="78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deferred tax assets relate to Puerto Rico deferred balances that have a future net benefit for tax purposes. Net deferred tax liabilities primarily relate to intangible assets and depreciation expense where the Company has a future obligation for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May 2, 2026, the Company had a $3.1 million deferred tax asset related to net operating losses, which relates to state net operating losses that expire at various dates between 2036 and 2040.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May 2, 2026, the Company has tax credit carry-forwards totaling $9.8 million, inclusive of $9.5 million in foreign tax credits which will begin to expire in Fiscal 2033 and $0.3 million of state tax credit carry-forwards that have an indefinite life.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May 2, 2026, January 31, 2026 and May 3, 2025, valuation allowances totaled $9.6 million, $8.4 million and $9.3 million, respectively. These valuation allowances relate to foreign tax credit carry-forwards and state tax credit carry-forwards. The Company believes it is more likely than not that this portion of the deferred tax assets will not be realized.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treasury stock under the cost method.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Used to Satisfy Tax 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 period ended May 2, 2026, the Company acquired 168,428 shares of common stock from employees for approximately $53.5 million to satisfy their minimum statutory tax withholdings related to the vesting of restricted stock unit awards, which was recorded in the line item “Treasury stock, at cost” on the Company’s Condensed Consolidated Balance Sheets, and the line item “Purchase of treasury shares” on the Company’s Condensed Consolidated Statements of Cash Flows.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 2025, the Company's Board of Directors authorized the repurchase of up to an additional $500.0 million of common stock, which is authorized to be executed through May 20,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 period ended May 2, 2026, the Company repurchased 257,906 shares of common stock for $80.8 million under its repurchase programs, which was recorded in the line item “Treasury stock, at cost” on the Company’s Condensed Consolidated Balance Sheets, and the line item “Purchase of treasury shares” on the Company’s Condensed Consolidated Statements of Cash Flows. As of May 2, 2026, the Company had $304.2 million remaining under its share repurchase authorizations.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calculated by dividing net income by the weighted-average number of common shares outstanding. Diluted net income per share is calculated by dividing net income by the weighted-average number of common shares and potentially dilutive securities outstanding during the period using the treasury stock method for the Company’s stock option and restricted stock unit awards, and the if-converted method for the Convertible Notes. The following table presents the computation of basic and diluted net income per share:</w:t>
      </w:r>
    </w:p>
    <w:p>
      <w:pPr>
        <w:pStyle w:val="TextBody"/>
        <w:bidi w:val="0"/>
        <w:jc w:val="left"/>
        <w:rPr/>
      </w:pPr>
      <w:r>
        <w:rPr/>
        <w:t> </w:t>
      </w:r>
    </w:p>
    <w:tbl>
      <w:tblPr>
        <w:tblW w:w="8821" w:type="dxa"/>
        <w:jc w:val="left"/>
        <w:tblInd w:w="0" w:type="dxa"/>
        <w:tblLayout w:type="fixed"/>
        <w:tblCellMar>
          <w:top w:w="28" w:type="dxa"/>
          <w:left w:w="28" w:type="dxa"/>
          <w:bottom w:w="28" w:type="dxa"/>
          <w:right w:w="28" w:type="dxa"/>
        </w:tblCellMar>
      </w:tblPr>
      <w:tblGrid>
        <w:gridCol w:w="5586"/>
        <w:gridCol w:w="146"/>
        <w:gridCol w:w="250"/>
        <w:gridCol w:w="926"/>
        <w:gridCol w:w="173"/>
        <w:gridCol w:w="173"/>
        <w:gridCol w:w="250"/>
        <w:gridCol w:w="926"/>
        <w:gridCol w:w="39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 except per share data)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 basic and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exercise of stock options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conversion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Approximately 103,000 shares of the Company’s stock-based compensation grants were excluded from diluted net income per share for the three month period ended May 2, 2026, since their effect was anti-dilutive.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Approximately 208,000 shares related to the Company’s stock-based compensation grants were excluded from diluted net income per share for the three month period ended May 3, 2025, since their effect was anti-dilutive.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Stock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2, 2026, there were 5,109,752 shares of common stock available for issuance under the 2022 Omnibus Incentive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stock compensation expense is as follows:</w:t>
      </w:r>
    </w:p>
    <w:tbl>
      <w:tblPr>
        <w:tblW w:w="5374" w:type="dxa"/>
        <w:jc w:val="left"/>
        <w:tblInd w:w="0" w:type="dxa"/>
        <w:tblLayout w:type="fixed"/>
        <w:tblCellMar>
          <w:top w:w="28" w:type="dxa"/>
          <w:left w:w="28" w:type="dxa"/>
          <w:bottom w:w="28" w:type="dxa"/>
          <w:right w:w="28" w:type="dxa"/>
        </w:tblCellMar>
      </w:tblPr>
      <w:tblGrid>
        <w:gridCol w:w="2971"/>
        <w:gridCol w:w="146"/>
        <w:gridCol w:w="211"/>
        <w:gridCol w:w="676"/>
        <w:gridCol w:w="146"/>
        <w:gridCol w:w="146"/>
        <w:gridCol w:w="211"/>
        <w:gridCol w:w="67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Non-Cash Stock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grants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line item “Selling, general and administrative expenses” in the Company’s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presented in the table above exclude taxes. For the three month periods ended May 2, 2026 and May 3, 2025, the tax benefit related to the Company’s non-cash stock compensation was approximately $7.2 million and $4.2 million,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 transactions during the three month period ended May 2, 2026 are summarized as follows:</w:t>
      </w:r>
    </w:p>
    <w:tbl>
      <w:tblPr>
        <w:tblW w:w="6084" w:type="dxa"/>
        <w:jc w:val="left"/>
        <w:tblInd w:w="0" w:type="dxa"/>
        <w:tblLayout w:type="fixed"/>
        <w:tblCellMar>
          <w:top w:w="28" w:type="dxa"/>
          <w:left w:w="28" w:type="dxa"/>
          <w:bottom w:w="28" w:type="dxa"/>
          <w:right w:w="28" w:type="dxa"/>
        </w:tblCellMar>
      </w:tblPr>
      <w:tblGrid>
        <w:gridCol w:w="3271"/>
        <w:gridCol w:w="146"/>
        <w:gridCol w:w="146"/>
        <w:gridCol w:w="931"/>
        <w:gridCol w:w="166"/>
        <w:gridCol w:w="146"/>
        <w:gridCol w:w="211"/>
        <w:gridCol w:w="676"/>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exercised during the three month period ended May 2, 2026 had a total intrinsic value of $8.3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the stock options vested and expected to vest during the contractual term of such options as of May 2, 2026:</w:t>
      </w:r>
    </w:p>
    <w:tbl>
      <w:tblPr>
        <w:tblW w:w="8174"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285"/>
        <w:gridCol w:w="706"/>
        <w:gridCol w:w="146"/>
        <w:gridCol w:w="146"/>
        <w:gridCol w:w="211"/>
        <w:gridCol w:w="676"/>
        <w:gridCol w:w="146"/>
        <w:gridCol w:w="146"/>
        <w:gridCol w:w="259"/>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w:t>
              <w:br/>
              <w:t xml:space="preserve">Value </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 transactions during the three month period ended May 2, 2026 are summarized as follows:</w:t>
      </w:r>
    </w:p>
    <w:tbl>
      <w:tblPr>
        <w:tblW w:w="7007" w:type="dxa"/>
        <w:jc w:val="left"/>
        <w:tblInd w:w="0" w:type="dxa"/>
        <w:tblLayout w:type="fixed"/>
        <w:tblCellMar>
          <w:top w:w="28" w:type="dxa"/>
          <w:left w:w="28" w:type="dxa"/>
          <w:bottom w:w="28" w:type="dxa"/>
          <w:right w:w="28" w:type="dxa"/>
        </w:tblCellMar>
      </w:tblPr>
      <w:tblGrid>
        <w:gridCol w:w="4156"/>
        <w:gridCol w:w="146"/>
        <w:gridCol w:w="146"/>
        <w:gridCol w:w="841"/>
        <w:gridCol w:w="166"/>
        <w:gridCol w:w="146"/>
        <w:gridCol w:w="289"/>
        <w:gridCol w:w="92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 vested during the three month period ended May 2, 2026 had a total intrinsic value of $75.2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share of restricted stock granted during the three month period ended May 2, 2026 was based upon the closing price of the Company’s common stock on the grant date.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grants performance-based restricted stock units to its senior executives. Vesting of the performance stock units are based on continued service and the achievement of specified pre-established adjusted net income per share growth over a three-year performance period, as applicable for each grant. Based on the Company’s achievement of these goals, each award may be earned up to 200% of the target award. In the event that actual performance is below threshold, no award will be made. Compensation costs recognized on the performance stock units are adjusted, as applicable, for performance above or below the target specified in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stock unit transactions during the three month period ended May 2, 2026 are summarized as follows:</w:t>
      </w:r>
    </w:p>
    <w:p>
      <w:pPr>
        <w:pStyle w:val="TextBody"/>
        <w:bidi w:val="0"/>
        <w:spacing w:before="120" w:after="283"/>
        <w:jc w:val="left"/>
        <w:rPr/>
      </w:pPr>
      <w:r>
        <w:rPr/>
        <w:t> </w:t>
      </w:r>
    </w:p>
    <w:tbl>
      <w:tblPr>
        <w:tblW w:w="7007" w:type="dxa"/>
        <w:jc w:val="left"/>
        <w:tblInd w:w="0" w:type="dxa"/>
        <w:tblLayout w:type="fixed"/>
        <w:tblCellMar>
          <w:top w:w="28" w:type="dxa"/>
          <w:left w:w="28" w:type="dxa"/>
          <w:bottom w:w="28" w:type="dxa"/>
          <w:right w:w="28" w:type="dxa"/>
        </w:tblCellMar>
      </w:tblPr>
      <w:tblGrid>
        <w:gridCol w:w="4156"/>
        <w:gridCol w:w="146"/>
        <w:gridCol w:w="146"/>
        <w:gridCol w:w="841"/>
        <w:gridCol w:w="166"/>
        <w:gridCol w:w="146"/>
        <w:gridCol w:w="289"/>
        <w:gridCol w:w="92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stock awards vested during the three month period ended May 2, 2026 had a total intrinsic value of $64.0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letters of credit arrangements with various banks in the aggregate amount of $57.9 million, $50.4 million and $51.8 million as of May 2, 2026, January 31, 2026 and May 3, 2025, respectively. Among these arrangements, as of May 2, 2026, January 31, 2026 and May 3, 2025, the Company had letters of credit outstanding in the amount of $57.9 million, $49.8 and $51.8 million, respectively, guaranteeing performance under various lease agreements, insurance contracts, and utility agreements. In addition, the Company had no outstanding letters of credit arrangements related to certain merchandising agreements as of May 2, 2026, and $0.5 million and less than $0.1 million as of January 31, 2026 and May 3, 2025, respectively. Based on the terms of the agreement governing the ABL Line of Credit, the Company had the ability to enter into letters of credit up to $142.1 million, $149.6 million and $148.2 million as of May 2, 2026, January 31, 2026 and May 3,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$2,241.5 million of purchase commitments related to goods that were not received as of May 2,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Tariff Refunds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2026, the U.S. Supreme Court issued a ruling limiting the authority to impose tariffs under the International Emergency Economic Powers Act (“IEEPA”), creating uncertainty regarding the potential recovery of tariffs previously assessed under that statute. In April, US Customs launched a system to allow importers of record to file IEEPA tariff refunds. The Company has filed claims to seek recovery of such tariffs; however, the availability, timing, and amount of any refunds remain uncertain and depend on further legal, regulatory, and administrative actions.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spacing w:before="24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summarizes the significant factors affecting our condensed consolidated operating results, financial condition, liquidity and cash flows as of and for the periods presented below. The following discussion and analysis should be read in conjunction with the Condensed Consolidated Financial Statements and notes thereto included elsewhere in this report and the Consolidated Financial Statements and notes thereto in our Annual Report on Form 10-K for the fiscal year ended January 31, 2026 (Fiscal 2025 10-K).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information, this discussion and analysis contains forward-looking statements based on current expectations that involve risks, uncertainties and assumptions, such as our plans, objectives, expectations and intentions. Our actual results or other events may differ materially from those anticipated in these forward-looking statements due to various factors, including those discussed under the section of this Item 2 entitled “Safe Harbor Statement.”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nationally recognized off-price retailer of high-quality, branded merchandise at everyday low prices. We opened our first store in Burlington, New Jersey in 1972, selling primarily coats and outerwear. Since then, we have expanded our store base to 1,242 stores as of May 2, 2026 in 47 states, Washington D.C. and Puerto Rico. We have diversified our product categories by offering an extensive selection of in-season, high-quality branded merchandise at up to 60% off other retailers’ prices, including: fashion-focused women’s apparel, menswear, youth apparel, baby, beauty, footwear, accessories, home, toys, gifts and coats.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Fiscal Year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Fiscal 2026 is defined as the 52-week year ended January 30, 2027. Fiscal 2025 is defined as the 52-week year ending January 31, 2026. The first quarters of Fiscal 2026 and Fiscal 2025 each consist of 13 weeks.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Store Openings, Closings, and Relocations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 period ended May 2, 2026, we opened 40 new stores, inclusive of six relocations, and permanently closed four stores, exclusive of the aforementioned relocations, bringing our store count as of May 2, 2026 to 1,242 stores.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Ongoing Initiatives for Fiscal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focus on several ongoing strategic initiatives aimed at operating with flexibility, responsiveness, and efficiency in everything we do, while delivering great value to our customers through continued improvement in the execution of our off-price model. These initiatives are outlined below.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Merchandising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merchandising strategy is centered on delivering compelling value while remaining responsive to evolving customer preferences. Key initiatives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focusing on fashion, quality, brand, and price to inform our buying decisions and provide customers with outstanding value on their purchases;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delivering remarkable value every day with speed and agility through a culture of customer focus and continuous learning and innovation;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enabling buyers to spend more time in the market and take data-driven actions informed by current trends and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off-price principles of opportunistic buying and in-season purchasing to more effectively chase the sales trend;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capabilities to localize the assortment by region and store;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continuing to grow our merchandising talent base.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remain focused on delivering a neat, clean, easy-to-shop, organized, and consistent shopping experience for our customers while maintaining disciplined cost and inventory controls. Key initiatives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redesigning our stores with new interior layouts, signage and fixtures to better highlight our selection of trend-right, branded merchandise, and create an inviting environment for customers that accentuates the thrill of the treasure hunt;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reducing shortage by identifying risks and implementing innovative physical security solutions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getting fresh receipts out to the sales floor rapidly and efficiently.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Real Estate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selectively expand our store footprint in attractive locations to support long-term growth. Key initiatives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opening at least 100 net new stores per year and striving to exceed that, which we believe will allow us to operate 2,000 stores over the long-term;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prioritizing 25,000 square foot stores located in busy, convenient strip malls;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downsizing select existing stores to incorporate our new store designs and reduce occupancy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invest in supply chain capabilities to support growth and improve operational efficiency. Key initiatives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driving cost savings through speed, flexibility, and efficiency in distribution and transportation;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modernizing our supply chain network with flexible and efficient distribution centers purpose-built to execute our off-price business model.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marketing efforts are focused on building a strong and renewed reputation with consumers. Key initiatives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communicating a strong value message to new and existing shoppers;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advertising that drives traffic to our stores.</w:t>
      </w:r>
    </w:p>
    <w:p>
      <w:pPr>
        <w:pStyle w:val="TextBody"/>
        <w:bidi w:val="0"/>
        <w:spacing w:before="360" w:after="283"/>
        <w:jc w:val="left"/>
        <w:rPr>
          <w:rFonts w:ascii="Times New Roman" w:hAnsi="Times New Roman"/>
          <w:sz w:val="20"/>
        </w:rPr>
      </w:pPr>
      <w:r>
        <w:rPr>
          <w:rFonts w:ascii="Times New Roman" w:hAnsi="Times New Roman"/>
          <w:b/>
          <w:i/>
          <w:color w:val="000000"/>
          <w:sz w:val="20"/>
        </w:rPr>
        <w:t>Uncertainties and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strive to increase profitability, there are uncertainties and challenges that we face that could have a material impact on our revenues or income. Some of these uncertainties and challenges are summarized below. For a further discussion, please refer to the description under the heading “Risk Factors” in the Fiscal 2025 10-K and in Part II, Item 1A below.</w:t>
      </w:r>
    </w:p>
    <w:p>
      <w:pPr>
        <w:pStyle w:val="TextBody"/>
        <w:bidi w:val="0"/>
        <w:spacing w:before="120" w:after="283"/>
        <w:jc w:val="left"/>
        <w:rPr>
          <w:rFonts w:ascii="Times New Roman" w:hAnsi="Times New Roman"/>
          <w:sz w:val="20"/>
        </w:rPr>
      </w:pPr>
      <w:r>
        <w:rPr>
          <w:rFonts w:ascii="Times New Roman" w:hAnsi="Times New Roman"/>
          <w:i/>
          <w:color w:val="000000"/>
          <w:sz w:val="20"/>
        </w:rPr>
        <w:t>General Economic Conditions</w:t>
      </w:r>
      <w:r>
        <w:rPr>
          <w:rFonts w:ascii="Times New Roman" w:hAnsi="Times New Roman"/>
          <w:color w:val="000000"/>
          <w:sz w:val="20"/>
        </w:rPr>
        <w:t>. There remains a high level of uncertainty in the current macroeconomic and geopolitical environments, and prolonged inflationary pressures could continue to negatively impact the discretionary spending of the low-income shopper, our core customer. In addition to inflation, consumer spending habits, including spending for the merchandise that we sell, are affected by, among other things, prevailing global economic conditions, the costs of basic necessities and other goods, levels of employment, salaries and wage rates, prevailing interest rates, reductions in government benefits and lower tax refunds, housing and food costs, energy and fuel costs, commodities pricing, income tax rates and policies, immigration policies, consumer confidence and consumer perception of economic conditions. In addition, consumer purchasing patterns are generally influenced by consumers’ disposable income, credit availability and debt levels.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broad, protracted slowdown or downturn in the U.S. economy, an extended period of high unemployment or inflation rates, an uncertain domestic or global economic outlook or a financial crisis could adversely affect consumer spending habits resulting in lower net sales and profits than expected on a quarterly or annual basis. Conversely, if inflation declines, it could benefit our core customers who have been impacted by higher cost of living, and if economic growth slows, it could cause moderate and higher-income shoppers to become more value conscious. Either of these developments, if they occur, would be expected to improve our business. Consumer confidence is also affected by the domestic and international political situation. Our financial condition and operations could be impacted by changes in government regulations, initiatives or programs in areas including, but not limited to, trade and tariffs, taxes, healthcare, and immigration. In addition, trade and tariff regulations have had and are expected to continue to have an indirect impact on consumer prices. We will continue to monitor changes in tariff policy and the impact of these changes on our industry and the economy and seek to adjust to these changes as efficiently as possible. The outbreak or escalation of war, or the occurrence of terrorist acts or other hostilities in or affecting the U.S., or public health issues such as pandemics or epidemics, could lead to a decrease in spending by consumers. In addition, natural disasters, public health issues, industrial accidents and acts of war or conflicts in various parts of the world (such as the conflict in Ukraine or the conflict in the Middle East), could have the effect of disrupting supplies and raising prices globally which, in turn, may have adverse effects on the world and U.S. economies and lead to a downturn in consumer confidence and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2026, the U.S. Supreme Court issued a ruling limiting the authority to impose tariffs under the International Emergency Economic Powers Act (“IEEPA”), creating uncertainty regarding the potential recovery of tariffs previously assessed under that statute. In April, US Customs launched a system to allow importers of record to file IEEPA tariff refunds. We have filed claims to seek recovery of such tariffs; however, the availability, timing, and amount of any refunds remain uncertain and depend on further legal, regulatory, and administrative actions.</w:t>
      </w:r>
    </w:p>
    <w:p>
      <w:pPr>
        <w:pStyle w:val="TextBody"/>
        <w:bidi w:val="0"/>
        <w:spacing w:before="240" w:after="283"/>
        <w:jc w:val="left"/>
        <w:rPr>
          <w:rFonts w:ascii="Times New Roman" w:hAnsi="Times New Roman"/>
          <w:sz w:val="20"/>
        </w:rPr>
      </w:pPr>
      <w:r>
        <w:rPr>
          <w:rFonts w:ascii="Times New Roman" w:hAnsi="Times New Roman"/>
          <w:i/>
          <w:color w:val="000000"/>
          <w:sz w:val="20"/>
        </w:rPr>
        <w:t>Seasonality of Sales and Weather Conditions</w:t>
      </w:r>
      <w:r>
        <w:rPr>
          <w:rFonts w:ascii="Times New Roman" w:hAnsi="Times New Roman"/>
          <w:color w:val="000000"/>
          <w:sz w:val="20"/>
        </w:rPr>
        <w:t>. Our business, like that of most retailers, is subject to seasonal influences. In the second half of the year, which includes the back-to-school and holiday seasons, we generally realize a higher level of sales and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continues to be a contributing factor to the sale of our merchandise. Generally, our sales are higher if the weather is cold during the Fall and warm during the early Spring. Sales of cold weather clothing are generally increased by early cold weather during the Fall, while sales of warm weather clothing are generally increased by early warm weather conditions in the Spring. Although we have diversified our product offerings, we believe traffic to our stores is still driven, in part, by weather patterns.</w:t>
      </w:r>
    </w:p>
    <w:p>
      <w:pPr>
        <w:pStyle w:val="TextBody"/>
        <w:bidi w:val="0"/>
        <w:spacing w:before="240" w:after="283"/>
        <w:jc w:val="left"/>
        <w:rPr>
          <w:rFonts w:ascii="Times New Roman" w:hAnsi="Times New Roman"/>
          <w:sz w:val="20"/>
        </w:rPr>
      </w:pPr>
      <w:r>
        <w:rPr>
          <w:rFonts w:ascii="Times New Roman" w:hAnsi="Times New Roman"/>
          <w:i/>
          <w:color w:val="000000"/>
          <w:sz w:val="20"/>
        </w:rPr>
        <w:t>Competition and Margin Pressure.</w:t>
      </w:r>
      <w:r>
        <w:rPr>
          <w:rFonts w:ascii="Times New Roman" w:hAnsi="Times New Roman"/>
          <w:color w:val="000000"/>
          <w:sz w:val="20"/>
        </w:rPr>
        <w:t xml:space="preserve"> We believe that in order to remain competitive with retailers, including off-price retailers and discount stores, we must continue to offer brand-name merchandise at a discount to prices offered by other retailers as well as an assortment of merchandise that is appealing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industry continues to face increased pressure on margins as overall challenging retail conditions have led consumers to be more value conscious. Additionally, lower-to-moderate income shoppers continue to face economic pressure due to higher cost of living. Our strategy to chase the sales trend allows us the flexibility to purchase less pre-season merchandise with the balance purchased in-season and opportunistically. It also provides us with the flexibility to shift purchases between suppliers and categories. We believe that this enables us to obtain better terms with our suppliers, which we expect will help offset any rising costs of goods.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and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numerous factors in assessing our performance. Key performance and non-GAAP measures used by management include net income, Adjusted Net Income, Adjusted EBITDA, Adjusted EBIT, comparable store sales, gross margin, inventory, and liquidity.</w:t>
      </w:r>
    </w:p>
    <w:p>
      <w:pPr>
        <w:pStyle w:val="TextBody"/>
        <w:bidi w:val="0"/>
        <w:spacing w:before="120" w:after="283"/>
        <w:jc w:val="left"/>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We earned net income of $114.7 million during the three month period ended May 2, 2026 compared with net income of $100.8 million during the three month period ended May 3, 2025. This increase was primarily driven by higher sales, as well as increased gross margin rate. Refer to the section below entitled “Results of Operations” for further explanation.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Adjusted Net Income, Adjusted EBITDA and Adjusted EBIT</w:t>
      </w:r>
      <w:r>
        <w:rPr>
          <w:rFonts w:ascii="Times New Roman" w:hAnsi="Times New Roman"/>
          <w:color w:val="000000"/>
          <w:sz w:val="20"/>
        </w:rPr>
        <w:t>: Adjusted Net Income, Adjusted EBITDA and Adjusted EBIT are non-GAAP financial measures of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Net Income as net income, exclusive of the following items, if applicable: (i) net favorable lease costs; (ii) costs related to debt amendments and inducement charges; (iii) impairment charges; (iv) amounts related to certain litigation matters; and (v) other unusual or non-recurring expenses, losses, charges or gains, all of which are tax effected to arrive at Adjusted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EBITDA as net income, exclusive of the following items, if applicable: (i) interest expense; (ii) interest income; (iii) costs related to debt amendments and inducement charges; (iv) income tax expense; (v) depreciation and amortization; (vi) net favorable lease costs; (vii) impairment charges; (viii) amounts related to certain litigation matters; and (ix) other unusual or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 as net income, exclusive of the following items, if applicable: (i) interest expense; (ii) interest income; (iii) costs related to debt amendments and inducement charges; (iv) income tax expense; (v) impairment charges; (vi) net favorable lease costs; (vii) amounts related to certain litigation matters; and (viii) other unusual or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these non-GAAP measures provide investors helpful information with respect to our operations and financial condition. Other companies in the retail industry may calculate these non-GAAP measures differently such that our calculation may not be directly comparable.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debt amendments and inducement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or extraordinary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May 2, 2026, Adjusted Net Income increased $26.3 million to $128.9 million compared to the same period in the prior year. These increases were primarily driven by higher sales, as well as increased gross margin rate. Refer to the section below entitled “Results of Operations” for further explanation.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Net Income for the three months ended May 2, 2026 compared with the three months ended May 3, 2025:</w:t>
      </w:r>
    </w:p>
    <w:tbl>
      <w:tblPr>
        <w:tblW w:w="8484" w:type="dxa"/>
        <w:jc w:val="left"/>
        <w:tblInd w:w="0" w:type="dxa"/>
        <w:tblLayout w:type="fixed"/>
        <w:tblCellMar>
          <w:top w:w="28" w:type="dxa"/>
          <w:left w:w="28" w:type="dxa"/>
          <w:bottom w:w="28" w:type="dxa"/>
          <w:right w:w="28" w:type="dxa"/>
        </w:tblCellMar>
      </w:tblPr>
      <w:tblGrid>
        <w:gridCol w:w="5331"/>
        <w:gridCol w:w="246"/>
        <w:gridCol w:w="211"/>
        <w:gridCol w:w="781"/>
        <w:gridCol w:w="266"/>
        <w:gridCol w:w="246"/>
        <w:gridCol w:w="211"/>
        <w:gridCol w:w="781"/>
        <w:gridCol w:w="411"/>
      </w:tblGrid>
      <w:tr>
        <w:trPr/>
        <w:tc>
          <w:tcPr>
            <w:tcW w:w="5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i/>
                <w:color w:val="000000"/>
                <w:sz w:val="16"/>
              </w:rPr>
              <w:t>(in</w:t>
            </w:r>
            <w:r>
              <w:rPr>
                <w:rFonts w:ascii="Times New Roman" w:hAnsi="Times New Roman"/>
                <w:color w:val="000000"/>
                <w:sz w:val="16"/>
              </w:rPr>
              <w:t xml:space="preserve"> </w:t>
            </w:r>
            <w:r>
              <w:rPr>
                <w:rFonts w:ascii="Times New Roman" w:hAnsi="Times New Roman"/>
                <w:b/>
                <w:i/>
                <w:color w:val="000000"/>
                <w:sz w:val="16"/>
              </w:rPr>
              <w:t>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 (b)</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April 13, 2006 Bain Capital acquisition of Burlington Coat Factory Warehouse Corporation (the Merger Transaction). These expenses are recorded in the line item “Selling, general and administrative expenses” in our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2026 amount represents an inducement charge related to the Company's exchange of certain of the 2027 Convertible Notes during the first quarter of Fiscal 2026. Fiscal 2025 amount relates to the settlement of the 2025 Convertible Notes during the first quarter of Fiscal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Relates to the final settlements and amounts charged for certain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effect is calculated based on the effective tax rates (before discrete items) for the respective periods, adjusted for the tax effect for the impact of the reconciling items listed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 and Adjusted EBITDA have limitations as analytical tools, and should not be considered either in isolation or as a substitute for net income or other data prepared in accordance with GAAP. Among other limitations, Adjusted EBIT does not reflect: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interest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debt amendments and inducement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or extraordinary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further adjusted for depreciation and amortization. Although depreciation and amortization are non-cash charges, the assets being depreciated and amortized will likely have to be replaced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May 2, 2026, Adjusted EBIT increased $25.4 million to $171.7 million compared to the same period in the prior year. During the three months ended May 2, 2026, Adjusted EBITDA increased $38.2 million to $276.3 million compared to the same period in the prior year. These increases were primarily driven by higher sales, as well as increased gross margin rate. Refer to the section below entitled “Results of Operations” for further explanation.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EBIT and Adjusted EBITDA for the three months ended May 2, 2026 compared with the three months ended May 3, 2025:</w:t>
      </w:r>
    </w:p>
    <w:tbl>
      <w:tblPr>
        <w:tblW w:w="9250" w:type="dxa"/>
        <w:jc w:val="left"/>
        <w:tblInd w:w="0" w:type="dxa"/>
        <w:tblLayout w:type="fixed"/>
        <w:tblCellMar>
          <w:top w:w="28" w:type="dxa"/>
          <w:left w:w="28" w:type="dxa"/>
          <w:bottom w:w="28" w:type="dxa"/>
          <w:right w:w="28" w:type="dxa"/>
        </w:tblCellMar>
      </w:tblPr>
      <w:tblGrid>
        <w:gridCol w:w="5971"/>
        <w:gridCol w:w="246"/>
        <w:gridCol w:w="211"/>
        <w:gridCol w:w="781"/>
        <w:gridCol w:w="166"/>
        <w:gridCol w:w="246"/>
        <w:gridCol w:w="211"/>
        <w:gridCol w:w="781"/>
        <w:gridCol w:w="246"/>
        <w:gridCol w:w="391"/>
      </w:tblGrid>
      <w:tr>
        <w:trPr/>
        <w:tc>
          <w:tcPr>
            <w:tcW w:w="5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EBIT and 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91,783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Merger Transaction. These expenses are recorded in the line item “Selling, general and administrative expenses” in our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2026 amount represents an inducement charge related to the Company's exchange of certain of the 2027 Convertible Notes during the first quarter of Fiscal 2026. Fiscal 2025 amount relates to the settlement of the 2025 Convertible Notes during the first quarter of Fiscal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Relates to the final settlements and amounts charged for certain litigation matters.</w:t>
      </w:r>
    </w:p>
    <w:p>
      <w:pPr>
        <w:pStyle w:val="TextBody"/>
        <w:bidi w:val="0"/>
        <w:spacing w:before="240" w:after="283"/>
        <w:jc w:val="left"/>
        <w:rPr>
          <w:rFonts w:ascii="Times New Roman" w:hAnsi="Times New Roman"/>
          <w:sz w:val="20"/>
        </w:rPr>
      </w:pPr>
      <w:r>
        <w:rPr>
          <w:rFonts w:ascii="Times New Roman" w:hAnsi="Times New Roman"/>
          <w:i/>
          <w:color w:val="000000"/>
          <w:sz w:val="20"/>
        </w:rPr>
        <w:t>Comparable Store Sales.</w:t>
      </w:r>
      <w:r>
        <w:rPr>
          <w:rFonts w:ascii="Times New Roman" w:hAnsi="Times New Roman"/>
          <w:color w:val="000000"/>
          <w:sz w:val="20"/>
        </w:rPr>
        <w:t xml:space="preserve"> Comparable store sales measure performance of a store during the current reporting period against the performance of the same store in the corresponding period of a prior year. The method of calculating comparable store sales varies across the retail industry. As a result, our definition of comparable store sales may differ from other retailers.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comparable store sales as merchandise sales of those stores commencing on the first day of the fiscal month one year after the end of their grand opening activities, which normally conclude within the first two months of operations. If a store is closed for a specified period of time during a month, the store is removed from our calculation of comparable store sales for any such month, as well as during the month(s) of their grand re-opening activities. The change in our comparable store sales was as follows:</w:t>
      </w:r>
    </w:p>
    <w:tbl>
      <w:tblPr>
        <w:tblW w:w="2953" w:type="dxa"/>
        <w:jc w:val="left"/>
        <w:tblInd w:w="0" w:type="dxa"/>
        <w:tblLayout w:type="fixed"/>
        <w:tblCellMar>
          <w:top w:w="28" w:type="dxa"/>
          <w:left w:w="28" w:type="dxa"/>
          <w:bottom w:w="28" w:type="dxa"/>
          <w:right w:w="28" w:type="dxa"/>
        </w:tblCellMar>
      </w:tblPr>
      <w:tblGrid>
        <w:gridCol w:w="1156"/>
        <w:gridCol w:w="146"/>
        <w:gridCol w:w="165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pStyle w:val="TextBody"/>
        <w:bidi w:val="0"/>
        <w:spacing w:before="24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Gross margin is the difference between net sales and the cost of sales. Our cost of sales and gross margin may not be comparable to 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Condensed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as a percentage of net sales increased to 44.1% during the three month period ended May 2, 2026, compared with 43.8% during the three month period ended May 3, 2025. This improvement was driven primarily by improved merchandise margin and freight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sourcing costs, which are included in selling, general and administrative expenses, improved 30 basis points as a percentage of net sales during the three month period ended May 2, 2026 compared with the three month period ended May 3, 2025.</w:t>
      </w:r>
    </w:p>
    <w:p>
      <w:pPr>
        <w:pStyle w:val="TextBody"/>
        <w:bidi w:val="0"/>
        <w:spacing w:before="12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xml:space="preserve"> Inventory at May 2, 2026 increased to $1,444.2 million compared with $1,315.3 million at May 3, 2025. The increase was attributable primarily to an 11% increase in comparable store inventory and new store inventory at 127 net new stores opened since the end of the first quarter of Fiscal 2025, partially offset by a slight decrease in reserve inventory.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 inventory includes all inventory that is being stored for release either later in the season, or in a subsequent season. We intend to use our reserve merchandise to effectively chase sales trends. Reserve inventory was 41% of total inventory at the end of the first quarter of Fiscal 2026 compared to 48% at the end of the first quarter of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Liquidity.</w:t>
      </w:r>
      <w:r>
        <w:rPr>
          <w:rFonts w:ascii="Times New Roman" w:hAnsi="Times New Roman"/>
          <w:color w:val="000000"/>
          <w:sz w:val="20"/>
        </w:rPr>
        <w:t xml:space="preserve"> Liquidity measures our ability to generate cash. Management measures liquidity through cash flow, which is the measure of cash generated from or used in operating, financing, and investing activities. Cash and cash equivalents decreased $485.2 million during the three months ended May 2, 2026, compared with a decrease of $623.6 million during the three months ended May 3, 2025. Refer to the section below entitled “Liquidity and Capital Resources” for further explanation.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items in the Condensed Consolidated Statements of Income as a percentage of net sales for the three months ended May 2, 2026 and the three months ended May 3, 2025.</w:t>
      </w:r>
    </w:p>
    <w:p>
      <w:pPr>
        <w:pStyle w:val="TextBody"/>
        <w:bidi w:val="0"/>
        <w:spacing w:before="120" w:after="283"/>
        <w:jc w:val="left"/>
        <w:rPr/>
      </w:pPr>
      <w:r>
        <w:rPr/>
        <w:t> </w:t>
      </w:r>
    </w:p>
    <w:tbl>
      <w:tblPr>
        <w:tblW w:w="7249" w:type="dxa"/>
        <w:jc w:val="left"/>
        <w:tblInd w:w="0" w:type="dxa"/>
        <w:tblLayout w:type="fixed"/>
        <w:tblCellMar>
          <w:top w:w="28" w:type="dxa"/>
          <w:left w:w="28" w:type="dxa"/>
          <w:bottom w:w="28" w:type="dxa"/>
          <w:right w:w="28" w:type="dxa"/>
        </w:tblCellMar>
      </w:tblPr>
      <w:tblGrid>
        <w:gridCol w:w="4861"/>
        <w:gridCol w:w="146"/>
        <w:gridCol w:w="146"/>
        <w:gridCol w:w="571"/>
        <w:gridCol w:w="271"/>
        <w:gridCol w:w="146"/>
        <w:gridCol w:w="146"/>
        <w:gridCol w:w="571"/>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Sales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 and inducement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Three Month Period Ended May 2, 2026 Compared With the Three Month Period Ended May 3,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Net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improved $352.2 million, or 14.1%, to $2,852.3 million during the first quarter of Fiscal 2026, primarily driven by both an increase in net sales of $196.9 million from our 127 net new stores opened since the end of the first quarter of Fiscal 2025 and non-comparable stores, as well as an increase of 6%, or $155.3 million, in comparable stores sales during the three month period ended May 2,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as a percentage of net sales decreased to 55.9% during the first quarter of Fiscal 2026, compared to 56.2% during the first quarter of Fiscal 2025. This improvement was driven primarily by improved merchandise margin and freight costs. On a dollar basis, cost of sales increased $189.7 million, or 13.5%, primarily driven by our overall increase in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as a percentage of net sales remained at 34.7% during the first quarter of Fiscal 2026, compared to the same percentage of net sales during the first quarter of Fiscal 2025. During the first quarter of 2026, improvements in occupancy and product sourcing costs were offset by increases in incentive compensation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dollar basis, selling, general and administrative expenses increased by $121.3 million, or 14.0%, to $989.4 million during the first quarter of Fiscal 2026. The increase was primarily driven by our 127 net new stores opened since the end of the first quarter of Fiscal 2025, as well as an increase in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Fiscal 2026, the Company incurred costs related to leases acquired through bankruptcy proceedings. The acquisition of these leases resulted in $7.4 million and $5.8 million of pre-opening costs that are recorded in the line item, “Selling, general and administrative expenses” in our Condensed Consolidated Statements of Income during the first quarter of Fiscal 2026 and the first quarter of Fiscal 2025,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amounted to $104.6 million during the first quarter of Fiscal 2026 compared with $91.8 million during the first quarter of Fiscal 2025. The increase in depreciation and amortization expense was primarily driven by new and non-comparable stores.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related to debt amendments and inducement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related to debt amendments and inducement charges amounted to $15.3 million during the first quarter of Fiscal 2026 compared with $0.1 million during the first quarter of Fiscal 2025. The increase is driven by an inducement charge related to the partial settlement of our 2027 Convertible Notes during the first quarter of Fiscal 2026. Refer to Note 4, “Long Term Debt,” for further discussion regarding this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$0.7 million during the first quarter of Fiscal 2026 to $16.5 million, compared to the same period in the prior year. An increase related to the upsize of the Term Loan Facility was partially offset by increased capitalized interest as a result of the ongoing construction of a distribution center and exchange of certain of convertible notes.</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$27.9 million during the first quarter of Fiscal 2026 compared with income tax expense of $32.0 million during the first quarter of Fiscal 2025. The effective tax rate for the first quarter of Fiscal 2026 was 19.6% compared with 24.1% during the first quarter of Fiscal 2025. The decrease in income tax expense and the lower tax rate was primarily attributable to the tax benefit from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end of each interim period we are required to determine the best estimate of our annual effective tax rate and then apply that rate in providing for income taxes on a current year-to-date (interim period) basis. Use of this methodology during the first quarter of Fiscal 2026 resulted in an annual effective income tax rate of approximately 27% (before discrete items) as our best estimate.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 xml:space="preserve">Net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earned net income of $114.7 million for the first quarter of Fiscal 2026 compared with $100.8 million for the first quarter of Fiscal 2025. This increase was primarily driven by higher sales, as well as increased gross margin rate. Net income included $5.5 million and $4.3 million, net of income taxes, for the first quarter of Fiscal 2026 and the first quarter of Fiscal 2025, respectively, related to the bankruptcy acquired leases.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market conditions warrant, we may, from time to time, repurchase our outstanding debt securities in the open market, in privately negotiated transactions, by tender offer, by exchange transaction or otherwise. Such repurchases, if any, will depend on prevailing market conditions, our liquidity and other factors and may be commenced or suspended at any time. The amounts involved and total consideration paid may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evaluate options to opportunistically increase, refinance or extend our debt. Our assessment will be based on our capital needs for, among other things, facility purchases, capital improvements and expenditures. No assurance can be given that we will enter into such agreements.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for the Three Month Period Ended May 2, 2026 Compared With the Three Month Period Ended May 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$485.2 million of cash during the three month period ended May 2, 2026 compared with a use of $623.6 million during the three month period ended May 3,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amounted to $61.5 million during the three month period ended May 2, 2026, compared with net cash used in operating activities of $28.9 million during the three month period ended May 3, 2025. The increase in our operating cash flows was primarily driven by improved sales and gross margin, partially offset by the impact of changes in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$289.7 million during the three month period ended May 2, 2026 compared with $412.7 million during the three month period ended May 3, 2025. This change was primarily the result of the timing of spend related to investments in our supply chain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by financing activities was $257.0 million during the three month period ended May 2, 2026 compared with $182.0 million during the three month period ended May 3, 2025. This change was primarily driven by borrowings on the ABL Line of Credit during the first quarter of Fiscal 2025, compared to no borrowings during the first quarter of Fiscal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working capital also impact our cash flows. Working capital equals current assets minus current liabilities. We had working capital at May 2, 2026 of $352.7 million compared with $115.3 million at May 3, 2025. The increase in working capital was primarily due to increased cash balance. We had working capital at January 31, 2026 of $522.3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 period ended May 2, 2026, capital expenditures, net of $20.1 million of landlord allowances, amounted to $193.6 million (inclusive of accrued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we will spend approximately $875 million, net of approximately $55 million of landlord allowances, in capital expenditures during Fiscal 2026, including approximately $445 million, net of the previously mentioned landlord allowances, for store expenditures (new stores, relocations, downsizes and other store expenditures). In addition, we estimate that we will spend approximately $290 million to support our supply chain initiatives, with the remaining capital used to support our information technology and other business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2025, our Board of Directors authorized the repurchase of up to an additional $500.0 million of common stock, which is authorized to be executed through May 20,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 period ended May 2, 2026, we repurchased 257,906 shares of common stock for $80.8 million under these repurchase programs. As of May 2, 2026, we had $304.2 million remaining under our share repurchase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since we are a holding company, substantially all of the assets shown on our Condensed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Operational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 period ended May 2, 2026, we opened 40 new stores, inclusive of six relocations, and closed four stores, exclusive of the aforementioned relocations, bringing our store count as of May 2, 2026 to 1,242 stores.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2, 2026, our obligations, inclusive of original issue discount, include $1,715.5 million under our Term Loan Facility, $186.1 million of our 2027 Convertible Notes and no outstanding borrowings on our ABL Line of Credit. Our debt obligations also include $22.1 million of finance lease obligations as of May 2,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May 2, 2026 of $1,726.2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11, 2025, we entered into an amendment to the Term Loan Facility, which among other things, provided for $500.0 million of incremental term loans under the Term Loan Credit Agreement as additional Term B-7 Loans. The incremental term loans were issued with an original issue discount of 99.0 and are otherwise on terms identical to, and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May 2, 2026, our borrowing rate related to the Term Loan Facility was 5.4%.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we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May 2, 2026, we had $942.1 million available under the ABL Line of Credit. There were no borrowings under the ABL Line of Credit during the three month period ended May 2,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we issued 2.25% Convertible Senior Notes due 2025 (the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12, 2023, we closed the issuance of approximately $297.1 million aggregate principal amount of our 2027 Convertible Notes (the "2027 Convertible Notes" and, together with the 2025 Convertible Notes, the "Convertible Notes") pursuant to separate, privately negotiated exchange and subscription agreements with a limited number of holders of our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we issue a notice of redemption, and which is also subject to certain anti-dilution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our common stock), subject to adjustment if certain events occur. The initial conversion price represents a conversion premium of approximately 32.50% over $155.42 per share, the last reported sale price of our common stock on September 7, 2023 on The New York Stock Exchange. Upon conversion, we will pay cash up to the aggregate principal amount of 2027 Convertible Notes being converted, and pay (and deliver, if applicable) cash, shares of our common stock or a combination thereof, at its election, in respect of the remainder (if any) of our conversion obligation in excess of such aggregate principal amount. We will not be able to redeem the 2027 Convertible Notes prior to December 20, 2025. On or after December 20, 2025 and prior to the 21st scheduled trading day immediately preceding December 15, 2027, we will be able to redeem for cash all or any portion of the 2027 Convertible Notes, at its option, if the last reported sale price of our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undergo a fundamental change, subject to certain conditions, holders of the 2027 Convertible Notes may require us to repurchase for cash all or any portion of our 2027 New Convertible Notes. The fundamental change repurchase price will be 100% of the aggregate principal amount of the 2027 Convertible Notes to be repurchased plus any accrued and unpaid interest to, but excluding, the fundamental change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May 2, 2026, certain holders of the 2027 Convertible Notes exchanged $111.0 million in aggregate principal amount of 2027 Convertible Notes held by them for a combination of an aggregate of $128.6 million in cash and 150,831 shares of our common stock. These exchanges resulted in an inducement charge of $14.6 million, as well as legal and other transaction related fees of $0.7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Fiscal 2025, we entered into a $200.0 million interest rate swap agreement with a fixed interest rate of 3.76%. On the same date, we also entered into a $100.0 million interest rate swap agreement with a fixed interest rate of 3.73%.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total, we have interest rate swaps which hedge $1,100.0 million of variable rate exposure under our Term Loan Facility. The interest rate swaps are designated as cash flow hedges and expire on September 24, 2031. Refer to Note 5, “Derivative Instruments and Hedging Activities,” for further discussion regarding our derivative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Certain Information Concerning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$2,241.5 million of purchase commitments related to goods that were not received as of May 2, 2026, and had $5,083.2 million of future minimum lease payments under operating leases as of May 2, 2026. Other than the items disclosed here, and in the "Debt and Hedging" section above, there were no other significant changes regarding our obligations to make future payments under current contracts from those included in our Fiscal 2025 10-K.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Condensed Consolidated Financial Statements requires management to make estimates and assumptions that affect (i) the reported amounts of assets and liabilities; (ii) the disclosure of contingent assets and liabilities at the date of the Condensed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leases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As events continue to evolve and additional information becomes available, our estimates may change materially in future periods. A critical accounting estimate meets two criteria: (1) it requires assumptions about highly uncertain matters and (2) there would be a material effect on the Condensed Consolidated Financial Statements from either using a different, although reasonable, amount within the range of the estimate in the current period or from reasonably likely period-to-period changes in the estimate.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and estimates are consistent with those disclosed in Note 1, “Summary of Significant Accounting Policies,” to the audited Consolidated Financial Statements, included in Part II, Item 8 of the Fiscal 2025 10-K.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as amended, and Section 21E of the Securities Exchange Act of 1934, as amended (Exchange Act). Such statements may include, but are not limited to, future impacts of current macroeconomic conditions, proposed store openings and closings, proposed capital expenditures, ongoing strategic initiatives and the intended results of those initiatives, future performance or results, the effect of the adoption of recent accounting pronouncements on our condensed consolidated financial position, results of operations and cash flows, and the outcome of contingencies such as legal proceedings. Our forward-looking statements are subject to risks and uncertainties. Actual events or results may differ materially from the results anticipated in these forward-looking statements as a result of a variety of factors. While it is impossible to identify all such factors, factors that could cause actual events or results to differ materially from those we expected include: general economic conditions, such as inflation, and the domestic and international political situation and the related impact on consumer confidence and spending; competitive factors, including the scale and potential consolidation of some of our competitors, rise of e-commerce spending, pricing and promotional activities of major competitors, and an increase in competition within the markets in which we compete; seasonal fluctuations in our net sales, operating income and inventory levels; the reduction in traffic to, or the closing of, the other destination retailers in the shopping areas where our stores are located; our ability to identify changing consumer preferences and demand; our ability to meet evolving regulatory requirements and stakeholder expectations regarding our environmental, social or governance matters; extreme and/or unseasonable weather conditions caused by climate change or otherwise adversely impacting demand; effects of public health crises, epidemics or pandemics; our ability to sustain our growth plans or successfully implement our long-range strategic plans; our ability to execute our opportunistic buying and inventory management process; our ability to optimize our existing stores or maintain favorable lease terms; the availability, selection and purchasing of attractive brand name merchandise on favorable terms; our ability to attract, train and retain quality employees and temporary personnel in sufficient numbers; labor costs and our ability to manage a large workforce; the solvency of parties with whom we do business and their willingness to perform their obligations to us; import risks, including tax and trade policies, tariffs and government regulations; disruption in our distribution network; our ability to protect our information systems against service interruption, misappropriation of data, breaches of security, or other cyber-related attacks; risks related to the methods of payment we accept; the success of our advertising and marketing programs in generating sufficient levels of customer traffic and awareness; damage to our corporate reputation or brand; impact of potential loss of executives or other key personnel; our ability to comply with existing and changing laws, rules, regulations and local codes; lack of or insufficient insurance coverage; issues with merchandise safety and shrinkage; our ability to comply with increasingly rigorous privacy and data security regulations; impact of legal and regulatory proceedings relating to us; use of social media by us or by third parties at our direction in violation of applicable laws and regulations; our ability to generate sufficient cash to fund our operations and service our debt obligations; our ability to comply with covenants in our debt agreements; the consequences of the possible conversion of our convertible notes; our reliance on dividends, distributions and other payments, advance and transfers of funds from our subsidiaries to meet our obligations; the volatility of our stock price; the impact of the anti-takeover provisions in our governing documents; impact of potential shareholder activism and other risks discussed from time to time in our filings with the Securities and Exchange Commission (SEC), including those under the heading “Risk Factors” in the Fiscal 2025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these factors are beyond our ability to predict or control.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“Summary of Significant Accounting Policies,” to our Condensed Consolidated Financial Statements in Part I, Item 1 for a discussion of recent accounting pronouncements and their impact on our Condensed Consolidated Financial Statements.</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 xml:space="preserve">Item 3. Quantitative and Qualitative Disclosures About Market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quantitative and qualitative disclosures about market risk from those included in the Fiscal 2025 10-K.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report, May 2, 2026.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May 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May 2, 2026,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Refer to Note 11, "Commitments and Contingencies," to our Condensed Consolidated Financial Statements for further detail.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risk factors from those disclosed in Part I, Item 1A of our Fiscal 2025 10-K.</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fiscal months ended May 2, 2026, certain holders of the 2027 Convertible Notes exchanged $111.0 million in aggregate principal amount of 2027 Convertible Notes held by them for a combination of an aggregate of $128.6 million in cash and 150,831 shares of our common stock. These exchange transactions closed on March 19, 2026. The shares of common stock were issued in reliance on an exemption from registration under Section 4(a)(2) or Section 3(a)(9) of the Securities Act of 1933, as amended.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our purchases of common stock during the three fiscal months ended May 2, 2026:</w:t>
      </w:r>
    </w:p>
    <w:tbl>
      <w:tblPr>
        <w:tblW w:w="9584" w:type="dxa"/>
        <w:jc w:val="left"/>
        <w:tblInd w:w="0" w:type="dxa"/>
        <w:tblLayout w:type="fixed"/>
        <w:tblCellMar>
          <w:top w:w="28" w:type="dxa"/>
          <w:left w:w="28" w:type="dxa"/>
          <w:bottom w:w="28" w:type="dxa"/>
          <w:right w:w="28" w:type="dxa"/>
        </w:tblCellMar>
      </w:tblPr>
      <w:tblGrid>
        <w:gridCol w:w="3721"/>
        <w:gridCol w:w="146"/>
        <w:gridCol w:w="177"/>
        <w:gridCol w:w="948"/>
        <w:gridCol w:w="146"/>
        <w:gridCol w:w="146"/>
        <w:gridCol w:w="271"/>
        <w:gridCol w:w="869"/>
        <w:gridCol w:w="146"/>
        <w:gridCol w:w="146"/>
        <w:gridCol w:w="198"/>
        <w:gridCol w:w="1062"/>
        <w:gridCol w:w="146"/>
        <w:gridCol w:w="146"/>
        <w:gridCol w:w="238"/>
        <w:gridCol w:w="887"/>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w:t>
              <w:br/>
              <w:t>Share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 of Publicly</w:t>
              <w:br/>
              <w:t>Announced</w:t>
              <w:br/>
              <w:t>Plans or</w:t>
              <w:br/>
              <w:t>Programs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 Value</w:t>
              <w:br/>
              <w:t>of Shares</w:t>
              <w:br/>
              <w:t>That May Yet</w:t>
              <w:br/>
              <w:t>Be Purchased</w:t>
              <w:br/>
              <w:t>Under the</w:t>
              <w:br/>
              <w:t>Plans or</w:t>
              <w:br/>
              <w:t xml:space="preserve">Programs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through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through April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5, 2026 through May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commissions for the shares repurchased under our publicly announced share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our Board of Directors authorized the repurchase of up to $500.0 million of common stock, which expired on August 15, 2025. During the second quarter of Fiscal 2025, the Company's Board of Directors authorized the repurchase of up to an additional $500.0 million of common stock, which is authorized to be executed through May 20, 2027. For a further discussion of our share repurchase programs, see “Part I, Item 2. Management’s Discussion and Analysis of Financial Condition and Results of Operations—Liquidity and Capital Resources—Share Repurchase Program.”</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 xml:space="preserve">Information. </w:t>
      </w:r>
    </w:p>
    <w:p>
      <w:pPr>
        <w:pStyle w:val="TextBody"/>
        <w:bidi w:val="0"/>
        <w:spacing w:before="120" w:after="283"/>
        <w:jc w:val="left"/>
        <w:rPr>
          <w:rFonts w:ascii="Times New Roman" w:hAnsi="Times New Roman"/>
          <w:sz w:val="20"/>
        </w:rPr>
      </w:pPr>
      <w:r>
        <w:rPr>
          <w:rFonts w:ascii="Times New Roman" w:hAnsi="Times New Roman"/>
          <w:b/>
          <w:i/>
          <w:color w:val="000000"/>
          <w:sz w:val="20"/>
        </w:rPr>
        <w:t>Adoption, Modification</w:t>
      </w:r>
      <w:r>
        <w:rPr>
          <w:rFonts w:ascii="Times New Roman" w:hAnsi="Times New Roman"/>
          <w:color w:val="000000"/>
          <w:sz w:val="20"/>
        </w:rPr>
        <w:t xml:space="preserve"> </w:t>
      </w:r>
      <w:r>
        <w:rPr>
          <w:rFonts w:ascii="Times New Roman" w:hAnsi="Times New Roman"/>
          <w:b/>
          <w:i/>
          <w:color w:val="000000"/>
          <w:sz w:val="20"/>
        </w:rPr>
        <w:t>or Termination</w:t>
      </w:r>
      <w:r>
        <w:rPr>
          <w:rFonts w:ascii="Times New Roman" w:hAnsi="Times New Roman"/>
          <w:color w:val="000000"/>
          <w:sz w:val="20"/>
        </w:rPr>
        <w:t xml:space="preserve"> </w:t>
      </w:r>
      <w:r>
        <w:rPr>
          <w:rFonts w:ascii="Times New Roman" w:hAnsi="Times New Roman"/>
          <w:b/>
          <w:i/>
          <w:color w:val="000000"/>
          <w:sz w:val="20"/>
        </w:rPr>
        <w:t>of Rule 10b5-1 Trading Arrangements and Non-Rule 10b5-1 Trading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16, 2026, Jennifer Vecchio, the Company’s Group President and Chief Merchandising Officer, adopted a written plan intended to satisfy the affirmative defense conditions of Rule 10b5-1(c) for the sale of up to 15,102 shares of the Company’s common stock, subject to certain conditions. The plan’s expiration date is March 15,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period ended May 2, 2026, other than the trading arrangement noted above, no director or officer of the Company adopted, modified or terminated a “Rule 10b5-1 trading arrangement” or “non-Rule 10b5-1 trading arrangement,” as each term is defined in Item 408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33"/>
        <w:gridCol w:w="7032"/>
        <w:gridCol w:w="1374"/>
        <w:gridCol w:w="966"/>
      </w:tblGrid>
      <w:tr>
        <w:trPr/>
        <w:tc>
          <w:tcPr>
            <w:tcW w:w="833" w:type="dxa"/>
            <w:tcBorders/>
            <w:vAlign w:val="center"/>
          </w:tcPr>
          <w:p>
            <w:pPr>
              <w:pStyle w:val="TableContents"/>
              <w:bidi w:val="0"/>
              <w:spacing w:before="0" w:after="283"/>
              <w:jc w:val="left"/>
              <w:rPr>
                <w:sz w:val="4"/>
                <w:szCs w:val="4"/>
              </w:rPr>
            </w:pPr>
            <w:r>
              <w:rPr>
                <w:sz w:val="4"/>
                <w:szCs w:val="4"/>
              </w:rPr>
            </w:r>
          </w:p>
        </w:tc>
        <w:tc>
          <w:tcPr>
            <w:tcW w:w="703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833" w:type="dxa"/>
            <w:tcBorders>
              <w:top w:val="single" w:sz="12" w:space="0" w:color="000000"/>
              <w:left w:val="single" w:sz="12" w:space="0" w:color="000000"/>
              <w:right w:val="single" w:sz="12" w:space="0" w:color="000000"/>
            </w:tcBorders>
            <w:tcMar>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032" w:type="dxa"/>
            <w:tcBorders>
              <w:top w:val="single" w:sz="12" w:space="0" w:color="000000"/>
              <w:right w:val="single" w:sz="4" w:space="0" w:color="000000"/>
            </w:tcBorders>
            <w:tcMar>
              <w:left w:w="0" w:type="dxa"/>
              <w:bottom w:w="0" w:type="dxa"/>
            </w:tcMar>
            <w:vAlign w:val="center"/>
          </w:tcPr>
          <w:p>
            <w:pPr>
              <w:pStyle w:val="TableContents"/>
              <w:bidi w:val="0"/>
              <w:spacing w:before="0" w:after="283"/>
              <w:jc w:val="center"/>
              <w:rPr/>
            </w:pPr>
            <w:r>
              <w:rPr/>
              <w:t> </w:t>
            </w:r>
          </w:p>
        </w:tc>
        <w:tc>
          <w:tcPr>
            <w:tcW w:w="2340"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3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703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374"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96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3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03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Burlington Stores, Inc. Executive Severance Plan (Amended and Restated Effective March 17, 2026).</w:t>
              </w:r>
            </w:hyperlink>
          </w:p>
        </w:tc>
        <w:tc>
          <w:tcPr>
            <w:tcW w:w="1374"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96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19, 2026</w:t>
            </w:r>
          </w:p>
        </w:tc>
      </w:tr>
      <w:tr>
        <w:trPr/>
        <w:tc>
          <w:tcPr>
            <w:tcW w:w="833" w:type="dxa"/>
            <w:tcBorders>
              <w:left w:val="single" w:sz="12" w:space="0" w:color="000000"/>
              <w:bottom w:val="single" w:sz="4"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0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hyperlink w:anchor="burl-ex31_1.htm">
              <w:r>
                <w:rPr>
                  <w:rStyle w:val="InternetLink"/>
                  <w:rFonts w:ascii="Times New Roman" w:hAnsi="Times New Roman"/>
                  <w:color w:val="0000FF"/>
                  <w:sz w:val="20"/>
                  <w:u w:val="single"/>
                </w:rPr>
                <w:t>Certification of Principal Executive Officer required by Rule 13a-14(a) or Rule 15d-14(a) of the Securities Exchange Act of 1934, as adopted pursuant to Section 302 of the Sarbanes-Oxley Act of 2002.</w:t>
              </w:r>
            </w:hyperlink>
          </w:p>
        </w:tc>
        <w:tc>
          <w:tcPr>
            <w:tcW w:w="13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6" w:type="dxa"/>
            <w:tcBorders>
              <w:bottom w:val="single" w:sz="4"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83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703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hyperlink w:anchor="burl-ex31_2.htm">
              <w:r>
                <w:rPr>
                  <w:rStyle w:val="InternetLink"/>
                  <w:rFonts w:ascii="Times New Roman" w:hAnsi="Times New Roman"/>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1374"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4"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0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hyperlink w:anchor="burl-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w:t>
              </w:r>
            </w:hyperlink>
          </w:p>
        </w:tc>
        <w:tc>
          <w:tcPr>
            <w:tcW w:w="13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4"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703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hyperlink w:anchor="burl-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w:t>
              </w:r>
            </w:hyperlink>
          </w:p>
        </w:tc>
        <w:tc>
          <w:tcPr>
            <w:tcW w:w="1374"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Interactive Data File, because its XBRL tags are embedded within the Inline XBRL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3"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70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3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66"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833" w:type="dxa"/>
            <w:tcBorders>
              <w:left w:val="single" w:sz="12" w:space="0" w:color="000000"/>
              <w:bottom w:val="single" w:sz="12"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032"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374"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6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BURLINGTON STORES, INC.</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O’Sullivan</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Michael O’Sullivan</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Kristin Wolfe</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Kristin Wolfe</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28,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21" w:name="burl-ex31_1.htm"/>
      <w:bookmarkStart w:id="22" w:name="ksburl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O’Sullivan,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Burlington Stores,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28, 2026</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url-ex31_2.htm"/>
      <w:bookmarkStart w:id="24" w:name="ksburl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Kristin Wolfe,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Burlington Stores,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28,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url-ex32_1.htm"/>
      <w:bookmarkStart w:id="26" w:name="ksburl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Burlington Stores, Inc. (the “Company”) on Form 10-Q for the fiscal quarter ended May 2, 2026, as filed with the Securities and Exchange Commission on the date hereof (the “Report”), I, Michael O’Sullivan, Chief Executive Officer of the Company, certify, pursuant to 18 U.S.C. §1350, as adopted pursuant to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28, 2026</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url-ex32_2.htm"/>
      <w:bookmarkStart w:id="28" w:name="ksburlex32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Burlington Stores, Inc. (the “Company”) on Form 10-Q for the fiscal quarter ended May 2, 2026, as filed with the Securities and Exchange Commission on the date hereof (the “Report”), I, Kristin Wolfe, Chief Financial Officer of the Company, certify, pursuant to 18 U.S.C. §1350, as adopted pursuant to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28,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9298/000119312526116001/burl-ex10_39.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18934</Words>
  <Characters>103807</Characters>
  <CharactersWithSpaces>123633</CharactersWithSpaces>
  <Paragraphs>4783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