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167005</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121285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167640</wp:posOffset>
            </wp:positionV>
            <wp:extent cx="3206115" cy="796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7969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6"/>
          <w:szCs w:val="36"/>
          <w:b w:val="1"/>
          <w:bCs w:val="1"/>
          <w:color w:val="auto"/>
        </w:rPr>
        <w:t>BURLINGTON STORES, INC.</w:t>
      </w:r>
    </w:p>
    <w:p>
      <w:pPr>
        <w:spacing w:after="0" w:line="5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158750</wp:posOffset>
            </wp:positionV>
            <wp:extent cx="1508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214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6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001-36107</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80-0895227</w:t>
            </w:r>
          </w:p>
        </w:tc>
      </w:tr>
      <w:tr>
        <w:trPr>
          <w:trHeight w:val="149"/>
        </w:trPr>
        <w:tc>
          <w:tcPr>
            <w:tcW w:w="2140" w:type="dxa"/>
            <w:vAlign w:val="bottom"/>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140" w:type="dxa"/>
            <w:vAlign w:val="bottom"/>
          </w:tcPr>
          <w:p>
            <w:pPr>
              <w:spacing w:after="0"/>
              <w:rPr>
                <w:sz w:val="24"/>
                <w:szCs w:val="24"/>
                <w:color w:val="auto"/>
              </w:rPr>
            </w:pPr>
          </w:p>
        </w:tc>
        <w:tc>
          <w:tcPr>
            <w:tcW w:w="50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2006 Route 130 North</w:t>
            </w:r>
          </w:p>
        </w:tc>
        <w:tc>
          <w:tcPr>
            <w:tcW w:w="1700" w:type="dxa"/>
            <w:vAlign w:val="bottom"/>
          </w:tcPr>
          <w:p>
            <w:pPr>
              <w:spacing w:after="0"/>
              <w:rPr>
                <w:sz w:val="24"/>
                <w:szCs w:val="24"/>
                <w:color w:val="auto"/>
              </w:rPr>
            </w:pPr>
          </w:p>
        </w:tc>
      </w:tr>
      <w:tr>
        <w:trPr>
          <w:trHeight w:val="214"/>
        </w:trPr>
        <w:tc>
          <w:tcPr>
            <w:tcW w:w="2140" w:type="dxa"/>
            <w:vAlign w:val="bottom"/>
          </w:tcPr>
          <w:p>
            <w:pPr>
              <w:spacing w:after="0"/>
              <w:rPr>
                <w:sz w:val="18"/>
                <w:szCs w:val="18"/>
                <w:color w:val="auto"/>
              </w:rPr>
            </w:pPr>
          </w:p>
        </w:tc>
        <w:tc>
          <w:tcPr>
            <w:tcW w:w="506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Burlington, New Jersey 08016</w:t>
            </w:r>
          </w:p>
        </w:tc>
        <w:tc>
          <w:tcPr>
            <w:tcW w:w="1700" w:type="dxa"/>
            <w:vAlign w:val="bottom"/>
          </w:tcPr>
          <w:p>
            <w:pPr>
              <w:spacing w:after="0"/>
              <w:rPr>
                <w:sz w:val="18"/>
                <w:szCs w:val="18"/>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390"/>
        </w:trPr>
        <w:tc>
          <w:tcPr>
            <w:tcW w:w="2140" w:type="dxa"/>
            <w:vAlign w:val="bottom"/>
          </w:tcPr>
          <w:p>
            <w:pPr>
              <w:spacing w:after="0"/>
              <w:rPr>
                <w:sz w:val="24"/>
                <w:szCs w:val="24"/>
                <w:color w:val="auto"/>
              </w:rPr>
            </w:pPr>
          </w:p>
        </w:tc>
        <w:tc>
          <w:tcPr>
            <w:tcW w:w="50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(609) 387-7800</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90"/>
        </w:trPr>
        <w:tc>
          <w:tcPr>
            <w:tcW w:w="2140" w:type="dxa"/>
            <w:vAlign w:val="bottom"/>
          </w:tcPr>
          <w:p>
            <w:pPr>
              <w:spacing w:after="0"/>
              <w:rPr>
                <w:sz w:val="24"/>
                <w:szCs w:val="24"/>
                <w:color w:val="auto"/>
              </w:rPr>
            </w:pPr>
          </w:p>
        </w:tc>
        <w:tc>
          <w:tcPr>
            <w:tcW w:w="50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151765</wp:posOffset>
            </wp:positionV>
            <wp:extent cx="1508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6" w:lineRule="exact"/>
        <w:rPr>
          <w:sz w:val="24"/>
          <w:szCs w:val="24"/>
          <w:color w:val="auto"/>
        </w:rPr>
      </w:pPr>
    </w:p>
    <w:p>
      <w:pPr>
        <w:ind w:left="800" w:hanging="411"/>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800" w:hanging="411"/>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800" w:hanging="411"/>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800" w:hanging="411"/>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4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68"/>
        </w:trPr>
        <w:tc>
          <w:tcPr>
            <w:tcW w:w="37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r>
      <w:tr>
        <w:trPr>
          <w:trHeight w:val="122"/>
        </w:trPr>
        <w:tc>
          <w:tcPr>
            <w:tcW w:w="3760" w:type="dxa"/>
            <w:vAlign w:val="bottom"/>
            <w:tcBorders>
              <w:left w:val="single" w:sz="8" w:color="auto"/>
              <w:bottom w:val="single" w:sz="8" w:color="auto"/>
              <w:right w:val="single" w:sz="8" w:color="auto"/>
            </w:tcBorders>
          </w:tcPr>
          <w:p>
            <w:pPr>
              <w:ind w:left="120"/>
              <w:spacing w:after="0" w:line="102" w:lineRule="exact"/>
              <w:rPr>
                <w:sz w:val="20"/>
                <w:szCs w:val="20"/>
                <w:color w:val="auto"/>
              </w:rPr>
            </w:pPr>
            <w:r>
              <w:rPr>
                <w:rFonts w:ascii="Times New Roman" w:cs="Times New Roman" w:eastAsia="Times New Roman" w:hAnsi="Times New Roman"/>
                <w:sz w:val="11"/>
                <w:szCs w:val="11"/>
                <w:color w:val="auto"/>
              </w:rPr>
              <w:t>Title of each class</w:t>
            </w:r>
          </w:p>
        </w:tc>
        <w:tc>
          <w:tcPr>
            <w:tcW w:w="3740" w:type="dxa"/>
            <w:vAlign w:val="bottom"/>
            <w:tcBorders>
              <w:bottom w:val="single" w:sz="8" w:color="auto"/>
              <w:right w:val="single" w:sz="8" w:color="auto"/>
            </w:tcBorders>
          </w:tcPr>
          <w:p>
            <w:pPr>
              <w:ind w:left="100"/>
              <w:spacing w:after="0" w:line="102" w:lineRule="exact"/>
              <w:rPr>
                <w:sz w:val="20"/>
                <w:szCs w:val="20"/>
                <w:color w:val="auto"/>
              </w:rPr>
            </w:pPr>
            <w:r>
              <w:rPr>
                <w:rFonts w:ascii="Times New Roman" w:cs="Times New Roman" w:eastAsia="Times New Roman" w:hAnsi="Times New Roman"/>
                <w:sz w:val="11"/>
                <w:szCs w:val="11"/>
                <w:color w:val="auto"/>
              </w:rPr>
              <w:t>Trading Symbol(s)</w:t>
            </w:r>
          </w:p>
        </w:tc>
        <w:tc>
          <w:tcPr>
            <w:tcW w:w="3740" w:type="dxa"/>
            <w:vAlign w:val="bottom"/>
            <w:tcBorders>
              <w:bottom w:val="single" w:sz="8" w:color="auto"/>
              <w:right w:val="single" w:sz="8" w:color="auto"/>
            </w:tcBorders>
          </w:tcPr>
          <w:p>
            <w:pPr>
              <w:ind w:left="100"/>
              <w:spacing w:after="0" w:line="102" w:lineRule="exact"/>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25"/>
        </w:trPr>
        <w:tc>
          <w:tcPr>
            <w:tcW w:w="3760" w:type="dxa"/>
            <w:vAlign w:val="bottom"/>
            <w:tcBorders>
              <w:left w:val="single" w:sz="8" w:color="auto"/>
              <w:bottom w:val="single" w:sz="8" w:color="auto"/>
              <w:right w:val="single" w:sz="8" w:color="auto"/>
            </w:tcBorders>
          </w:tcPr>
          <w:p>
            <w:pPr>
              <w:ind w:left="120"/>
              <w:spacing w:after="0" w:line="125" w:lineRule="exact"/>
              <w:rPr>
                <w:sz w:val="20"/>
                <w:szCs w:val="20"/>
                <w:color w:val="auto"/>
              </w:rPr>
            </w:pPr>
            <w:r>
              <w:rPr>
                <w:rFonts w:ascii="Times New Roman" w:cs="Times New Roman" w:eastAsia="Times New Roman" w:hAnsi="Times New Roman"/>
                <w:sz w:val="14"/>
                <w:szCs w:val="14"/>
                <w:color w:val="auto"/>
              </w:rPr>
              <w:t>Common Stock, par value $0.0001 per share</w:t>
            </w:r>
          </w:p>
        </w:tc>
        <w:tc>
          <w:tcPr>
            <w:tcW w:w="374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BURL</w:t>
            </w:r>
          </w:p>
        </w:tc>
        <w:tc>
          <w:tcPr>
            <w:tcW w:w="3740" w:type="dxa"/>
            <w:vAlign w:val="bottom"/>
            <w:tcBorders>
              <w:bottom w:val="single" w:sz="8" w:color="auto"/>
              <w:right w:val="single" w:sz="8" w:color="auto"/>
            </w:tcBorders>
          </w:tcPr>
          <w:p>
            <w:pPr>
              <w:ind w:left="100"/>
              <w:spacing w:after="0" w:line="125" w:lineRule="exact"/>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85" w:lineRule="exact"/>
        <w:rPr>
          <w:sz w:val="24"/>
          <w:szCs w:val="24"/>
          <w:color w:val="auto"/>
        </w:rPr>
      </w:pPr>
    </w:p>
    <w:p>
      <w:pPr>
        <w:ind w:right="3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4"/>
          <w:szCs w:val="14"/>
          <w:color w:val="auto"/>
        </w:rPr>
        <w:t>☐</w:t>
      </w:r>
    </w:p>
    <w:p>
      <w:pPr>
        <w:spacing w:after="0" w:line="60"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u w:val="single" w:color="auto"/>
          <w:color w:val="auto"/>
        </w:rPr>
        <w:t>Results of Operations and Financial Condition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May 28, 2026, Burlington Stores, Inc. issued a press release announcing its operating results for the first quarter ended May 2, 2026. A copy of the press release is furnished as Exhibit 99.1 to this Current Report.</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Exhibit 99.1 attached hereto, is being furnished and shall not be deemed to be “filed” for purposes of Section 18 of, or otherwise regarded as filed under, the Securities Exchange Act of 1934, as amended (the “Exchange Act”), nor shall it be deemed incorporated by reference into any filing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60" w:type="dxa"/>
            <w:vAlign w:val="bottom"/>
          </w:tcPr>
          <w:p>
            <w:pPr>
              <w:spacing w:after="0"/>
              <w:rPr>
                <w:sz w:val="13"/>
                <w:szCs w:val="13"/>
                <w:color w:val="auto"/>
              </w:rPr>
            </w:pPr>
          </w:p>
        </w:tc>
        <w:tc>
          <w:tcPr>
            <w:tcW w:w="4880" w:type="dxa"/>
            <w:vAlign w:val="bottom"/>
          </w:tcPr>
          <w:p>
            <w:pPr>
              <w:spacing w:after="0"/>
              <w:rPr>
                <w:sz w:val="13"/>
                <w:szCs w:val="13"/>
                <w:color w:val="auto"/>
              </w:rPr>
            </w:pPr>
          </w:p>
        </w:tc>
      </w:tr>
      <w:tr>
        <w:trPr>
          <w:trHeight w:val="204"/>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99.1</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28, 2026 (earnings release announcement)</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37"/>
        </w:trPr>
        <w:tc>
          <w:tcPr>
            <w:tcW w:w="1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50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24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/s/ David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David Glick</w:t>
      </w:r>
    </w:p>
    <w:p>
      <w:pPr>
        <w:spacing w:after="0" w:line="27"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7"/>
          <w:szCs w:val="17"/>
          <w:color w:val="auto"/>
        </w:rPr>
        <w:t>Group Senior Vice President of Investor Relations and</w:t>
      </w:r>
    </w:p>
    <w:p>
      <w:pPr>
        <w:spacing w:after="0" w:line="2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Treasurer</w:t>
      </w: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08" w:right="6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328295</wp:posOffset>
            </wp:positionV>
            <wp:extent cx="1705610"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56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25"/>
          <w:szCs w:val="25"/>
          <w:b w:val="1"/>
          <w:bCs w:val="1"/>
          <w:u w:val="single" w:color="auto"/>
          <w:color w:val="auto"/>
        </w:rPr>
        <w:t xml:space="preserve">BURLINGTON STORES REPORTS STRONG FIRST QUARTER SALES AND EARNINGS GROWTH, WELL AHEAD OF GUIDANCE. THIS REPRESENTS THE </w:t>
      </w:r>
      <w:r>
        <w:rPr>
          <w:rFonts w:ascii="Times New Roman" w:cs="Times New Roman" w:eastAsia="Times New Roman" w:hAnsi="Times New Roman"/>
          <w:sz w:val="25"/>
          <w:szCs w:val="25"/>
          <w:b w:val="1"/>
          <w:bCs w:val="1"/>
          <w:color w:val="auto"/>
        </w:rPr>
        <w:t>14</w:t>
      </w:r>
      <w:r>
        <w:rPr>
          <w:rFonts w:ascii="Times New Roman" w:cs="Times New Roman" w:eastAsia="Times New Roman" w:hAnsi="Times New Roman"/>
          <w:sz w:val="33"/>
          <w:szCs w:val="33"/>
          <w:b w:val="1"/>
          <w:bCs w:val="1"/>
          <w:u w:val="single" w:color="auto"/>
          <w:color w:val="auto"/>
          <w:vertAlign w:val="superscript"/>
        </w:rPr>
        <w:t>TH</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b w:val="1"/>
          <w:bCs w:val="1"/>
          <w:u w:val="single" w:color="auto"/>
          <w:color w:val="auto"/>
        </w:rPr>
        <w:t>CONSECUTIVE QUARTER OF DOUBLE DIGIT EPS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-166370</wp:posOffset>
            </wp:positionV>
            <wp:extent cx="2000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90" w:lineRule="exact"/>
        <w:rPr>
          <w:sz w:val="20"/>
          <w:szCs w:val="20"/>
          <w:color w:val="auto"/>
        </w:rPr>
      </w:pPr>
    </w:p>
    <w:p>
      <w:pPr>
        <w:ind w:left="1540" w:hanging="514"/>
        <w:spacing w:after="0"/>
        <w:tabs>
          <w:tab w:leader="none" w:pos="1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Total sales increased 14%, on top of 6% last year</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Comparable store sales increased 6%</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Net income was $115 million, and diluted EPS was $1.79</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Excluding certain expenses associated with bankruptcy acquired leases:</w:t>
      </w:r>
    </w:p>
    <w:p>
      <w:pPr>
        <w:spacing w:after="0" w:line="98" w:lineRule="exact"/>
        <w:rPr>
          <w:rFonts w:ascii="Times New Roman" w:cs="Times New Roman" w:eastAsia="Times New Roman" w:hAnsi="Times New Roman"/>
          <w:sz w:val="22"/>
          <w:szCs w:val="22"/>
          <w:color w:val="auto"/>
        </w:rPr>
      </w:pPr>
    </w:p>
    <w:p>
      <w:pPr>
        <w:ind w:left="2040" w:hanging="505"/>
        <w:spacing w:after="0"/>
        <w:tabs>
          <w:tab w:leader="none" w:pos="20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Adjusted EPS increased 26% to $2.10, well above guidance</w:t>
      </w:r>
    </w:p>
    <w:p>
      <w:pPr>
        <w:spacing w:after="0" w:line="98" w:lineRule="exact"/>
        <w:rPr>
          <w:rFonts w:ascii="Times New Roman" w:cs="Times New Roman" w:eastAsia="Times New Roman" w:hAnsi="Times New Roman"/>
          <w:sz w:val="22"/>
          <w:szCs w:val="22"/>
          <w:color w:val="auto"/>
        </w:rPr>
      </w:pPr>
    </w:p>
    <w:p>
      <w:pPr>
        <w:ind w:left="2040" w:hanging="505"/>
        <w:spacing w:after="0"/>
        <w:tabs>
          <w:tab w:leader="none" w:pos="20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Full year adjusted EPS guidance is now $11.45 to $11.80</w:t>
      </w:r>
    </w:p>
    <w:p>
      <w:pPr>
        <w:spacing w:after="0" w:line="233" w:lineRule="exact"/>
        <w:rPr>
          <w:sz w:val="20"/>
          <w:szCs w:val="20"/>
          <w:color w:val="auto"/>
        </w:rPr>
      </w:pPr>
    </w:p>
    <w:p>
      <w:pPr>
        <w:jc w:val="both"/>
        <w:ind w:right="50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BURLINGTON, New Jersey; May 28, 2026 — </w:t>
      </w:r>
      <w:r>
        <w:rPr>
          <w:rFonts w:ascii="Times New Roman" w:cs="Times New Roman" w:eastAsia="Times New Roman" w:hAnsi="Times New Roman"/>
          <w:sz w:val="22"/>
          <w:szCs w:val="22"/>
          <w:color w:val="auto"/>
        </w:rPr>
        <w:t>Burlington Stores, Inc. (NYSE: BURL), a nationally recognized off-price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retailer of high-quality, branded apparel, footwear, accessories, and merchandise for the home at everyday low prices, today announced its results for the first quarter ended May 2, 2026.</w:t>
      </w:r>
    </w:p>
    <w:p>
      <w:pPr>
        <w:spacing w:after="0" w:line="19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Michael O’Sullivan, CEO, stated, “We are pleased with our strong performance in the first quarter. Adjusted EPS grew 26% versus the first quarter of last year, which represented our 14th consecutive quarter of double digit EPS growth. This track record demonstrates our ability to consistently convert sales into operating margin expansion thereby driving strong earnings flow-through.”</w:t>
      </w:r>
    </w:p>
    <w:p>
      <w:pPr>
        <w:spacing w:after="0" w:line="20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Mr. O’Sullivan continued, “Total sales increased 14%, while comparable store sales increased 6%, well ahead of our guidance. Adjusted EBIT Margin increased 20 basis points, again well ahead of our guidance. This operating margin expansion was driven by ahead of plan sales, higher gross margin, and leverage on supply chain expenses.”</w:t>
      </w:r>
    </w:p>
    <w:p>
      <w:pPr>
        <w:spacing w:after="0" w:line="200"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22"/>
          <w:szCs w:val="22"/>
          <w:color w:val="auto"/>
        </w:rPr>
        <w:t>Mr. O’Sullivan continued, “We are raising our full year Fiscal 2026 sales and earnings guidance, passing through the entire upside from the first quarter to the full year. Our updated guidance is for comp store sales to increase 2% to 4%, and for EPS growth of 13% to 16%. These numbers underscore our ability to convert incremental comp sales into very strong earnings growth.”</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Fiscal 2026 First Quarter Operating Results</w:t>
      </w:r>
    </w:p>
    <w:p>
      <w:pPr>
        <w:spacing w:after="0" w:line="341" w:lineRule="exact"/>
        <w:rPr>
          <w:sz w:val="20"/>
          <w:szCs w:val="20"/>
          <w:color w:val="auto"/>
        </w:rPr>
      </w:pPr>
    </w:p>
    <w:p>
      <w:pPr>
        <w:ind w:left="1020" w:right="420" w:hanging="503"/>
        <w:spacing w:after="0" w:line="262"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Total sales </w:t>
      </w:r>
      <w:r>
        <w:rPr>
          <w:rFonts w:ascii="Times New Roman" w:cs="Times New Roman" w:eastAsia="Times New Roman" w:hAnsi="Times New Roman"/>
          <w:sz w:val="22"/>
          <w:szCs w:val="22"/>
          <w:color w:val="auto"/>
        </w:rPr>
        <w:t>increased 14% compared to the first quarter of Fiscal 2025 to $2,852 million, while comparable store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sales increased 6% compared to the first quarter of Fiscal 2025. </w:t>
      </w:r>
    </w:p>
    <w:p>
      <w:pPr>
        <w:spacing w:after="0" w:line="41" w:lineRule="exact"/>
        <w:rPr>
          <w:rFonts w:ascii="Times New Roman" w:cs="Times New Roman" w:eastAsia="Times New Roman" w:hAnsi="Times New Roman"/>
          <w:sz w:val="22"/>
          <w:szCs w:val="22"/>
          <w:color w:val="auto"/>
        </w:rPr>
      </w:pPr>
    </w:p>
    <w:p>
      <w:pPr>
        <w:ind w:left="1020" w:hanging="503"/>
        <w:spacing w:after="0" w:line="246"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Gross margin </w:t>
      </w:r>
      <w:r>
        <w:rPr>
          <w:rFonts w:ascii="Times New Roman" w:cs="Times New Roman" w:eastAsia="Times New Roman" w:hAnsi="Times New Roman"/>
          <w:sz w:val="22"/>
          <w:szCs w:val="22"/>
          <w:color w:val="auto"/>
        </w:rPr>
        <w:t>rate as a percentage of net sales was 44.1% vs. 43.8% for the first quarter of Fiscal 2025, an increase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30 basis points. Merchandise margin expanded 20 basis points, while freight expense improved 10 basis points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4" w:name="page5"/>
    <w:bookmarkEnd w:id="4"/>
    <w:p>
      <w:pPr>
        <w:jc w:val="both"/>
        <w:ind w:left="1020" w:right="460" w:hanging="503"/>
        <w:spacing w:after="0" w:line="246" w:lineRule="auto"/>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Product sourcing costs, </w:t>
      </w:r>
      <w:r>
        <w:rPr>
          <w:rFonts w:ascii="Times New Roman" w:cs="Times New Roman" w:eastAsia="Times New Roman" w:hAnsi="Times New Roman"/>
          <w:sz w:val="22"/>
          <w:szCs w:val="22"/>
          <w:color w:val="auto"/>
        </w:rPr>
        <w:t>which are included in selling, general and administrative expenses (SG&amp;A), were $216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vs. $197 million in the first quarter of Fiscal 2025. Product sourcing costs include the costs of processing goods through our supply chain and buying costs.  </w:t>
      </w:r>
    </w:p>
    <w:p>
      <w:pPr>
        <w:spacing w:after="0" w:line="59" w:lineRule="exact"/>
        <w:rPr>
          <w:rFonts w:ascii="Times New Roman" w:cs="Times New Roman" w:eastAsia="Times New Roman" w:hAnsi="Times New Roman"/>
          <w:sz w:val="22"/>
          <w:szCs w:val="22"/>
          <w:color w:val="auto"/>
        </w:rPr>
      </w:pPr>
    </w:p>
    <w:p>
      <w:pPr>
        <w:ind w:left="1020" w:right="600" w:hanging="503"/>
        <w:spacing w:after="0" w:line="246" w:lineRule="auto"/>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SG&amp;A </w:t>
      </w:r>
      <w:r>
        <w:rPr>
          <w:rFonts w:ascii="Times New Roman" w:cs="Times New Roman" w:eastAsia="Times New Roman" w:hAnsi="Times New Roman"/>
          <w:sz w:val="22"/>
          <w:szCs w:val="22"/>
          <w:color w:val="auto"/>
        </w:rPr>
        <w:t>was 34.7% as a percentage of net sales vs 34.7% in the first quarter of Fiscal 2025.</w:t>
      </w:r>
      <w:r>
        <w:rPr>
          <w:rFonts w:ascii="Times New Roman" w:cs="Times New Roman" w:eastAsia="Times New Roman" w:hAnsi="Times New Roman"/>
          <w:sz w:val="22"/>
          <w:szCs w:val="22"/>
          <w:b w:val="1"/>
          <w:bCs w:val="1"/>
          <w:color w:val="auto"/>
        </w:rPr>
        <w:t xml:space="preserve"> Adjusted SG&amp;A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excluding $7 million and $6 million of expenses, respectively, associated with bankruptcy acquired leases, was 26.8% as a percentage of net sales vs. 26.6% in the first quarter of Fiscal 2025. </w:t>
      </w:r>
    </w:p>
    <w:p>
      <w:pPr>
        <w:spacing w:after="0" w:line="59" w:lineRule="exact"/>
        <w:rPr>
          <w:rFonts w:ascii="Times New Roman" w:cs="Times New Roman" w:eastAsia="Times New Roman" w:hAnsi="Times New Roman"/>
          <w:sz w:val="22"/>
          <w:szCs w:val="22"/>
          <w:color w:val="auto"/>
        </w:rPr>
      </w:pPr>
    </w:p>
    <w:p>
      <w:pPr>
        <w:ind w:left="1020" w:right="320" w:hanging="503"/>
        <w:spacing w:after="0" w:line="262" w:lineRule="auto"/>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The effective tax rate </w:t>
      </w:r>
      <w:r>
        <w:rPr>
          <w:rFonts w:ascii="Times New Roman" w:cs="Times New Roman" w:eastAsia="Times New Roman" w:hAnsi="Times New Roman"/>
          <w:sz w:val="22"/>
          <w:szCs w:val="22"/>
          <w:color w:val="auto"/>
        </w:rPr>
        <w:t>was 19.6% vs. 24.1% in the first quarter of Fiscal 2025.</w:t>
      </w:r>
      <w:r>
        <w:rPr>
          <w:rFonts w:ascii="Times New Roman" w:cs="Times New Roman" w:eastAsia="Times New Roman" w:hAnsi="Times New Roman"/>
          <w:sz w:val="22"/>
          <w:szCs w:val="22"/>
          <w:b w:val="1"/>
          <w:bCs w:val="1"/>
          <w:color w:val="auto"/>
        </w:rPr>
        <w:t xml:space="preserve"> The Adjusted Effective Tax Rate </w:t>
      </w:r>
      <w:r>
        <w:rPr>
          <w:rFonts w:ascii="Times New Roman" w:cs="Times New Roman" w:eastAsia="Times New Roman" w:hAnsi="Times New Roman"/>
          <w:sz w:val="22"/>
          <w:szCs w:val="22"/>
          <w:color w:val="auto"/>
        </w:rPr>
        <w:t>was 20.1% vs. 24.1% in the first quarter of Fiscal 2025.</w:t>
      </w:r>
    </w:p>
    <w:p>
      <w:pPr>
        <w:spacing w:after="0" w:line="41" w:lineRule="exact"/>
        <w:rPr>
          <w:rFonts w:ascii="Times New Roman" w:cs="Times New Roman" w:eastAsia="Times New Roman" w:hAnsi="Times New Roman"/>
          <w:sz w:val="22"/>
          <w:szCs w:val="22"/>
          <w:color w:val="auto"/>
        </w:rPr>
      </w:pPr>
    </w:p>
    <w:p>
      <w:pPr>
        <w:jc w:val="both"/>
        <w:ind w:left="1020" w:hanging="503"/>
        <w:spacing w:after="0" w:line="241" w:lineRule="auto"/>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Net income </w:t>
      </w:r>
      <w:r>
        <w:rPr>
          <w:rFonts w:ascii="Times New Roman" w:cs="Times New Roman" w:eastAsia="Times New Roman" w:hAnsi="Times New Roman"/>
          <w:sz w:val="22"/>
          <w:szCs w:val="22"/>
          <w:color w:val="auto"/>
        </w:rPr>
        <w:t>was $115 million, or $1.79 per share vs. $101 million, or $1.58 per share for the first quarter of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2025. </w:t>
      </w:r>
      <w:r>
        <w:rPr>
          <w:rFonts w:ascii="Times New Roman" w:cs="Times New Roman" w:eastAsia="Times New Roman" w:hAnsi="Times New Roman"/>
          <w:sz w:val="22"/>
          <w:szCs w:val="22"/>
          <w:b w:val="1"/>
          <w:bCs w:val="1"/>
          <w:color w:val="auto"/>
        </w:rPr>
        <w:t>Adjusted Net Income</w:t>
      </w:r>
      <w:r>
        <w:rPr>
          <w:rFonts w:ascii="Times New Roman" w:cs="Times New Roman" w:eastAsia="Times New Roman" w:hAnsi="Times New Roman"/>
          <w:sz w:val="22"/>
          <w:szCs w:val="22"/>
          <w:color w:val="auto"/>
        </w:rPr>
        <w:t xml:space="preserve"> was $134 million, or $2.10 per share, vs. $107 million, or $1.67 per share for the first quarter of Fiscal 2025, excluding $5 million and $4 million, respectively, of expenses in each period, net of tax, associated with bankruptcy acquired leases.  </w:t>
      </w:r>
    </w:p>
    <w:p>
      <w:pPr>
        <w:spacing w:after="0" w:line="63" w:lineRule="exact"/>
        <w:rPr>
          <w:rFonts w:ascii="Times New Roman" w:cs="Times New Roman" w:eastAsia="Times New Roman" w:hAnsi="Times New Roman"/>
          <w:sz w:val="22"/>
          <w:szCs w:val="22"/>
          <w:color w:val="auto"/>
        </w:rPr>
      </w:pPr>
    </w:p>
    <w:p>
      <w:pPr>
        <w:ind w:left="1020" w:right="20" w:hanging="503"/>
        <w:spacing w:after="0" w:line="262" w:lineRule="auto"/>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Diluted weighted average shares outstanding </w:t>
      </w:r>
      <w:r>
        <w:rPr>
          <w:rFonts w:ascii="Times New Roman" w:cs="Times New Roman" w:eastAsia="Times New Roman" w:hAnsi="Times New Roman"/>
          <w:sz w:val="22"/>
          <w:szCs w:val="22"/>
          <w:color w:val="auto"/>
        </w:rPr>
        <w:t>amounted to 64.1 million during the quarter compared with 64.0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during the first quarter of Fiscal 2025.  </w:t>
      </w:r>
    </w:p>
    <w:p>
      <w:pPr>
        <w:spacing w:after="0" w:line="41" w:lineRule="exact"/>
        <w:rPr>
          <w:rFonts w:ascii="Times New Roman" w:cs="Times New Roman" w:eastAsia="Times New Roman" w:hAnsi="Times New Roman"/>
          <w:sz w:val="22"/>
          <w:szCs w:val="22"/>
          <w:color w:val="auto"/>
        </w:rPr>
      </w:pPr>
    </w:p>
    <w:p>
      <w:pPr>
        <w:jc w:val="both"/>
        <w:ind w:left="1020" w:hanging="503"/>
        <w:spacing w:after="0" w:line="248" w:lineRule="auto"/>
        <w:tabs>
          <w:tab w:leader="none" w:pos="10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Adjusted EBITDA </w:t>
      </w:r>
      <w:r>
        <w:rPr>
          <w:rFonts w:ascii="Times New Roman" w:cs="Times New Roman" w:eastAsia="Times New Roman" w:hAnsi="Times New Roman"/>
          <w:sz w:val="21"/>
          <w:szCs w:val="21"/>
          <w:color w:val="auto"/>
        </w:rPr>
        <w:t>was $284 million vs. $244 million in the first quarter of Fiscal 2025, excluding $7 million and $6</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million, respectively, of expenses in each period associated with bankruptcy acquired leases, an increase of 20 basis points as a percentage of sales. </w:t>
      </w:r>
      <w:r>
        <w:rPr>
          <w:rFonts w:ascii="Times New Roman" w:cs="Times New Roman" w:eastAsia="Times New Roman" w:hAnsi="Times New Roman"/>
          <w:sz w:val="21"/>
          <w:szCs w:val="21"/>
          <w:b w:val="1"/>
          <w:bCs w:val="1"/>
          <w:color w:val="auto"/>
        </w:rPr>
        <w:t>Adjusted EBIT</w:t>
      </w:r>
      <w:r>
        <w:rPr>
          <w:rFonts w:ascii="Times New Roman" w:cs="Times New Roman" w:eastAsia="Times New Roman" w:hAnsi="Times New Roman"/>
          <w:sz w:val="21"/>
          <w:szCs w:val="21"/>
          <w:color w:val="auto"/>
        </w:rPr>
        <w:t xml:space="preserve"> was $179 million vs. $152 million in the first quarter of Fiscal 2025, excluding $7 million and $6 million of expenses, respectively, in each period associated with bankruptcy acquired</w:t>
      </w:r>
    </w:p>
    <w:p>
      <w:pPr>
        <w:ind w:left="1020"/>
        <w:spacing w:after="0" w:line="232" w:lineRule="auto"/>
        <w:rPr>
          <w:sz w:val="20"/>
          <w:szCs w:val="20"/>
          <w:color w:val="auto"/>
        </w:rPr>
      </w:pPr>
      <w:r>
        <w:rPr>
          <w:rFonts w:ascii="Times New Roman" w:cs="Times New Roman" w:eastAsia="Times New Roman" w:hAnsi="Times New Roman"/>
          <w:sz w:val="22"/>
          <w:szCs w:val="22"/>
          <w:color w:val="auto"/>
        </w:rPr>
        <w:t>leases, an increase of 20 basis points as a percentage of sales.  </w:t>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Inventory</w:t>
      </w:r>
    </w:p>
    <w:p>
      <w:pPr>
        <w:spacing w:after="0" w:line="74" w:lineRule="exact"/>
        <w:rPr>
          <w:sz w:val="20"/>
          <w:szCs w:val="20"/>
          <w:color w:val="auto"/>
        </w:rPr>
      </w:pPr>
    </w:p>
    <w:p>
      <w:pPr>
        <w:jc w:val="both"/>
        <w:ind w:left="1020" w:hanging="503"/>
        <w:spacing w:after="0" w:line="23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Merchandise inventories were $1,444 million vs. $1,315 million at the end of the first quarter of Fiscal 2025, a 10% increase, driven by our 127 net new stores and a comparable store inventory increase of 11% compared to the first quarter of Fiscal 2025. Reserve inventory was 41% of total inventory at the end of the first quarter of Fiscal 2026 compared to 48% at the end of the first quarter of Fiscal 2025. Reserve inventory is largely composed of merchandise that is purchased opportunistically and will be sent to stores in future months or next season.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Liquidity and Debt</w:t>
      </w:r>
    </w:p>
    <w:p>
      <w:pPr>
        <w:spacing w:after="0" w:line="102" w:lineRule="exact"/>
        <w:rPr>
          <w:sz w:val="20"/>
          <w:szCs w:val="20"/>
          <w:color w:val="auto"/>
        </w:rPr>
      </w:pPr>
    </w:p>
    <w:p>
      <w:pPr>
        <w:ind w:left="1020" w:hanging="503"/>
        <w:spacing w:after="0" w:line="258" w:lineRule="auto"/>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ended the first quarter of Fiscal 2026 with $1,689 million in liquidity, comprised of $747 million in unrestricted cash and $942 million in availability on its ABL facility.</w:t>
      </w:r>
    </w:p>
    <w:p>
      <w:pPr>
        <w:spacing w:after="0" w:line="50" w:lineRule="exact"/>
        <w:rPr>
          <w:rFonts w:ascii="Times New Roman" w:cs="Times New Roman" w:eastAsia="Times New Roman" w:hAnsi="Times New Roman"/>
          <w:sz w:val="22"/>
          <w:szCs w:val="22"/>
          <w:color w:val="auto"/>
        </w:rPr>
      </w:pPr>
    </w:p>
    <w:p>
      <w:pPr>
        <w:ind w:left="1020" w:right="20" w:hanging="503"/>
        <w:spacing w:after="0" w:line="244" w:lineRule="auto"/>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first quarter of Fiscal 2026, the Company entered into privately negotiated transactions to repurchase $111 million in principal amount of the Company’s outstanding 1.25% Convertible Notes. The total transaction value of $173 million was settled with $129 million in cash and the issuance of 150,831 shares of common stock.</w:t>
      </w:r>
    </w:p>
    <w:p>
      <w:pPr>
        <w:spacing w:after="0" w:line="65" w:lineRule="exact"/>
        <w:rPr>
          <w:rFonts w:ascii="Times New Roman" w:cs="Times New Roman" w:eastAsia="Times New Roman" w:hAnsi="Times New Roman"/>
          <w:sz w:val="22"/>
          <w:szCs w:val="22"/>
          <w:color w:val="auto"/>
        </w:rPr>
      </w:pPr>
    </w:p>
    <w:p>
      <w:pPr>
        <w:ind w:left="1020" w:hanging="503"/>
        <w:spacing w:after="0" w:line="258" w:lineRule="auto"/>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ended the first quarter with $1,917 million in outstanding total debt, including $1,716 million on its Term Loan facility, $186 million in Convertible Notes, and no borrowings on its ABL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Repurchases</w:t>
      </w:r>
    </w:p>
    <w:p>
      <w:pPr>
        <w:spacing w:after="0" w:line="102" w:lineRule="exact"/>
        <w:rPr>
          <w:sz w:val="20"/>
          <w:szCs w:val="20"/>
          <w:color w:val="auto"/>
        </w:rPr>
      </w:pPr>
    </w:p>
    <w:p>
      <w:pPr>
        <w:jc w:val="both"/>
        <w:ind w:left="1020" w:right="80" w:hanging="503"/>
        <w:spacing w:after="0" w:line="244" w:lineRule="auto"/>
        <w:tabs>
          <w:tab w:leader="none" w:pos="10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first quarter of Fiscal 2026, the Company repurchased 257,906 shares of its common stock under its share repurchase program for $81 million. As of the end of the first quarter of Fiscal 2026, the Company had $304 million remaining on its current share repurchase program authorization.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 Fiscal Year 2026 (the 52-weeks ending January 30, 2027), the Company now expects: </w:t>
      </w:r>
      <w:r>
        <w:rPr>
          <w:rFonts w:ascii="Times New Roman" w:cs="Times New Roman" w:eastAsia="Times New Roman" w:hAnsi="Times New Roman"/>
          <w:sz w:val="22"/>
          <w:szCs w:val="22"/>
          <w:b w:val="1"/>
          <w:bCs w:val="1"/>
          <w:color w:val="auto"/>
        </w:rPr>
        <w:t> </w:t>
      </w:r>
    </w:p>
    <w:p>
      <w:pPr>
        <w:spacing w:after="0" w:line="74" w:lineRule="exact"/>
        <w:rPr>
          <w:sz w:val="20"/>
          <w:szCs w:val="20"/>
          <w:color w:val="auto"/>
        </w:rPr>
      </w:pPr>
    </w:p>
    <w:p>
      <w:pPr>
        <w:jc w:val="both"/>
        <w:ind w:left="1020" w:right="820" w:hanging="503"/>
        <w:spacing w:after="0" w:line="282" w:lineRule="auto"/>
        <w:tabs>
          <w:tab w:leader="none" w:pos="10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sales to increase in the range of 9% to 11% on top of the 9% increase during Fiscal 2025; this assumes comparable store sales will increase in the range of 2% to 4%, on top of the 2% increase during Fiscal 2025;</w:t>
      </w:r>
    </w:p>
    <w:p>
      <w:pPr>
        <w:spacing w:after="0" w:line="26"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net of landlord allowances, to be approximately $875 million;</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open approximately 115 net new stores; </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and amortization to be approximately $465 million; </w:t>
      </w:r>
    </w:p>
    <w:p>
      <w:pPr>
        <w:spacing w:after="0" w:line="98" w:lineRule="exact"/>
        <w:rPr>
          <w:rFonts w:ascii="Times New Roman" w:cs="Times New Roman" w:eastAsia="Times New Roman" w:hAnsi="Times New Roman"/>
          <w:sz w:val="22"/>
          <w:szCs w:val="22"/>
          <w:color w:val="auto"/>
        </w:rPr>
      </w:pPr>
    </w:p>
    <w:p>
      <w:pPr>
        <w:ind w:left="1020" w:right="180" w:hanging="503"/>
        <w:spacing w:after="0" w:line="258" w:lineRule="auto"/>
        <w:tabs>
          <w:tab w:leader="none" w:pos="1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 margin to increase in the range of 10 to 30 basis points versus Fiscal 2025; excluding $10 million of anticipated expenses associated with bankruptcy acquired leases in Fiscal 2026 and $35 million in Fiscal 2025;</w:t>
      </w:r>
    </w:p>
    <w:p>
      <w:pPr>
        <w:spacing w:after="0" w:line="50"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interest expense to be approximately $60 million; </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Adjusted Effective Tax Rate of approximately 25%; and</w:t>
      </w:r>
    </w:p>
    <w:p>
      <w:pPr>
        <w:spacing w:after="0" w:line="98" w:lineRule="exact"/>
        <w:rPr>
          <w:rFonts w:ascii="Times New Roman" w:cs="Times New Roman" w:eastAsia="Times New Roman" w:hAnsi="Times New Roman"/>
          <w:sz w:val="22"/>
          <w:szCs w:val="22"/>
          <w:color w:val="auto"/>
        </w:rPr>
      </w:pPr>
    </w:p>
    <w:p>
      <w:pPr>
        <w:ind w:left="1020" w:right="40" w:hanging="503"/>
        <w:spacing w:after="0" w:line="244" w:lineRule="auto"/>
        <w:tabs>
          <w:tab w:leader="none" w:pos="1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EPS in the range of $11.45 to $11.80, as compared to $10.17 of Adjusted EPS last year; excluding $8 million, net of tax, of anticipated expenses associated with bankruptcy acquired leases in Fiscal 2026 and $26 million in Fiscal 2025. This assumes a fully diluted share count of approximately 64 million shares.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 the second quarter of Fiscal 2026 (the 13-weeks ending August 1, 2026), the Company expects: </w:t>
      </w:r>
    </w:p>
    <w:p>
      <w:pPr>
        <w:spacing w:after="0" w:line="102" w:lineRule="exact"/>
        <w:rPr>
          <w:sz w:val="20"/>
          <w:szCs w:val="20"/>
          <w:color w:val="auto"/>
        </w:rPr>
      </w:pPr>
    </w:p>
    <w:p>
      <w:pPr>
        <w:ind w:left="1020" w:right="180" w:hanging="503"/>
        <w:spacing w:after="0" w:line="258" w:lineRule="auto"/>
        <w:tabs>
          <w:tab w:leader="none" w:pos="10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sales to increase in the range of 10% to 12%; this assumes comparable store sales will increase in the range of 1% to 3% versus the second quarter of Fiscal 2025;</w:t>
      </w:r>
    </w:p>
    <w:p>
      <w:pPr>
        <w:spacing w:after="0" w:line="50" w:lineRule="exact"/>
        <w:rPr>
          <w:rFonts w:ascii="Times New Roman" w:cs="Times New Roman" w:eastAsia="Times New Roman" w:hAnsi="Times New Roman"/>
          <w:sz w:val="22"/>
          <w:szCs w:val="22"/>
          <w:color w:val="auto"/>
        </w:rPr>
      </w:pPr>
    </w:p>
    <w:p>
      <w:pPr>
        <w:ind w:left="1020" w:right="60" w:hanging="503"/>
        <w:spacing w:after="0" w:line="244" w:lineRule="auto"/>
        <w:tabs>
          <w:tab w:leader="none" w:pos="10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 margin to increase 30 to 60 basis points versus the second quarter of Fiscal 2025; excluding approximately $3 million of anticipated expenses associated with bankruptcy acquired leases in the second quarter of Fiscal 2026 and $11 million in the second quarter of Fiscal 2025;</w:t>
      </w:r>
    </w:p>
    <w:p>
      <w:pPr>
        <w:spacing w:after="0" w:line="65"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Adjusted Effective Tax Rate of approximately 23%; and </w:t>
      </w:r>
    </w:p>
    <w:p>
      <w:pPr>
        <w:spacing w:after="0" w:line="98" w:lineRule="exact"/>
        <w:rPr>
          <w:rFonts w:ascii="Times New Roman" w:cs="Times New Roman" w:eastAsia="Times New Roman" w:hAnsi="Times New Roman"/>
          <w:sz w:val="22"/>
          <w:szCs w:val="22"/>
          <w:color w:val="auto"/>
        </w:rPr>
      </w:pPr>
    </w:p>
    <w:p>
      <w:pPr>
        <w:ind w:left="1020" w:right="200" w:hanging="503"/>
        <w:spacing w:after="0" w:line="244" w:lineRule="auto"/>
        <w:tabs>
          <w:tab w:leader="none" w:pos="10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EPS in the range of $2.05 to $2.20, as compared to $1.72 in Adjusted EPS last year; excluding $2 million, net of tax, of anticipated expenses associated with bankruptcy acquired leases in the second quarter of Fiscal 2026 and $8 million in the second quarter of Fiscal 2025.</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The Company has not presented a quantitative reconciliation of the forward-looking non-GAAP financial measures set out above to their most comparable GAAP financial measures because it would require the Company to create estimated ranges on a GAAP basis, which would entail unreasonable effort. Adjustments required to reconcile forward-looking non-GAAP measures cannot be predicted with reasonable certainty but may include, among others, costs related to debt amendments, loss on extinguishment of debt, and impairment charges, as well as the tax effect of such items. Some or all of those adjustments could be significant.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 Regarding Non-GAAP Financial Measures</w:t>
      </w:r>
    </w:p>
    <w:p>
      <w:pPr>
        <w:spacing w:after="0" w:line="23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foregoing discussion of the Company’s operating results includes references to Adjusted SG&amp;A, Adjusted EBITDA, Adjusted Net Income, Adjusted Earnings per Share (or Adjusted EPS), Adjusted EBIT (or Adjusted EBIT Margin), and Adjusted Effective Tax Rate. The Company believes these supplemental measures are useful in evaluating the performance of our business and provide greater transparency into our results of operations. In particular, we believe that excluding certain items that may vary substantially in frequency and</w:t>
      </w: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6" w:name="page7"/>
    <w:bookmarkEnd w:id="6"/>
    <w:p>
      <w:pPr>
        <w:ind w:right="60"/>
        <w:spacing w:after="0" w:line="239" w:lineRule="auto"/>
        <w:rPr>
          <w:sz w:val="20"/>
          <w:szCs w:val="20"/>
          <w:color w:val="auto"/>
        </w:rPr>
      </w:pPr>
      <w:r>
        <w:rPr>
          <w:rFonts w:ascii="Times New Roman" w:cs="Times New Roman" w:eastAsia="Times New Roman" w:hAnsi="Times New Roman"/>
          <w:sz w:val="22"/>
          <w:szCs w:val="22"/>
          <w:color w:val="auto"/>
        </w:rPr>
        <w:t>magnitude from what we consider to be our core operating results are useful supplemental measures that assist investors and management in evaluating our ability to generate earnings and leverage sales, and to more readily compare core operating results between past and future periods.  These non-GAAP financial measures are defined and reconciled to the most comparable GAAP measures later in this document.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Conference Call</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0A0A0A"/>
        </w:rPr>
        <w:t>The Company will hold a conference call on May 28, 2026 at 8:30 a.m. ET to discuss the Company’s first quarter results. The U.S. toll free dial-in for the conference call is 1-800-715-9871 (passcode: 8704025) and the international dial-in number is 1-646-307-1963. A live webcast of the conference call will also be available on the investor relations page of the company's website at </w:t>
      </w:r>
      <w:r>
        <w:rPr>
          <w:rFonts w:ascii="Times New Roman" w:cs="Times New Roman" w:eastAsia="Times New Roman" w:hAnsi="Times New Roman"/>
          <w:sz w:val="22"/>
          <w:szCs w:val="22"/>
          <w:color w:val="0000FF"/>
        </w:rPr>
        <w:t>www.burlingtoninvestors.com</w:t>
      </w:r>
      <w:r>
        <w:rPr>
          <w:rFonts w:ascii="Times New Roman" w:cs="Times New Roman" w:eastAsia="Times New Roman" w:hAnsi="Times New Roman"/>
          <w:sz w:val="22"/>
          <w:szCs w:val="22"/>
          <w:color w:val="0A0A0A"/>
        </w:rPr>
        <w:t>. </w:t>
      </w:r>
      <w:r>
        <w:rPr>
          <w:rFonts w:ascii="Times New Roman" w:cs="Times New Roman" w:eastAsia="Times New Roman" w:hAnsi="Times New Roman"/>
          <w:sz w:val="19"/>
          <w:szCs w:val="19"/>
          <w:color w:val="000000"/>
        </w:rPr>
        <w:t> </w:t>
      </w:r>
    </w:p>
    <w:p>
      <w:pPr>
        <w:spacing w:after="0" w:line="194"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For those unable to participate in the conference call, a replay will be available after the conclusion of the call on May 28, 2026 beginning at 11:30 a.m. ET through 11:59 p.m. ET on June 4, 2026. The U.S. toll-free replay dial-in number is 1-800-770-2030 and the international replay dial-in number is 1-609-800-9909. The replay passcode is 8704025.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Burlington Stores, Inc.</w:t>
      </w:r>
    </w:p>
    <w:p>
      <w:pPr>
        <w:spacing w:after="0" w:line="237"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Burlington Stores, Inc., headquartered in New Jersey, is a nationally recognized off-price retailer with Fiscal 2025 net sales of $11.5 billion. The Company is a Fortune 500 company and its common stock is traded on the New York Stock Exchange under the ticker symbol “BURL.” The Company operated 1,242 stores as of the end of the first quarter of Fiscal 2026 in 47 states, Washington D.C. and Puerto Rico, principally under the name Burlington Stores. The Company’s stores offer an extensive selection of in-season, high-quality branded merchandise at up to 60% off other retailers' prices, including fashion-focused women’s apparel, menswear, youth apparel, baby, beauty, footwear, accessories, home, toys, gifts and coats.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about the Company, visit </w:t>
      </w:r>
      <w:r>
        <w:rPr>
          <w:rFonts w:ascii="Times New Roman" w:cs="Times New Roman" w:eastAsia="Times New Roman" w:hAnsi="Times New Roman"/>
          <w:sz w:val="22"/>
          <w:szCs w:val="22"/>
          <w:u w:val="single" w:color="auto"/>
          <w:color w:val="auto"/>
        </w:rPr>
        <w:t>www.burlington.com</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J. Glick</w:t>
      </w:r>
    </w:p>
    <w:p>
      <w:pPr>
        <w:spacing w:after="0" w:line="230" w:lineRule="auto"/>
        <w:rPr>
          <w:sz w:val="20"/>
          <w:szCs w:val="20"/>
          <w:color w:val="auto"/>
        </w:rPr>
      </w:pPr>
      <w:r>
        <w:rPr>
          <w:rFonts w:ascii="Times New Roman" w:cs="Times New Roman" w:eastAsia="Times New Roman" w:hAnsi="Times New Roman"/>
          <w:sz w:val="22"/>
          <w:szCs w:val="22"/>
          <w:color w:val="auto"/>
        </w:rPr>
        <w:t>Marisa Sharkey</w:t>
      </w:r>
    </w:p>
    <w:p>
      <w:pPr>
        <w:spacing w:after="0" w:line="231" w:lineRule="auto"/>
        <w:rPr>
          <w:sz w:val="20"/>
          <w:szCs w:val="20"/>
          <w:color w:val="auto"/>
        </w:rPr>
      </w:pPr>
      <w:r>
        <w:rPr>
          <w:rFonts w:ascii="Times New Roman" w:cs="Times New Roman" w:eastAsia="Times New Roman" w:hAnsi="Times New Roman"/>
          <w:sz w:val="22"/>
          <w:szCs w:val="22"/>
          <w:color w:val="auto"/>
        </w:rPr>
        <w:t>855-973-8445</w:t>
      </w:r>
    </w:p>
    <w:p>
      <w:pPr>
        <w:spacing w:after="0"/>
        <w:rPr>
          <w:sz w:val="20"/>
          <w:szCs w:val="20"/>
          <w:color w:val="auto"/>
        </w:rPr>
      </w:pPr>
      <w:r>
        <w:rPr>
          <w:rFonts w:ascii="Times New Roman" w:cs="Times New Roman" w:eastAsia="Times New Roman" w:hAnsi="Times New Roman"/>
          <w:sz w:val="22"/>
          <w:szCs w:val="22"/>
          <w:u w:val="single" w:color="auto"/>
          <w:color w:val="auto"/>
        </w:rPr>
        <w:t>Info@BurlingtonInvestors.com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Allison Malkin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rPr>
          <w:sz w:val="20"/>
          <w:szCs w:val="20"/>
          <w:color w:val="auto"/>
        </w:rPr>
      </w:pPr>
      <w:r>
        <w:rPr>
          <w:rFonts w:ascii="Times New Roman" w:cs="Times New Roman" w:eastAsia="Times New Roman" w:hAnsi="Times New Roman"/>
          <w:sz w:val="22"/>
          <w:szCs w:val="22"/>
          <w:color w:val="auto"/>
        </w:rPr>
        <w:t>203-682-8225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for Forward-Looking and Cautionary Statements</w:t>
      </w:r>
    </w:p>
    <w:p>
      <w:pPr>
        <w:spacing w:after="0" w:line="1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1"/>
          <w:szCs w:val="21"/>
          <w:color w:val="auto"/>
        </w:rPr>
        <w:t>This release contains forward-looking statements within the meaning of Section 27A of the Securities Act of 1933, as amended, and Section 21E of the Securities Exchange Act of 1934, as amended. All statements other than statements of historical fact included in this release, including those about the external environment, as well as statements describing our outlook for future periods, are forward-looking statements. Forward-looking statements discuss our current expectations and projections relating to our financial condition, results of operations, plans, objectives, future performance and business. You can identify forward-looking statements by the fact that they do not relate strictly to historical or current facts. We do not undertake to publicly update or revise our forward-looking statements, except as required by law, even if experience or future changes make it clear that any projected results expressed or implied in such statements will not be realized. If we do update one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7" w:name="page8"/>
    <w:bookmarkEnd w:id="7"/>
    <w:p>
      <w:pPr>
        <w:spacing w:after="0" w:line="242" w:lineRule="auto"/>
        <w:rPr>
          <w:sz w:val="20"/>
          <w:szCs w:val="20"/>
          <w:color w:val="auto"/>
        </w:rPr>
      </w:pPr>
      <w:r>
        <w:rPr>
          <w:rFonts w:ascii="Times New Roman" w:cs="Times New Roman" w:eastAsia="Times New Roman" w:hAnsi="Times New Roman"/>
          <w:sz w:val="21"/>
          <w:szCs w:val="21"/>
          <w:color w:val="auto"/>
        </w:rPr>
        <w:t>or more forward-looking statements, no inference should be made that we will make additional updates with respect to those or other forward-looking statements. All forward-looking statements are subject to risks and uncertainties that may cause actual events or results to differ materially from those we expected, including general economic conditions, such as inflation, and the domestic and international political situation and the related impact on consumer confidence and spending; competitive factors, including the scale and potential consolidation of some of our competitors, rise of e-commerce spending, pricing and promotional activities of major competitors, and an increase in competition within the markets in which we compete; seasonal fluctuations in our net sales, operating income and inventory levels; the reduction in traffic to, or the closing of, the other destination retailers in the shopping areas where our stores are located; our ability to identify changing consumer preferences and demand; our ability to meet evolving regulatory requirements and stakeholder expectations regarding environmental, social or governance matters; extreme and/or unseasonable weather conditions caused by climate change or otherwise adversely impacting demand; effects of public health crises, epidemics or pandemics; our ability to sustain our growth plans or successfully implement our long-range strategic plans; our ability to execute our opportunistic buying and inventory management process; our ability to optimize our existing stores or maintain favorable lease terms; the availability, selection and purchasing of attractive brand name merchandise on favorable terms; our ability to attract, train and retain quality employees and temporary personnel in sufficient numbers; labor costs and our ability to manage a large workforce; the solvency of parties with whom we do business and their willingness to perform their obligations to us; import risks, including tax and trade policies, tariffs and government regulations; disruption in our distribution network; our ability to protect our information systems against service interruption, misappropriation of data, breaches of security, or other cyber-related attacks; risks related to the methods of payment we accept; the success of our advertising and marketing programs in generating sufficient levels of customer traffic and awareness; damage to our corporate reputation or brand; impact of potential loss of executives or other key personnel; our ability to comply with existing and changing laws, rules, regulations and local codes; lack of or insufficient insurance coverage; issues with merchandise safety and shrinkage; our ability to comply with increasingly rigorous privacy and data security regulations; impact of legal and regulatory proceedings relating to us; use of social media by us or by third parties at our direction in violation of applicable laws and regulations; our ability to generate sufficient cash to fund our operations and service our debt obligations; our ability to comply with covenants in our debt agreements; the consequences of the possible conversion of our convertible notes; our reliance on dividends, distributions and other payments, advance and transfers of funds from our subsidiaries to meet our obligations; the volatility of our stock price; the impact of the anti-takeover provisions in our governing documents; impact of potential shareholder activism; and each of the factors that may be described from time to time in our filings with the U.S. Securities and Exchange Commission, including under the heading “Risk Factors” in our most recent Annual Report on Form 10-K. For each of these factors, the Company claims the protection of the safe harbor for forward-looking statements contained in the Private Securities Litigation Reform Act of 1995, as amended.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412"/>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16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2,852,310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2,856,461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1,594,804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related to debt amendments and inducement charges</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charges - long-lived assets</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w:t>
            </w:r>
          </w:p>
        </w:tc>
        <w:tc>
          <w:tcPr>
            <w:tcW w:w="2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(6,161)</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9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2,713,792</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114,744</w:t>
            </w:r>
          </w:p>
        </w:tc>
        <w:tc>
          <w:tcPr>
            <w:tcW w:w="2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1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64,144</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-2956560</wp:posOffset>
            </wp:positionV>
            <wp:extent cx="7132320" cy="2186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1863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2014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May 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0" w:type="dxa"/>
            <w:vAlign w:val="bottom"/>
          </w:tcPr>
          <w:p>
            <w:pPr>
              <w:spacing w:after="0"/>
              <w:rPr>
                <w:sz w:val="1"/>
                <w:szCs w:val="1"/>
                <w:color w:val="auto"/>
              </w:rPr>
            </w:pPr>
          </w:p>
        </w:tc>
      </w:t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747,355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1,232,525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Merchandise inventories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1,444,205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1,311,903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1,315,316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disposal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196,696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2,505,157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2,771,532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3,262,011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3,164,218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2,698,789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3,637,851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3,624,786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intangible assets—net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285,064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285,064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76,368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9,777,194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9,919,057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1,050,057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1,019,152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437,657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425,468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 term debt and other current debt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2,152,448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2,249,211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1,897,343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2,011,735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1,637,073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Long term operating lease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3,516,527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3,497,343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74,720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277,771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1,836,567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1,807,259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1,352,197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9,777,194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9,919,057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-2828290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-2828290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-2828290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-1996440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-1996440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-1996440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-1002030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-1002030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gridSpan w:val="2"/>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7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114,744</w:t>
            </w:r>
          </w:p>
        </w:tc>
        <w:tc>
          <w:tcPr>
            <w:tcW w:w="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104,607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(3,883)</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stock compensation expense</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36,301</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(2,002)</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received from landlord allowances</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Inducement charges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(9,780)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(18,701)</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Merchandise inventories</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(132,301)</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(64,541)</w:t>
            </w:r>
          </w:p>
        </w:tc>
        <w:tc>
          <w:tcPr>
            <w:tcW w:w="0" w:type="dxa"/>
            <w:vAlign w:val="bottom"/>
          </w:tcPr>
          <w:p>
            <w:pPr>
              <w:spacing w:after="0"/>
              <w:rPr>
                <w:sz w:val="1"/>
                <w:szCs w:val="1"/>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(118,535)</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(148,279)</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(40,425)</w:t>
            </w:r>
          </w:p>
        </w:tc>
        <w:tc>
          <w:tcPr>
            <w:tcW w:w="0" w:type="dxa"/>
            <w:vAlign w:val="bottom"/>
          </w:tcPr>
          <w:p>
            <w:pPr>
              <w:spacing w:after="0"/>
              <w:rPr>
                <w:sz w:val="1"/>
                <w:szCs w:val="1"/>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 term assets and liabilities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(2,872)</w:t>
            </w:r>
          </w:p>
        </w:tc>
        <w:tc>
          <w:tcPr>
            <w:tcW w:w="0" w:type="dxa"/>
            <w:vAlign w:val="bottom"/>
          </w:tcPr>
          <w:p>
            <w:pPr>
              <w:spacing w:after="0"/>
              <w:rPr>
                <w:sz w:val="1"/>
                <w:szCs w:val="1"/>
                <w:color w:val="auto"/>
              </w:rPr>
            </w:pPr>
          </w:p>
        </w:tc>
      </w:tr>
      <w:tr>
        <w:trPr>
          <w:trHeight w:val="20"/>
        </w:trPr>
        <w:tc>
          <w:tcPr>
            <w:tcW w:w="67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(28,908)</w:t>
            </w:r>
          </w:p>
        </w:tc>
        <w:tc>
          <w:tcPr>
            <w:tcW w:w="0" w:type="dxa"/>
            <w:vAlign w:val="bottom"/>
          </w:tcPr>
          <w:p>
            <w:pPr>
              <w:spacing w:after="0"/>
              <w:rPr>
                <w:sz w:val="1"/>
                <w:szCs w:val="1"/>
                <w:color w:val="auto"/>
              </w:rPr>
            </w:pPr>
          </w:p>
        </w:tc>
      </w:tr>
      <w:tr>
        <w:trPr>
          <w:trHeight w:val="19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property and equipment</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(288,723)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(409,700)</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acquisition costs</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(8,404)</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5"/>
                <w:szCs w:val="15"/>
                <w:color w:val="auto"/>
              </w:rPr>
              <w:t>Net (removal costs) proceeds from sale of property and equipment and assets held for sale</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6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(289,662)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(412,683)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long term debt—ABL Line of Credit</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Principal payments on long term debt—Term Loan Facility</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(3,125)</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Principal payment on long term debt— Convertible Notes</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(128,638)</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(156,158)</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(134,259)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(127,563)</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9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10,304</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(256,974)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(182,015)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(485,170)</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(623,606)</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1,232,525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994,698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747,355</w:t>
            </w:r>
          </w:p>
        </w:tc>
        <w:tc>
          <w:tcPr>
            <w:tcW w:w="1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-2142490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-1494790</wp:posOffset>
            </wp:positionV>
            <wp:extent cx="93980" cy="170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-1494790</wp:posOffset>
            </wp:positionV>
            <wp:extent cx="93980" cy="170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-565150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Non-GAAP Financial Measures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following tables calculate the Company’s Adjusted Net Income, Adjusted EPS, Adjusted EBITDA, Adjusted EBIT, Adjusted SG&amp;A and Adjusted Effective Tax Rate, all of which are considered non-GAAP financial measures.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GAAP.</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Adjusted Net Income is defined as net income, exclusive of the following items, if applicable: (i) net favorable lease costs; (ii) costs related to debt amendments and inducement charges; (iii) impairment charges; (iv) amounts related to certain litigation matters; and (v) other unusual or non-recurring expenses, losses, charges or gains, all of which are tax effected to arrive at Adjusted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is defined as Adjusted Net Income divided by the diluted weighted average shares outstanding, as defined in the table below.</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exclusive of the following items, if applicable: (i) interest expense; (ii) interest income; (iii) costs related to debt amendments and inducement charges; (iv) income tax expense; (v) depreciation and amortization; (vi) net favorable lease costs (vii) impairment charges; (viii) amounts related to certain litigation matters; and (ix) other unusual or non-recurring expenses, losses, charges or gains.</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Adjusted EBIT (or Adjusted Operating Income) is defined as net income, exclusive of the following items, if applicable: (i) interest expense; (ii) interest income; (iii) costs related to debt amendments and inducement charges; (iv) income tax expense; (v) impairment charges; (vi) net favorable lease costs;</w:t>
      </w:r>
    </w:p>
    <w:p>
      <w:pPr>
        <w:ind w:right="2220" w:firstLine="8"/>
        <w:spacing w:after="0" w:line="490" w:lineRule="auto"/>
        <w:tabs>
          <w:tab w:leader="none" w:pos="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related to certain litigation matters; and (viii) other unusual or non-recurring expenses, losses, charges or gains. Adjusted EBIT Margin (or Adjusted Operating Margin) is defined as Adjusted EBIT divided by net sales.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SG&amp;A is defined as SG&amp;A less product sourcing costs, favorable lease costs and amounts related to certain litigation matters.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Adjusted Effective Tax Rate is defined as the GAAP effective tax rate less the tax effect of the reconciling items to arrive at Adjusted Net Income (footnote (f) in the table below).</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presents Adjusted Net Income, Adjusted EPS, Adjusted EBITDA, Adjusted EBIT (or Adjusted Operating Income), Adjusted EBIT Margin (or Adjusted Operating Margin), Adjusted SG&amp;A and Adjusted Effective Tax Rate, because it believes they are useful supplemental measures in evaluating the performance of the Company’s business and provide greater transparency into the results of operations. In particular, the Company believes that excluding certain items that may vary substantially in frequency and magnitude from what the Company considers to be its core operating results are useful supplemental measures that assist in evaluating the Company’s ability to generate earnings and leverage sales, and to more readily compare core operating results between past and future periods.</w:t>
      </w:r>
    </w:p>
    <w:p>
      <w:pPr>
        <w:spacing w:after="0" w:line="187"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The Company believes that these non-GAAP measures provide investors helpful information with respect to the Company’s operations and financial condition. Other companies in the retail industry may calculate these non-GAAP measures differently such that the Company’s calculation may not be directly comparable.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shows the Company’s reconciliation of net income to Adjusted Net Income and Adjusted EPS for the periods indicated: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5"/>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5"/>
          </w:tcPr>
          <w:p>
            <w:pPr>
              <w:jc w:val="right"/>
              <w:ind w:right="114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94"/>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1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114,744</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100,833</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favorable lease costs (a)</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Costs related to debt amendments and inducement charges (b)</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charges - long-lived assets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Litigation matters (c)</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effect (f)</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(4,523)</w:t>
            </w:r>
          </w:p>
        </w:tc>
        <w:tc>
          <w:tcPr>
            <w:tcW w:w="4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128,895</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102,582</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80" w:type="dxa"/>
            <w:vAlign w:val="bottom"/>
            <w:tcBorders>
              <w:top w:val="single" w:sz="8" w:color="CFF0FC"/>
            </w:tcBorders>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outstanding (g)</w:t>
            </w:r>
          </w:p>
        </w:tc>
        <w:tc>
          <w:tcPr>
            <w:tcW w:w="16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64,144</w:t>
            </w:r>
          </w:p>
        </w:tc>
        <w:tc>
          <w:tcPr>
            <w:tcW w:w="3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64,005</w:t>
            </w:r>
          </w:p>
        </w:tc>
        <w:tc>
          <w:tcPr>
            <w:tcW w:w="2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-325120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-307975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-325120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-307975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reconciliation of net income to Adjusted EBIT and Adjusted EBITDA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left="796"/>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6"/>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6"/>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0" w:type="dxa"/>
            <w:vAlign w:val="bottom"/>
          </w:tcPr>
          <w:p>
            <w:pPr>
              <w:spacing w:after="0"/>
              <w:rPr>
                <w:sz w:val="1"/>
                <w:szCs w:val="1"/>
                <w:color w:val="auto"/>
              </w:rPr>
            </w:pPr>
          </w:p>
        </w:tc>
      </w:t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 and Adjusted EBITDA:</w:t>
            </w:r>
          </w:p>
        </w:tc>
        <w:tc>
          <w:tcPr>
            <w:tcW w:w="1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114,744</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16"/>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favorable lease costs (a)</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Costs related to debt amendments and inducement charges (b)</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charges - long-lived assets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Litigation matters (c)</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EBIT</w:t>
            </w: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146,320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276,284</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238,103</w:t>
            </w:r>
          </w:p>
        </w:tc>
        <w:tc>
          <w:tcPr>
            <w:tcW w:w="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reconciliation of SG&amp;A to Adjusted SG&amp;A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left="94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center"/>
              <w:ind w:left="9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5"/>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2"/>
          </w:tcPr>
          <w:p>
            <w:pPr>
              <w:jc w:val="right"/>
              <w:ind w:right="8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460" w:type="dxa"/>
            <w:vAlign w:val="bottom"/>
          </w:tcPr>
          <w:p>
            <w:pPr>
              <w:spacing w:after="0"/>
              <w:rPr>
                <w:sz w:val="10"/>
                <w:szCs w:val="10"/>
                <w:color w:val="auto"/>
              </w:rPr>
            </w:pPr>
          </w:p>
        </w:tc>
        <w:tc>
          <w:tcPr>
            <w:tcW w:w="1320" w:type="dxa"/>
            <w:vAlign w:val="bottom"/>
            <w:gridSpan w:val="2"/>
          </w:tcPr>
          <w:p>
            <w:pPr>
              <w:jc w:val="right"/>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0" w:type="dxa"/>
            <w:vAlign w:val="bottom"/>
          </w:tcPr>
          <w:p>
            <w:pPr>
              <w:spacing w:after="0"/>
              <w:rPr>
                <w:sz w:val="1"/>
                <w:szCs w:val="1"/>
                <w:color w:val="auto"/>
              </w:rPr>
            </w:pPr>
          </w:p>
        </w:tc>
      </w:tr>
      <w:tr>
        <w:trPr>
          <w:trHeight w:val="173"/>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SG&amp;A to Adjusted SG&amp;A:</w:t>
            </w:r>
          </w:p>
        </w:tc>
        <w:tc>
          <w:tcPr>
            <w:tcW w:w="2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SG&amp;A</w:t>
            </w:r>
          </w:p>
        </w:tc>
        <w:tc>
          <w:tcPr>
            <w:tcW w:w="2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989,374</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868,058</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favorable lease costs (a)</w:t>
            </w: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(1,802)</w:t>
            </w:r>
          </w:p>
        </w:tc>
        <w:tc>
          <w:tcPr>
            <w:tcW w:w="4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Product sourcing costs</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(215,545)</w:t>
            </w:r>
          </w:p>
        </w:tc>
        <w:tc>
          <w:tcPr>
            <w:tcW w:w="4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(196,847)</w:t>
            </w: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matters (c)</w:t>
            </w: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SG&amp;A</w:t>
            </w:r>
          </w:p>
        </w:tc>
        <w:tc>
          <w:tcPr>
            <w:tcW w:w="2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771,277</w:t>
            </w:r>
          </w:p>
        </w:tc>
        <w:tc>
          <w:tcPr>
            <w:tcW w:w="3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669,489</w:t>
            </w:r>
          </w:p>
        </w:tc>
        <w:tc>
          <w:tcPr>
            <w:tcW w:w="3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reconciliation of the Company’s effective tax rates on a GAAP basis to the Adjusted Effective Tax Rates for the periods indicated: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 on a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Adjustments to arrive at Adjusted Effective Tax Rate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Adjusted Effective Tax Rate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2160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Effective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2160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jc w:val="center"/>
        <w:ind w:right="20"/>
        <w:spacing w:after="0" w:line="232" w:lineRule="auto"/>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680" w:type="dxa"/>
            <w:vAlign w:val="bottom"/>
            <w:tcBorders>
              <w:top w:val="single" w:sz="8" w:color="auto"/>
            </w:tcBorders>
            <w:gridSpan w:val="2"/>
          </w:tcPr>
          <w:p>
            <w:pPr>
              <w:jc w:val="right"/>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720" w:type="dxa"/>
            <w:vAlign w:val="bottom"/>
            <w:tcBorders>
              <w:top w:val="single" w:sz="8" w:color="auto"/>
            </w:tcBorders>
            <w:gridSpan w:val="2"/>
          </w:tcPr>
          <w:p>
            <w:pPr>
              <w:jc w:val="right"/>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r>
      <w:tr>
        <w:trPr>
          <w:trHeight w:val="173"/>
        </w:trPr>
        <w:tc>
          <w:tcPr>
            <w:tcW w:w="13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13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r>
      <w:tr>
        <w:trPr>
          <w:trHeight w:val="340"/>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r>
      <w:tr>
        <w:trPr>
          <w:trHeight w:val="234"/>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r>
      <w:tr>
        <w:trPr>
          <w:trHeight w:val="209"/>
        </w:trPr>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985" w:right="339" w:bottom="1440" w:gutter="0" w:footer="0" w:header="0"/>
          <w:type w:val="continuous"/>
        </w:sectPr>
      </w:pPr>
    </w:p>
    <w:p>
      <w:pPr>
        <w:spacing w:after="0" w:line="3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reconciliation of net income to Adjusted Net Income for the prior period Adjusted EPS amounts used in this press release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980" w:type="dxa"/>
            <w:vAlign w:val="bottom"/>
            <w:tcBorders>
              <w:bottom w:val="single" w:sz="8" w:color="auto"/>
            </w:tcBorders>
            <w:gridSpan w:val="5"/>
          </w:tcPr>
          <w:p>
            <w:pPr>
              <w:jc w:val="right"/>
              <w:ind w:right="953"/>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Fiscal Year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280" w:type="dxa"/>
            <w:vAlign w:val="bottom"/>
          </w:tcPr>
          <w:p>
            <w:pPr>
              <w:spacing w:after="0"/>
              <w:rPr>
                <w:sz w:val="15"/>
                <w:szCs w:val="15"/>
                <w:color w:val="auto"/>
              </w:rPr>
            </w:pPr>
          </w:p>
        </w:tc>
        <w:tc>
          <w:tcPr>
            <w:tcW w:w="22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94,185</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favorable lease costs (a)</w:t>
            </w: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Costs related to debt amendments and inducement charges (b)</w:t>
            </w:r>
          </w:p>
        </w:tc>
        <w:tc>
          <w:tcPr>
            <w:tcW w:w="2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Litigation matters (c)</w:t>
            </w:r>
          </w:p>
        </w:tc>
        <w:tc>
          <w:tcPr>
            <w:tcW w:w="28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Layaway liabilities (d)</w:t>
            </w:r>
          </w:p>
        </w:tc>
        <w:tc>
          <w:tcPr>
            <w:tcW w:w="280" w:type="dxa"/>
            <w:vAlign w:val="bottom"/>
          </w:tcPr>
          <w:p>
            <w:pPr>
              <w:spacing w:after="0"/>
              <w:rPr>
                <w:sz w:val="18"/>
                <w:szCs w:val="18"/>
                <w:color w:val="auto"/>
              </w:rPr>
            </w:pP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(12,716)</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Security tags (e)</w:t>
            </w:r>
          </w:p>
        </w:tc>
        <w:tc>
          <w:tcPr>
            <w:tcW w:w="2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 (f)</w:t>
            </w:r>
          </w:p>
        </w:tc>
        <w:tc>
          <w:tcPr>
            <w:tcW w:w="280" w:type="dxa"/>
            <w:vAlign w:val="bottom"/>
          </w:tcPr>
          <w:p>
            <w:pPr>
              <w:spacing w:after="0"/>
              <w:rPr>
                <w:sz w:val="18"/>
                <w:szCs w:val="18"/>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101,757</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625,683</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outstanding (g)</w:t>
            </w:r>
          </w:p>
        </w:tc>
        <w:tc>
          <w:tcPr>
            <w:tcW w:w="28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63,893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64,126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-325120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-307975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-325120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9" w:lineRule="exact"/>
        <w:rPr>
          <w:sz w:val="20"/>
          <w:szCs w:val="20"/>
          <w:color w:val="auto"/>
        </w:rPr>
      </w:pPr>
    </w:p>
    <w:p>
      <w:pPr>
        <w:ind w:right="200" w:firstLine="8"/>
        <w:spacing w:after="0" w:line="260"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favorable lease costs represent the non-cash expense associated with favorable and unfavorable leases that were recorded as a result of purchase accounting related to the April 13, 2006 Bain Capital acquisition of Burlington Coat Factory Warehouse Corporation. These expenses are recorded in the line item “Selling, general and administrative expenses” in our Condensed Consolidated Statements of Income.</w:t>
      </w:r>
    </w:p>
    <w:p>
      <w:pPr>
        <w:spacing w:after="0" w:line="2" w:lineRule="exact"/>
        <w:rPr>
          <w:rFonts w:ascii="Times New Roman" w:cs="Times New Roman" w:eastAsia="Times New Roman" w:hAnsi="Times New Roman"/>
          <w:sz w:val="18"/>
          <w:szCs w:val="18"/>
          <w:color w:val="auto"/>
        </w:rPr>
      </w:pPr>
    </w:p>
    <w:p>
      <w:pPr>
        <w:ind w:right="540" w:firstLine="8"/>
        <w:spacing w:after="0" w:line="273"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2026 amount represents an inducement charge related to the Company's exchange of certain of the 2027 Convertible Notes during the first quarter of Fiscal 2026. Fiscal 2025 amount relates to the settlement of the 2025 Convertible Notes during the first quarter of Fiscal 2025.</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final settlements and amounts charged for certain litigation matters.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one-time settlement of certain layaway liabilities on our Fiscal 2025 Consolidated Balance Sheet, resulting in a gain.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one-time write-off to amortization related to certain merchandise security tags on our Fiscal 2025 Consolidated Balance Sheet.</w:t>
      </w:r>
    </w:p>
    <w:p>
      <w:pPr>
        <w:spacing w:after="0" w:line="9" w:lineRule="exact"/>
        <w:rPr>
          <w:rFonts w:ascii="Times New Roman" w:cs="Times New Roman" w:eastAsia="Times New Roman" w:hAnsi="Times New Roman"/>
          <w:sz w:val="18"/>
          <w:szCs w:val="18"/>
          <w:color w:val="auto"/>
        </w:rPr>
      </w:pPr>
    </w:p>
    <w:p>
      <w:pPr>
        <w:ind w:right="360" w:firstLine="8"/>
        <w:spacing w:after="0" w:line="250" w:lineRule="auto"/>
        <w:tabs>
          <w:tab w:leader="none" w:pos="2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is calculated based on the effective tax rates (before discrete items) for the respective periods, adjusted for the tax effect for the impact of items (a) through (e).</w:t>
      </w:r>
    </w:p>
    <w:p>
      <w:pPr>
        <w:ind w:right="260" w:firstLine="8"/>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weighted average shares outstanding starts with basic shares outstanding and adds back any potentially dilutive securities outstanding during the period.</w:t>
      </w:r>
    </w:p>
    <w:p>
      <w:pPr>
        <w:ind w:right="520" w:firstLine="8"/>
        <w:spacing w:after="0" w:line="248"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items excluded from Adjusted Net Income. These items have been described in the table above reconciling GAAP net income to Adjusted Net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Roman"/>
      <w:start w:val="7"/>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2026-05-28T05:51:13Z</dcterms:created>
  <dcterms:modified xsi:type="dcterms:W3CDTF">2026-05-28T05:51:13Z</dcterms:modified>
</cp:coreProperties>
</file>