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May 5, 2018</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1900555</wp:posOffset>
            </wp:positionH>
            <wp:positionV relativeFrom="paragraph">
              <wp:posOffset>77470</wp:posOffset>
            </wp:positionV>
            <wp:extent cx="3464560" cy="840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64560"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BURLINGTON STORES,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80-0895227</w:t>
            </w:r>
          </w:p>
        </w:tc>
      </w:tr>
      <w:tr>
        <w:trPr>
          <w:trHeight w:val="149"/>
        </w:trPr>
        <w:tc>
          <w:tcPr>
            <w:tcW w:w="4480" w:type="dxa"/>
            <w:vAlign w:val="bottom"/>
          </w:tcPr>
          <w:p>
            <w:pPr>
              <w:jc w:val="center"/>
              <w:ind w:right="19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264"/>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2"/>
              </w:rPr>
              <w:t>2006 Route 130 North</w:t>
            </w:r>
          </w:p>
        </w:tc>
        <w:tc>
          <w:tcPr>
            <w:tcW w:w="3120" w:type="dxa"/>
            <w:vAlign w:val="bottom"/>
          </w:tcPr>
          <w:p>
            <w:pPr>
              <w:spacing w:after="0"/>
              <w:rPr>
                <w:sz w:val="22"/>
                <w:szCs w:val="22"/>
                <w:color w:val="auto"/>
              </w:rPr>
            </w:pPr>
          </w:p>
        </w:tc>
      </w:tr>
      <w:tr>
        <w:trPr>
          <w:trHeight w:val="212"/>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0"/>
              </w:rPr>
              <w:t>Burlington,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08016</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(609) 387-7800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8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18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jc w:val="both"/>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4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registrant had 67,612,407 shares of common stock outstanding as of May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417195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3"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8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99"/>
              </w:rPr>
              <w:t>BURLINGTON STORES, INC.</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8"/>
          </w:tcPr>
          <w:p>
            <w:pPr>
              <w:jc w:val="center"/>
              <w:ind w:right="4320"/>
              <w:spacing w:after="0"/>
              <w:rPr>
                <w:sz w:val="20"/>
                <w:szCs w:val="20"/>
                <w:color w:val="auto"/>
              </w:rPr>
            </w:pPr>
            <w:r>
              <w:rPr>
                <w:rFonts w:ascii="Arial" w:cs="Arial" w:eastAsia="Arial" w:hAnsi="Arial"/>
                <w:sz w:val="18"/>
                <w:szCs w:val="18"/>
                <w:color w:val="auto"/>
              </w:rPr>
              <w:t>INDEX</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80" w:type="dxa"/>
            <w:vAlign w:val="bottom"/>
            <w:gridSpan w:val="2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80" w:type="dxa"/>
            <w:vAlign w:val="bottom"/>
            <w:gridSpan w:val="21"/>
            <w:vMerge w:val="continue"/>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3160" w:type="dxa"/>
            <w:vAlign w:val="bottom"/>
            <w:tcBorders>
              <w:bottom w:val="single" w:sz="8" w:color="0000EE"/>
            </w:tcBorders>
            <w:gridSpan w:val="11"/>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Item 1. Financial Statements (unaudited)</w:t>
              </w:r>
            </w:hyperlink>
          </w:p>
        </w:tc>
        <w:tc>
          <w:tcPr>
            <w:tcW w:w="7280" w:type="dxa"/>
            <w:vAlign w:val="bottom"/>
            <w:gridSpan w:val="9"/>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Income - Three Months Ended May 5, 2018 and April 29, 2017</w:t>
              </w:r>
            </w:hyperlink>
          </w:p>
        </w:tc>
        <w:tc>
          <w:tcPr>
            <w:tcW w:w="2540" w:type="dxa"/>
            <w:vAlign w:val="bottom"/>
            <w:gridSpan w:val="3"/>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 Three Months Ended May 5, 2018 and April 29, 2017</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Borders>
              <w:top w:val="single" w:sz="8" w:color="0000EE"/>
            </w:tcBorders>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May 5, 2018, February 3, 2018 and April 29, 2017</w:t>
              </w:r>
            </w:hyperlink>
          </w:p>
        </w:tc>
        <w:tc>
          <w:tcPr>
            <w:tcW w:w="15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 Three Months Ended May 5, 2018 and April 29, 2017</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8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220" w:type="dxa"/>
            <w:vAlign w:val="bottom"/>
            <w:gridSpan w:val="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40" w:type="dxa"/>
            <w:vAlign w:val="bottom"/>
            <w:gridSpan w:val="20"/>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2. Management’s Discussion and Analysis of Financial Condition and Results of Operations</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526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91"/>
              </w:rPr>
            </w:pPr>
            <w:hyperlink w:anchor="page30">
              <w:r>
                <w:rPr>
                  <w:rFonts w:ascii="Arial" w:cs="Arial" w:eastAsia="Arial" w:hAnsi="Arial"/>
                  <w:sz w:val="18"/>
                  <w:szCs w:val="18"/>
                  <w:b w:val="1"/>
                  <w:bCs w:val="1"/>
                  <w:color w:val="0000EE"/>
                  <w:w w:val="91"/>
                </w:rPr>
                <w:t>Item 3. Quantitative and Qualitative Disclosures About Market Risk</w:t>
              </w:r>
            </w:hyperlink>
          </w:p>
        </w:tc>
        <w:tc>
          <w:tcPr>
            <w:tcW w:w="2160" w:type="dxa"/>
            <w:vAlign w:val="bottom"/>
            <w:tcBorders>
              <w:top w:val="single" w:sz="8" w:color="0000EE"/>
            </w:tcBorders>
            <w:gridSpan w:val="2"/>
          </w:tcPr>
          <w:p>
            <w:pPr>
              <w:spacing w:after="0"/>
              <w:rPr>
                <w:sz w:val="24"/>
                <w:szCs w:val="24"/>
                <w:color w:val="auto"/>
              </w:rPr>
            </w:pPr>
          </w:p>
        </w:tc>
        <w:tc>
          <w:tcPr>
            <w:tcW w:w="3020" w:type="dxa"/>
            <w:vAlign w:val="bottom"/>
            <w:gridSpan w:val="4"/>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440" w:type="dxa"/>
            <w:vAlign w:val="bottom"/>
            <w:gridSpan w:val="2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4. Controls and Procedures</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16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30">
              <w:r>
                <w:rPr>
                  <w:rFonts w:ascii="Arial" w:cs="Arial" w:eastAsia="Arial" w:hAnsi="Arial"/>
                  <w:sz w:val="18"/>
                  <w:szCs w:val="18"/>
                  <w:b w:val="1"/>
                  <w:bCs w:val="1"/>
                  <w:color w:val="0000EE"/>
                  <w:w w:val="97"/>
                </w:rPr>
                <w:t>Part II—Other Information</w:t>
              </w:r>
            </w:hyperlink>
          </w:p>
        </w:tc>
        <w:tc>
          <w:tcPr>
            <w:tcW w:w="8720" w:type="dxa"/>
            <w:vAlign w:val="bottom"/>
            <w:gridSpan w:val="15"/>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00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Item 1. Legal Proceedings</w:t>
              </w:r>
            </w:hyperlink>
          </w:p>
        </w:tc>
        <w:tc>
          <w:tcPr>
            <w:tcW w:w="8440" w:type="dxa"/>
            <w:vAlign w:val="bottom"/>
            <w:gridSpan w:val="13"/>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700" w:type="dxa"/>
            <w:vAlign w:val="bottom"/>
            <w:tcBorders>
              <w:bottom w:val="single" w:sz="8" w:color="0000EE"/>
            </w:tcBorders>
            <w:gridSpan w:val="4"/>
          </w:tcPr>
          <w:p>
            <w:pPr>
              <w:spacing w:after="0"/>
              <w:rPr>
                <w:rFonts w:ascii="Arial" w:cs="Arial" w:eastAsia="Arial" w:hAnsi="Arial"/>
                <w:sz w:val="18"/>
                <w:szCs w:val="18"/>
                <w:b w:val="1"/>
                <w:bCs w:val="1"/>
                <w:color w:val="0000EE"/>
                <w:w w:val="91"/>
              </w:rPr>
            </w:pPr>
            <w:hyperlink w:anchor="page30">
              <w:r>
                <w:rPr>
                  <w:rFonts w:ascii="Arial" w:cs="Arial" w:eastAsia="Arial" w:hAnsi="Arial"/>
                  <w:sz w:val="18"/>
                  <w:szCs w:val="18"/>
                  <w:b w:val="1"/>
                  <w:bCs w:val="1"/>
                  <w:color w:val="0000EE"/>
                  <w:w w:val="91"/>
                </w:rPr>
                <w:t>Item 1A. Risk Factors</w:t>
              </w:r>
            </w:hyperlink>
          </w:p>
        </w:tc>
        <w:tc>
          <w:tcPr>
            <w:tcW w:w="8740" w:type="dxa"/>
            <w:vAlign w:val="bottom"/>
            <w:gridSpan w:val="16"/>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440" w:type="dxa"/>
            <w:vAlign w:val="bottom"/>
            <w:gridSpan w:val="20"/>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2. Unregistered Sales of Equity Securities and Use of Proceeds</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9"/>
              </w:rPr>
            </w:pPr>
            <w:hyperlink w:anchor="page31">
              <w:r>
                <w:rPr>
                  <w:rFonts w:ascii="Arial" w:cs="Arial" w:eastAsia="Arial" w:hAnsi="Arial"/>
                  <w:sz w:val="18"/>
                  <w:szCs w:val="18"/>
                  <w:b w:val="1"/>
                  <w:bCs w:val="1"/>
                  <w:color w:val="0000EE"/>
                  <w:w w:val="89"/>
                </w:rPr>
                <w:t>Item 3. Defaults Upon Senior Securities</w:t>
              </w:r>
            </w:hyperlink>
          </w:p>
        </w:tc>
        <w:tc>
          <w:tcPr>
            <w:tcW w:w="2120" w:type="dxa"/>
            <w:vAlign w:val="bottom"/>
            <w:tcBorders>
              <w:top w:val="single" w:sz="8" w:color="0000EE"/>
            </w:tcBorders>
            <w:gridSpan w:val="3"/>
          </w:tcPr>
          <w:p>
            <w:pPr>
              <w:spacing w:after="0"/>
              <w:rPr>
                <w:sz w:val="24"/>
                <w:szCs w:val="24"/>
                <w:color w:val="auto"/>
              </w:rPr>
            </w:pPr>
          </w:p>
        </w:tc>
        <w:tc>
          <w:tcPr>
            <w:tcW w:w="5280" w:type="dxa"/>
            <w:vAlign w:val="bottom"/>
            <w:gridSpan w:val="7"/>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500" w:type="dxa"/>
            <w:vAlign w:val="bottom"/>
            <w:tcBorders>
              <w:bottom w:val="single" w:sz="8" w:color="0000EE"/>
            </w:tcBorders>
            <w:gridSpan w:val="9"/>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4. Mine Safety Disclosures</w:t>
              </w:r>
            </w:hyperlink>
          </w:p>
        </w:tc>
        <w:tc>
          <w:tcPr>
            <w:tcW w:w="7940" w:type="dxa"/>
            <w:vAlign w:val="bottom"/>
            <w:gridSpan w:val="11"/>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040" w:type="dxa"/>
            <w:vAlign w:val="bottom"/>
            <w:tcBorders>
              <w:bottom w:val="single" w:sz="8" w:color="0000EE"/>
            </w:tcBorders>
            <w:gridSpan w:val="8"/>
          </w:tcPr>
          <w:p>
            <w:pPr>
              <w:spacing w:after="0"/>
              <w:rPr>
                <w:rFonts w:ascii="Arial" w:cs="Arial" w:eastAsia="Arial" w:hAnsi="Arial"/>
                <w:sz w:val="18"/>
                <w:szCs w:val="18"/>
                <w:b w:val="1"/>
                <w:bCs w:val="1"/>
                <w:color w:val="0000EE"/>
                <w:w w:val="94"/>
              </w:rPr>
            </w:pPr>
            <w:hyperlink w:anchor="page31">
              <w:r>
                <w:rPr>
                  <w:rFonts w:ascii="Arial" w:cs="Arial" w:eastAsia="Arial" w:hAnsi="Arial"/>
                  <w:sz w:val="18"/>
                  <w:szCs w:val="18"/>
                  <w:b w:val="1"/>
                  <w:bCs w:val="1"/>
                  <w:color w:val="0000EE"/>
                  <w:w w:val="94"/>
                </w:rPr>
                <w:t>Item 5. Other Information</w:t>
              </w:r>
            </w:hyperlink>
          </w:p>
        </w:tc>
        <w:tc>
          <w:tcPr>
            <w:tcW w:w="8400" w:type="dxa"/>
            <w:vAlign w:val="bottom"/>
            <w:gridSpan w:val="1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240" w:type="dxa"/>
            <w:vAlign w:val="bottom"/>
            <w:tcBorders>
              <w:bottom w:val="single" w:sz="8" w:color="0000EE"/>
            </w:tcBorders>
            <w:gridSpan w:val="3"/>
          </w:tcPr>
          <w:p>
            <w:pPr>
              <w:spacing w:after="0"/>
              <w:rPr>
                <w:rFonts w:ascii="Arial" w:cs="Arial" w:eastAsia="Arial" w:hAnsi="Arial"/>
                <w:sz w:val="18"/>
                <w:szCs w:val="18"/>
                <w:b w:val="1"/>
                <w:bCs w:val="1"/>
                <w:color w:val="0000EE"/>
                <w:w w:val="92"/>
              </w:rPr>
            </w:pPr>
            <w:hyperlink w:anchor="page32">
              <w:r>
                <w:rPr>
                  <w:rFonts w:ascii="Arial" w:cs="Arial" w:eastAsia="Arial" w:hAnsi="Arial"/>
                  <w:sz w:val="18"/>
                  <w:szCs w:val="18"/>
                  <w:b w:val="1"/>
                  <w:bCs w:val="1"/>
                  <w:color w:val="0000EE"/>
                  <w:w w:val="92"/>
                </w:rPr>
                <w:t>Item 6. Exhibits</w:t>
              </w:r>
            </w:hyperlink>
          </w:p>
        </w:tc>
        <w:tc>
          <w:tcPr>
            <w:tcW w:w="9200" w:type="dxa"/>
            <w:vAlign w:val="bottom"/>
            <w:gridSpan w:val="17"/>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08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6"/>
        </w:trPr>
        <w:tc>
          <w:tcPr>
            <w:tcW w:w="8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800"/>
              <w:spacing w:after="0" w:line="147" w:lineRule="exact"/>
              <w:rPr>
                <w:sz w:val="20"/>
                <w:szCs w:val="20"/>
                <w:color w:val="auto"/>
              </w:rPr>
            </w:pPr>
            <w:r>
              <w:rPr>
                <w:rFonts w:ascii="Arial" w:cs="Arial" w:eastAsia="Arial" w:hAnsi="Arial"/>
                <w:sz w:val="14"/>
                <w:szCs w:val="14"/>
                <w:b w:val="1"/>
                <w:bCs w:val="1"/>
                <w:color w:val="auto"/>
              </w:rPr>
              <w:t>May 5,</w:t>
            </w: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372"/>
              <w:spacing w:after="0" w:line="147" w:lineRule="exact"/>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1,518,446</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1,346,546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1,524,708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892,682</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796,396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468,348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420,856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modification expense</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50,509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 net</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(1,351)</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14,521</w:t>
            </w: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1,424,709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17,411</w:t>
            </w:r>
          </w:p>
        </w:tc>
        <w:tc>
          <w:tcPr>
            <w:tcW w:w="30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26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82,588</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common share:</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Common stock - 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 - diluted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 - basic</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66,983</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Pr>
          <w:p>
            <w:pPr>
              <w:ind w:left="260"/>
              <w:spacing w:after="0"/>
              <w:rPr>
                <w:sz w:val="20"/>
                <w:szCs w:val="20"/>
                <w:color w:val="auto"/>
              </w:rPr>
            </w:pPr>
            <w:r>
              <w:rPr>
                <w:rFonts w:ascii="Arial" w:cs="Arial" w:eastAsia="Arial" w:hAnsi="Arial"/>
                <w:sz w:val="18"/>
                <w:szCs w:val="18"/>
                <w:color w:val="auto"/>
              </w:rPr>
              <w:t>Common stock - diluted</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68,970</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-3489960</wp:posOffset>
            </wp:positionV>
            <wp:extent cx="7178040" cy="3310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3310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r>
      <w:tr>
        <w:trPr>
          <w:trHeight w:val="146"/>
        </w:trPr>
        <w:tc>
          <w:tcPr>
            <w:tcW w:w="6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77"/>
              <w:spacing w:after="0" w:line="147" w:lineRule="exact"/>
              <w:rPr>
                <w:sz w:val="20"/>
                <w:szCs w:val="20"/>
                <w:color w:val="auto"/>
              </w:rPr>
            </w:pPr>
            <w:r>
              <w:rPr>
                <w:rFonts w:ascii="Arial" w:cs="Arial" w:eastAsia="Arial" w:hAnsi="Arial"/>
                <w:sz w:val="14"/>
                <w:szCs w:val="14"/>
                <w:b w:val="1"/>
                <w:bCs w:val="1"/>
                <w:color w:val="auto"/>
              </w:rPr>
              <w:t>May 5,</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2"/>
                <w:szCs w:val="12"/>
                <w:color w:val="auto"/>
              </w:rPr>
            </w:pPr>
          </w:p>
        </w:tc>
      </w:tr>
      <w:tr>
        <w:trPr>
          <w:trHeight w:val="171"/>
        </w:trPr>
        <w:tc>
          <w:tcPr>
            <w:tcW w:w="6380" w:type="dxa"/>
            <w:vAlign w:val="bottom"/>
            <w:tcBorders>
              <w:bottom w:val="single" w:sz="8" w:color="CFF0FC"/>
            </w:tcBorders>
          </w:tcPr>
          <w:p>
            <w:pPr>
              <w:spacing w:after="0"/>
              <w:rPr>
                <w:sz w:val="14"/>
                <w:szCs w:val="14"/>
                <w:color w:val="auto"/>
              </w:rPr>
            </w:pPr>
          </w:p>
        </w:tc>
        <w:tc>
          <w:tcPr>
            <w:tcW w:w="19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52,368</w:t>
            </w:r>
          </w:p>
        </w:tc>
        <w:tc>
          <w:tcPr>
            <w:tcW w:w="120" w:type="dxa"/>
            <w:vAlign w:val="bottom"/>
            <w:shd w:val="clear" w:color="auto" w:fill="CFF0FC"/>
          </w:tcPr>
          <w:p>
            <w:pPr>
              <w:spacing w:after="0"/>
              <w:rPr>
                <w:sz w:val="19"/>
                <w:szCs w:val="19"/>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cap contracts:</w:t>
            </w:r>
          </w:p>
        </w:tc>
        <w:tc>
          <w:tcPr>
            <w:tcW w:w="1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80" w:type="dxa"/>
            <w:vAlign w:val="bottom"/>
          </w:tcPr>
          <w:p>
            <w:pPr>
              <w:ind w:left="500"/>
              <w:spacing w:after="0"/>
              <w:rPr>
                <w:sz w:val="20"/>
                <w:szCs w:val="20"/>
                <w:color w:val="auto"/>
              </w:rPr>
            </w:pPr>
            <w:r>
              <w:rPr>
                <w:rFonts w:ascii="Arial" w:cs="Arial" w:eastAsia="Arial" w:hAnsi="Arial"/>
                <w:sz w:val="18"/>
                <w:szCs w:val="18"/>
                <w:color w:val="auto"/>
              </w:rPr>
              <w:t>Net unrealized gains (losses) arising during the period</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r>
      <w:tr>
        <w:trPr>
          <w:trHeight w:val="230"/>
        </w:trPr>
        <w:tc>
          <w:tcPr>
            <w:tcW w:w="6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Reclassification into earnings during the period</w:t>
            </w:r>
          </w:p>
        </w:tc>
        <w:tc>
          <w:tcPr>
            <w:tcW w:w="19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9"/>
                <w:szCs w:val="19"/>
                <w:color w:val="auto"/>
              </w:rPr>
            </w:pPr>
          </w:p>
        </w:tc>
      </w:tr>
      <w:tr>
        <w:trPr>
          <w:trHeight w:val="223"/>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w:t>
            </w:r>
          </w:p>
        </w:tc>
        <w:tc>
          <w:tcPr>
            <w:tcW w:w="19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FF0FC"/>
            </w:tcBorders>
          </w:tcPr>
          <w:p>
            <w:pPr>
              <w:spacing w:after="0"/>
              <w:rPr>
                <w:sz w:val="19"/>
                <w:szCs w:val="19"/>
                <w:color w:val="auto"/>
              </w:rPr>
            </w:pPr>
          </w:p>
        </w:tc>
      </w:tr>
      <w:tr>
        <w:trPr>
          <w:trHeight w:val="223"/>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comprehensive income</w:t>
            </w:r>
          </w:p>
        </w:tc>
        <w:tc>
          <w:tcPr>
            <w:tcW w:w="1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84,231</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and per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May 5,</w:t>
            </w:r>
          </w:p>
        </w:tc>
        <w:tc>
          <w:tcPr>
            <w:tcW w:w="1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February 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April 29,</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133,286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receivable—net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Merchandise inventories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786,559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752,562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126,694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26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1,100,901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1,100,433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914,724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1,148,257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1,134,772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Favorable leases—net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183,605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47,064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100,895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96,661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2,825,446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2,812,829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2,558,858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726,635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736,252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351,974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370,215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 term debt</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2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1,091,649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1,119,631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1,122,552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1,113,808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318,367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313,130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181,607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 (deficit):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Preferred stock, $0.0001 par value: authorized: 50,000,000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shares; no shares issued and outstanding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$0.0001 par value:</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Authorized: 500,000,000 shares;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Issued: 78,698,229 shares, 78,421,947 shares and 77,830,140 shares, respectively;</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Outstanding: 67,612,407 shares, 67,871,725 shares and 69,821,637 shares, respectively</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1,467,726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1,457,205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(593,077)</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(675,664)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(1,008,148)</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(763,141)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(692,887)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(453,646)</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stockholders' equity (deficit)</w:t>
            </w:r>
          </w:p>
        </w:tc>
        <w:tc>
          <w:tcPr>
            <w:tcW w:w="1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111,271</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86,774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2,825,446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2,812,829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2,558,858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740"/>
              <w:spacing w:after="0" w:line="147" w:lineRule="exact"/>
              <w:rPr>
                <w:sz w:val="20"/>
                <w:szCs w:val="20"/>
                <w:color w:val="auto"/>
              </w:rPr>
            </w:pPr>
            <w:r>
              <w:rPr>
                <w:rFonts w:ascii="Arial" w:cs="Arial" w:eastAsia="Arial" w:hAnsi="Arial"/>
                <w:sz w:val="14"/>
                <w:szCs w:val="14"/>
                <w:b w:val="1"/>
                <w:bCs w:val="1"/>
                <w:color w:val="auto"/>
              </w:rPr>
              <w:t>May 5,</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ind w:right="439"/>
              <w:spacing w:after="0" w:line="147" w:lineRule="exact"/>
              <w:rPr>
                <w:sz w:val="20"/>
                <w:szCs w:val="20"/>
                <w:color w:val="auto"/>
              </w:rPr>
            </w:pPr>
            <w:r>
              <w:rPr>
                <w:rFonts w:ascii="Arial" w:cs="Arial" w:eastAsia="Arial" w:hAnsi="Arial"/>
                <w:sz w:val="14"/>
                <w:szCs w:val="14"/>
                <w:b w:val="1"/>
                <w:bCs w:val="1"/>
                <w:color w:val="auto"/>
                <w:w w:val="94"/>
              </w:rPr>
              <w:t>April 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9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26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82,588</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Accretion of long term debt instruments</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stock compensation expense</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Non-cash rent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(6,203)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(6,749)</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rent incentives</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Changes in assets and liabilities: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(10,377)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(10,308)</w:t>
            </w: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Merchandise inventories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(33,997)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(23,646)</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and other current assets</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(11,559)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(5,213)</w:t>
            </w: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(12,716)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(32,431)</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liabilities</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(18,111)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(11,196)</w:t>
            </w: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Other long term assets and long term liabilities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Other operating activities</w:t>
            </w:r>
          </w:p>
        </w:tc>
        <w:tc>
          <w:tcPr>
            <w:tcW w:w="9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9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60,210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28,584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Cash paid for property and equipment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(60,382)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(52,913)</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property and equipment</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Other investing activities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(3,001)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(57,942)</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(52,773)</w:t>
            </w:r>
          </w:p>
        </w:tc>
        <w:tc>
          <w:tcPr>
            <w:tcW w:w="0" w:type="dxa"/>
            <w:vAlign w:val="bottom"/>
          </w:tcPr>
          <w:p>
            <w:pPr>
              <w:spacing w:after="0"/>
              <w:rPr>
                <w:sz w:val="1"/>
                <w:szCs w:val="1"/>
                <w:color w:val="auto"/>
              </w:rPr>
            </w:pPr>
          </w:p>
        </w:tc>
      </w:tr>
      <w:tr>
        <w:trPr>
          <w:trHeight w:val="207"/>
        </w:trPr>
        <w:tc>
          <w:tcPr>
            <w:tcW w:w="69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9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long term debt—ABL Line of Credit</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238,800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Principal payments on long term debt—ABL Line of Credit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(227,000)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(245,100)</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long term debt—Term B-5 Loans</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(2,793)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Purchase of treasury shares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(70,254)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(50,536)</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stock option exercises</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Other financing activities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(58,464)</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(27,820)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6"/>
                <w:szCs w:val="16"/>
                <w:color w:val="auto"/>
              </w:rPr>
              <w:t>(Decrease) in cash, cash equivalents, restricted cash and restricted cash equivalents</w:t>
            </w: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(56,196)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(52,009)</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restricted cash and restricted cash equivalents at beginning of period</w:t>
            </w:r>
          </w:p>
        </w:tc>
        <w:tc>
          <w:tcPr>
            <w:tcW w:w="9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161,086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109,397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40" w:type="dxa"/>
            <w:vAlign w:val="bottom"/>
          </w:tcPr>
          <w:p>
            <w:pPr>
              <w:spacing w:after="0"/>
              <w:rPr>
                <w:sz w:val="20"/>
                <w:szCs w:val="20"/>
                <w:color w:val="auto"/>
              </w:rPr>
            </w:pPr>
            <w:r>
              <w:rPr>
                <w:rFonts w:ascii="Arial" w:cs="Arial" w:eastAsia="Arial" w:hAnsi="Arial"/>
                <w:sz w:val="16"/>
                <w:szCs w:val="16"/>
                <w:b w:val="1"/>
                <w:bCs w:val="1"/>
                <w:color w:val="auto"/>
              </w:rPr>
              <w:t>Cash, cash equivalents, restricted cash and restricted cash equivalents at end of period</w:t>
            </w:r>
          </w:p>
        </w:tc>
        <w:tc>
          <w:tcPr>
            <w:tcW w:w="12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104,890</w:t>
            </w:r>
          </w:p>
        </w:tc>
        <w:tc>
          <w:tcPr>
            <w:tcW w:w="160" w:type="dxa"/>
            <w:vAlign w:val="bottom"/>
          </w:tcPr>
          <w:p>
            <w:pPr>
              <w:spacing w:after="0"/>
              <w:rPr>
                <w:sz w:val="21"/>
                <w:szCs w:val="21"/>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57,388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940" w:type="dxa"/>
            <w:vAlign w:val="bottom"/>
          </w:tcPr>
          <w:p>
            <w:pPr>
              <w:spacing w:after="0"/>
              <w:rPr>
                <w:sz w:val="20"/>
                <w:szCs w:val="20"/>
                <w:color w:val="auto"/>
              </w:rPr>
            </w:pPr>
            <w:r>
              <w:rPr>
                <w:rFonts w:ascii="Arial" w:cs="Arial" w:eastAsia="Arial" w:hAnsi="Arial"/>
                <w:sz w:val="16"/>
                <w:szCs w:val="16"/>
                <w:color w:val="auto"/>
              </w:rPr>
              <w:t>Interest paid</w:t>
            </w:r>
          </w:p>
        </w:tc>
        <w:tc>
          <w:tcPr>
            <w:tcW w:w="920" w:type="dxa"/>
            <w:vAlign w:val="bottom"/>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14,238</w:t>
            </w:r>
          </w:p>
        </w:tc>
        <w:tc>
          <w:tcPr>
            <w:tcW w:w="160" w:type="dxa"/>
            <w:vAlign w:val="bottom"/>
          </w:tcPr>
          <w:p>
            <w:pPr>
              <w:spacing w:after="0"/>
              <w:rPr>
                <w:sz w:val="20"/>
                <w:szCs w:val="20"/>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Income tax payments - net</w:t>
            </w: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1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Non-cash investing activities:</w:t>
            </w:r>
          </w:p>
        </w:tc>
        <w:tc>
          <w:tcPr>
            <w:tcW w:w="9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Accrued purchases of property and equipment</w:t>
            </w:r>
          </w:p>
        </w:tc>
        <w:tc>
          <w:tcPr>
            <w:tcW w:w="126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35,390</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May 5, 2018</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As of May 5, 2018, Burlington Stores, Inc., a Delaware corporation (collectively with its subsidiaries, the Company), through its indirect subsidiary Burlington Coat Factory Warehouse Corporation (BCFWC), has expanded its store base to 647 retail stores, inclusive of an internet store, as of May 5, 2018.</w:t>
      </w:r>
    </w:p>
    <w:p>
      <w:pPr>
        <w:spacing w:after="0" w:line="124"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These unaudited Condensed Consolidated Financial Statements include the accounts of Burlington Stores, Inc. and its subsidiaries. All inter-company accounts and transactions have been eliminated in consolidation. The Condensed Consolidated Financial Statements are unaudited, but in the opinion of management reflect all adjustments (which are of a normal and recurring nature) necessary for the fair presentation of the results of operations for the interim periods presented. Certain information and note disclosures normally included in financial statements prepared in accordance with accounting principles generally accepted in the United States of America (GAAP) have been condensed or omitted. These Condensed Consolidated Financial Statements should be read in conjunction with the audited Consolidated Financial Statements and notes thereto included in the Company’s Annual Report on Form 10-K for the fiscal year ended February 3, 2018 (Fiscal 2017 10-K). The balance sheet at February 3, 2018 presented herein has been derived from the audited Consolidated Financial Statements contained in the Fiscal 2017 10-K. Because the Company’s business is seasonal in nature, the operating results for the three month period ended May 5, 2018 are not necessarily indicative of results for the fiscal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Accounting policies followed by the Company are described in Note 1 to the Fiscal 2017 10-K, “Summary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The Company defines its fiscal year as the 52 or 53 week period ending on the Saturday closest to January 31. The current fiscal year ends February 2, 2019 (Fiscal 2018) and is a 52-week fiscal year. The fiscal year ended February 3, 2018 (Fiscal 2017) was a 53-week fiscal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 Update (ASU) 2014-09, “Revenue from Contracts with Customers,” which converges revenue recognition under U.S. GAAP and International Financial Reporting Standards. The new guidance supersedes most preexisting revenue recognition guidance, and provides a five-step analysis of transactions to determine when and how revenue is recognized. The core principle of the guidance is that an entity should recognize revenue to depict the transfer of promised goods or services to customers in an amount that reflects the consideration to which the entity expects to be entitled in exchange for those goods or services. The Company adopted this standard effective February 4, 2018 on a modified retrospective basis.</w:t>
      </w:r>
    </w:p>
    <w:p>
      <w:pPr>
        <w:spacing w:after="0" w:line="8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Adoption of the standard did not result in any change in the timing or amount of revenue recognized as it relates to revenue from point of sale at the registers in our stores, which constitutes more than 99% of the Company’s revenue. The new standard requires the Company’s sales return reserve to be established at the gross sales value with an asset established for the value of the expected merchandise returned. The liability and asset related to the sales return reserve as of May 5, 2018 were $13.2 million and $7.9 million, respectively, and were included in the lines “Other current liabilities” and “Prepaid and other current assets,” respectively, on the Company’s Condensed Consolidated Balance Sheet. Prior period amounts have not been adjusted. As of February 3, 2018 and April 29, 2017, the net sales return reserve was $3.8 million and $5.2 million, respectively, and was included in the line “Other current liabilities” on the Company’s Condensed Consolidated Balance Sheets.</w:t>
      </w:r>
    </w:p>
    <w:p>
      <w:pPr>
        <w:spacing w:after="0" w:line="70" w:lineRule="exact"/>
        <w:rPr>
          <w:sz w:val="20"/>
          <w:szCs w:val="20"/>
          <w:color w:val="auto"/>
        </w:rPr>
      </w:pPr>
    </w:p>
    <w:p>
      <w:pPr>
        <w:ind w:right="40" w:firstLine="588"/>
        <w:spacing w:after="0" w:line="293" w:lineRule="auto"/>
        <w:rPr>
          <w:sz w:val="20"/>
          <w:szCs w:val="20"/>
          <w:color w:val="auto"/>
        </w:rPr>
      </w:pPr>
      <w:r>
        <w:rPr>
          <w:rFonts w:ascii="Arial" w:cs="Arial" w:eastAsia="Arial" w:hAnsi="Arial"/>
          <w:sz w:val="16"/>
          <w:szCs w:val="16"/>
          <w:color w:val="auto"/>
        </w:rPr>
        <w:t>The Company records revenue at the time of sale and delivery of merchandise, net of allowances for estimated future returns, which is estimated based on historical return rates. The Company presents sales, net of sales taxes, in its Condensed Consolidated Statements of Income. The Company accounts for layaway sales and leased department revenue in compliance with ASC Topic No. 606 “Revenue from Contracts with Customers” (Topic No. 606). Layaway sales are recognized upon delivery of merchandise to the customer. The amount of cash received upon initiation of the layaway is recorded as a deposit liability in the line item “Other current liabilities” in the Company’s Consolidated Balance Sheets. Stored value cards (gift cards and store credits issued for merchandise returns) are recorded as a liability at the time of issuance, and the related sale is recorded upon redemption.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right="280" w:firstLine="588"/>
        <w:spacing w:after="0" w:line="342" w:lineRule="auto"/>
        <w:rPr>
          <w:sz w:val="20"/>
          <w:szCs w:val="20"/>
          <w:color w:val="auto"/>
        </w:rPr>
      </w:pPr>
      <w:r>
        <w:rPr>
          <w:rFonts w:ascii="Arial" w:cs="Arial" w:eastAsia="Arial" w:hAnsi="Arial"/>
          <w:sz w:val="16"/>
          <w:szCs w:val="16"/>
          <w:color w:val="auto"/>
        </w:rPr>
        <w:t>The Company determines an estimated stored value card breakage rate by continuously evaluating historical redemption data. Breakage income is recognized monthly in proportion to the historical redemption patterns for those stored value cards for which the likelihood of redemption is remote.</w:t>
      </w:r>
    </w:p>
    <w:p>
      <w:pPr>
        <w:spacing w:after="0" w:line="124"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August 2016, the FASB issued ASU 2016-15, “Statement of Cash Flows: Classification of Certain Cash Receipts and Cash Payments.” The primary purpose of this ASU is to reduce the diversity in practice that has resulted from the lack of consistent principles on this topic. The Company adopted this standard effective February 4, 2018. Adoption of the new guidance did not have a significant impact on the Company’s consolidated financial statements.</w:t>
      </w:r>
    </w:p>
    <w:p>
      <w:pPr>
        <w:spacing w:after="0" w:line="147" w:lineRule="exact"/>
        <w:rPr>
          <w:sz w:val="20"/>
          <w:szCs w:val="20"/>
          <w:color w:val="auto"/>
        </w:rPr>
      </w:pPr>
    </w:p>
    <w:p>
      <w:pPr>
        <w:ind w:right="220" w:firstLine="518"/>
        <w:spacing w:after="0" w:line="271" w:lineRule="auto"/>
        <w:rPr>
          <w:sz w:val="20"/>
          <w:szCs w:val="20"/>
          <w:color w:val="auto"/>
        </w:rPr>
      </w:pPr>
      <w:r>
        <w:rPr>
          <w:rFonts w:ascii="Arial" w:cs="Arial" w:eastAsia="Arial" w:hAnsi="Arial"/>
          <w:sz w:val="17"/>
          <w:szCs w:val="17"/>
          <w:color w:val="auto"/>
        </w:rPr>
        <w:t>In November 2016, the FASB issued ASU 2016-18, “Statement of Cash Flows: Restricted Cash.” The primary purpose of this ASU is to reduce the diversity in practice that exists in the classification and presentation of changes in restricted cash on the statement of cash flows. This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Company adopted this standard effective February 4, 2018. As a result of adoption, the Company has included $27.8 million of restricted cash and cash equivalents in both the beginning-of-period and end-of-period cash and cash equivalents balances on its Condensed Consolidated Statement of Cash Flows for the three month period ended April 29, 2017.</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August 2017, the FASB issued ASU 2017-12, “Derivatives and Hedging: Targeted Improvements to Accounting for Hedging Activities.” This ASU eliminates the concept of recognizing periodic hedge ineffectiveness for cash flow and net investment hedges. As a result, changes in fair value for hedging instruments designated as a cash flow or net investment hedge will be recognized as a component of other comprehensive income, regardless of whether or not an economic mismatch exists in the hedging relationship. Additionally, the ASU eliminates the benchmark interest rate concept for variable-rate instruments in cash flow hedges. As a result, the contractually specified interest rate can now be designated as the hedged risk. The Company has elected to adopt the ASU as of February 4, 2018, using a modified retrospective transition method. Adoption of this ASU did not have a significant impact on the Company’s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Standards</w:t>
      </w:r>
    </w:p>
    <w:p>
      <w:pPr>
        <w:spacing w:after="0" w:line="225"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February 2016, the FASB issued ASU 2016-02, “Leases.” The standard’s core principle is to increase transparency and comparability among organizations by recognizing lease assets and liabilities on the balance sheet and disclosing key information about leasing arrangements. This standard is effective for fiscal years beginning after December 15, 2018, including interim periods within those fiscal years. This ASU will be effective for the Company as of the beginning of the fiscal year ending February 1, 2020 (Fiscal 2019). Early adoption is permitted. While the Company is continuing to evaluate the impact of the adoption of this guidance on its consolidated financial statements or notes thereto, it does expect that this new guidance will result in a significant increase to the assets and liabilities presented on its consolidated balance sheets. Refer to Note 13 to the Company’s Consolidated Financial Statements included in the Fiscal 2017 10-K (entitled “Lease Commitments”) for further detail of the Company’s future minimum lease payments. This guidance is not expected, however, to have a material impact on the Company's liquidity.</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January 26, 2017, the FASB issued ASU 2017-04, “Intangibles—Goodwill and Other: Simplifying the Test for Goodwill Impairment,” which aims to simplify the subsequent measurement of goodwill by eliminating Step 2 from the goodwill impairment test. Under the new guidance, goodwill impairment will be measured as the amount by which the carrying value exceeds the fair value. The loss recognized should not exceed the total amount of goodwill allocated to the reporting unit. The new guidance will be effective for annual reporting periods beginning after December 15, 2019, including interim periods. This ASU will be effective for the Company as of the beginning of Fiscal 2020. Early adoption is permitted for annual or interim goodwill impairment tests performed on testing dates after January 1, 2017. The Company does not anticipate that the new guidance will have a significant impact on its consolidated financial statements.</w:t>
      </w:r>
    </w:p>
    <w:p>
      <w:pPr>
        <w:spacing w:after="0" w:line="189"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There were no other new accounting standards that had a material impact on the Company’s Condensed Consolidated Financial Statements during the three month period ended May 5, 2018, and there were no other new accounting standards or pronouncements that were issued but not yet effective as of May 5, 2018 that the Company expects to have a material impact on its financial position or results of operations upon becoming effective.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Long 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 term debt consists of:</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9"/>
              </w:rPr>
              <w:t>(in thousands)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720"/>
              <w:spacing w:after="0" w:line="147" w:lineRule="exact"/>
              <w:rPr>
                <w:sz w:val="20"/>
                <w:szCs w:val="20"/>
                <w:color w:val="auto"/>
              </w:rPr>
            </w:pPr>
            <w:r>
              <w:rPr>
                <w:rFonts w:ascii="Arial" w:cs="Arial" w:eastAsia="Arial" w:hAnsi="Arial"/>
                <w:sz w:val="14"/>
                <w:szCs w:val="14"/>
                <w:b w:val="1"/>
                <w:bCs w:val="1"/>
                <w:color w:val="auto"/>
              </w:rPr>
              <w:t>May 5,</w:t>
            </w: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7"/>
              </w:rPr>
              <w:t>February 3,</w:t>
            </w:r>
          </w:p>
        </w:tc>
        <w:tc>
          <w:tcPr>
            <w:tcW w:w="240" w:type="dxa"/>
            <w:vAlign w:val="bottom"/>
          </w:tcPr>
          <w:p>
            <w:pPr>
              <w:spacing w:after="0"/>
              <w:rPr>
                <w:sz w:val="12"/>
                <w:szCs w:val="12"/>
                <w:color w:val="auto"/>
              </w:rPr>
            </w:pPr>
          </w:p>
        </w:tc>
        <w:tc>
          <w:tcPr>
            <w:tcW w:w="1100" w:type="dxa"/>
            <w:vAlign w:val="bottom"/>
          </w:tcPr>
          <w:p>
            <w:pPr>
              <w:jc w:val="right"/>
              <w:ind w:right="314"/>
              <w:spacing w:after="0" w:line="147"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8"/>
                <w:szCs w:val="18"/>
                <w:color w:val="auto"/>
                <w:w w:val="99"/>
              </w:rPr>
              <w:t>$1,200,000 senior secured term loan facility (Term B-5 Loans), LIBOR (with a floor of</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0.75%) plus 2.50%, matures on November 17, 2024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1,106,321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1,108,913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w w:val="99"/>
              </w:rPr>
              <w:t>$1,200,000 senior secured term loan facility (Term B-4 Loans), LIBOR (with a floor of</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0.75%) plus 2.75%, redeemed in full on November 17, 2017</w:t>
            </w:r>
          </w:p>
        </w:tc>
        <w:tc>
          <w:tcPr>
            <w:tcW w:w="2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1,112,316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w w:val="99"/>
              </w:rPr>
              <w:t>$600,000 ABL senior secured revolving facility, LIBOR plus spread based on average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outstanding balance, matures on August 13, 2019</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(3,725)</w:t>
            </w: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(3,872)</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1,135,592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1,126,972</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1,153,882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(13,040)</w:t>
            </w: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(13,164)</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 term debt, net of current maturities</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1,122,552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1,113,808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1,152,186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At May 5, 2018 and April 29, 2017, the Company’s borrowing rate related to its senior secured term loan facility (the Term Loan Facility) was 4.41% and 3.75%,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225"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At May 5, 2018, the Company had $533.2 million available under the Second Amended and Restated Credit Agreement, dated September 2, 2011, governing BCFWC’s existing senior secured asset-based revolving credit facility (the ABL Line of Credit). The maximum borrowings under the facility during the three month period ended May 5, 2018 amounted to $90.0 million. Average borrowings during the three month period ended May 5, 2018 amounted to $28.7 million at an average interest rate of 3.3%.</w:t>
      </w:r>
    </w:p>
    <w:p>
      <w:pPr>
        <w:spacing w:after="0" w:line="18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At April 29, 2017, the Company had $514.4 million available under the ABL Line of Credit. The maximum borrowings under the facility during the three month period ended April 29, 2017 amounted to $91.8 million. Average borrowings during the three month period ended April 29, 2017 amounted to $32.1 million at an average interest rate of 2.5%.</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Instruments and Hedging Activities</w:t>
      </w:r>
    </w:p>
    <w:p>
      <w:pPr>
        <w:spacing w:after="0" w:line="121"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 Company accounts for derivatives and hedging activities in accordance with ASC Topic No. 815, “Derivatives and Hedging” (Topic No. 815). As required by Topic No. 815, the Company records all derivatives on the balance sheet at fair value and adjusts to market on a quarterly basis. In addition, to comply with the provisions of ASC Topic No. 820, “Fair Value Measurements” (Topic No.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 In accordance with Topic No. 820, the Company made an accounting policy election to measure the credit risk of its derivative financial instruments that are subject to master netting agreements on a net basis by counterparty portfolio. There is no impact of netting because the Company’s only derivatives are interest rate cap contracts that are with separate counterparties and are under separate master netting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117"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The Company’s objectives in using interest rate derivatives are to add stability to interest expense and to manage its exposure to interest rate movements. To accomplish these objectives, the Company primarily uses interest rate caps as part of its interest rate risk management strategy. Interest rate caps designated as cash flow hedges involve the receipt of variable amounts from a counterparty if interest rates rise above the strike rate on the contract.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6"/>
          <w:szCs w:val="16"/>
          <w:color w:val="auto"/>
        </w:rPr>
        <w:t>As of May 5, 2018, the Company had the following outstanding interest rate derivatives that were designated as cash flow hedges of interest rate risk:</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Derivative</w:t>
            </w:r>
          </w:p>
        </w:tc>
        <w:tc>
          <w:tcPr>
            <w:tcW w:w="2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Notional Aggregate</w:t>
            </w:r>
          </w:p>
        </w:tc>
        <w:tc>
          <w:tcPr>
            <w:tcW w:w="20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Interest</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Instruments</w:t>
            </w: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 Amount</w:t>
            </w:r>
          </w:p>
        </w:tc>
        <w:tc>
          <w:tcPr>
            <w:tcW w:w="2000" w:type="dxa"/>
            <w:vAlign w:val="bottom"/>
            <w:gridSpan w:val="2"/>
          </w:tcPr>
          <w:p>
            <w:pPr>
              <w:ind w:left="560"/>
              <w:spacing w:after="0"/>
              <w:rPr>
                <w:sz w:val="20"/>
                <w:szCs w:val="20"/>
                <w:color w:val="auto"/>
              </w:rPr>
            </w:pPr>
            <w:r>
              <w:rPr>
                <w:rFonts w:ascii="Arial" w:cs="Arial" w:eastAsia="Arial" w:hAnsi="Arial"/>
                <w:sz w:val="14"/>
                <w:szCs w:val="14"/>
                <w:b w:val="1"/>
                <w:bCs w:val="1"/>
                <w:color w:val="auto"/>
              </w:rPr>
              <w:t>Cap Rate</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8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Two</w:t>
            </w:r>
          </w:p>
        </w:tc>
        <w:tc>
          <w:tcPr>
            <w:tcW w:w="18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$ 800.0 million</w:t>
            </w: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542"/>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May 31, 2019</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Tabular Disclosure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 below presents the fair value of the Company’s derivative financial instruments on a gross basis as well as their classification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Condensed Consolidated Balance Sheets: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i w:val="1"/>
                <w:iCs w:val="1"/>
                <w:color w:val="auto"/>
                <w:w w:val="89"/>
              </w:rPr>
              <w:t>(in thousands)</w:t>
            </w: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7"/>
          </w:tcPr>
          <w:p>
            <w:pPr>
              <w:jc w:val="center"/>
              <w:ind w:right="40"/>
              <w:spacing w:after="0" w:line="155" w:lineRule="exact"/>
              <w:rPr>
                <w:sz w:val="20"/>
                <w:szCs w:val="20"/>
                <w:color w:val="auto"/>
              </w:rPr>
            </w:pPr>
            <w:r>
              <w:rPr>
                <w:rFonts w:ascii="Arial" w:cs="Arial" w:eastAsia="Arial" w:hAnsi="Arial"/>
                <w:sz w:val="14"/>
                <w:szCs w:val="14"/>
                <w:b w:val="1"/>
                <w:bCs w:val="1"/>
                <w:color w:val="auto"/>
                <w:w w:val="94"/>
              </w:rPr>
              <w:t>Fair Values of Derivative Instruments</w:t>
            </w: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ind w:right="260"/>
              <w:spacing w:after="0" w:line="155" w:lineRule="exact"/>
              <w:rPr>
                <w:sz w:val="20"/>
                <w:szCs w:val="20"/>
                <w:color w:val="auto"/>
              </w:rPr>
            </w:pPr>
            <w:r>
              <w:rPr>
                <w:rFonts w:ascii="Arial" w:cs="Arial" w:eastAsia="Arial" w:hAnsi="Arial"/>
                <w:sz w:val="14"/>
                <w:szCs w:val="14"/>
                <w:b w:val="1"/>
                <w:bCs w:val="1"/>
                <w:color w:val="auto"/>
                <w:w w:val="90"/>
              </w:rPr>
              <w:t>Asset Derivatives</w:t>
            </w: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May 5, 2018</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February 3, 2018</w:t>
            </w:r>
          </w:p>
        </w:tc>
        <w:tc>
          <w:tcPr>
            <w:tcW w:w="220" w:type="dxa"/>
            <w:vAlign w:val="bottom"/>
          </w:tcPr>
          <w:p>
            <w:pPr>
              <w:spacing w:after="0"/>
              <w:rPr>
                <w:sz w:val="13"/>
                <w:szCs w:val="13"/>
                <w:color w:val="auto"/>
              </w:rPr>
            </w:pPr>
          </w:p>
        </w:tc>
        <w:tc>
          <w:tcPr>
            <w:tcW w:w="15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April 29, 2017</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1"/>
                <w:szCs w:val="11"/>
                <w:color w:val="auto"/>
              </w:rPr>
            </w:pPr>
          </w:p>
        </w:tc>
        <w:tc>
          <w:tcPr>
            <w:tcW w:w="9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center"/>
              <w:ind w:right="202"/>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Other assets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5,793</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4"/>
              </w:rPr>
              <w:t>Other assets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i w:val="1"/>
                <w:iCs w:val="1"/>
                <w:color w:val="auto"/>
                <w:w w:val="89"/>
              </w:rPr>
              <w:t>(in thousands)</w:t>
            </w: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7"/>
          </w:tcPr>
          <w:p>
            <w:pPr>
              <w:jc w:val="center"/>
              <w:ind w:right="40"/>
              <w:spacing w:after="0" w:line="155" w:lineRule="exact"/>
              <w:rPr>
                <w:sz w:val="20"/>
                <w:szCs w:val="20"/>
                <w:color w:val="auto"/>
              </w:rPr>
            </w:pPr>
            <w:r>
              <w:rPr>
                <w:rFonts w:ascii="Arial" w:cs="Arial" w:eastAsia="Arial" w:hAnsi="Arial"/>
                <w:sz w:val="14"/>
                <w:szCs w:val="14"/>
                <w:b w:val="1"/>
                <w:bCs w:val="1"/>
                <w:color w:val="auto"/>
                <w:w w:val="94"/>
              </w:rPr>
              <w:t>Fair Values of Derivative Instruments</w:t>
            </w: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ind w:right="260"/>
              <w:spacing w:after="0" w:line="155" w:lineRule="exact"/>
              <w:rPr>
                <w:sz w:val="20"/>
                <w:szCs w:val="20"/>
                <w:color w:val="auto"/>
              </w:rPr>
            </w:pPr>
            <w:r>
              <w:rPr>
                <w:rFonts w:ascii="Arial" w:cs="Arial" w:eastAsia="Arial" w:hAnsi="Arial"/>
                <w:sz w:val="14"/>
                <w:szCs w:val="14"/>
                <w:b w:val="1"/>
                <w:bCs w:val="1"/>
                <w:color w:val="auto"/>
                <w:w w:val="95"/>
              </w:rPr>
              <w:t>Liability Derivatives</w:t>
            </w: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May 5, 2018</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February 3, 2018</w:t>
            </w:r>
          </w:p>
        </w:tc>
        <w:tc>
          <w:tcPr>
            <w:tcW w:w="220" w:type="dxa"/>
            <w:vAlign w:val="bottom"/>
          </w:tcPr>
          <w:p>
            <w:pPr>
              <w:spacing w:after="0"/>
              <w:rPr>
                <w:sz w:val="13"/>
                <w:szCs w:val="13"/>
                <w:color w:val="auto"/>
              </w:rPr>
            </w:pPr>
          </w:p>
        </w:tc>
        <w:tc>
          <w:tcPr>
            <w:tcW w:w="15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April 29, 2017</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1"/>
                <w:szCs w:val="11"/>
                <w:color w:val="auto"/>
              </w:rPr>
            </w:pPr>
          </w:p>
        </w:tc>
        <w:tc>
          <w:tcPr>
            <w:tcW w:w="9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center"/>
              <w:ind w:right="202"/>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Other liabilities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following table presents the unrealized gains and losses deferred to accumulated other comprehensive loss resulting from the Company’s derivative instruments designated as cash flow hedging instruments for each of the reporting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i w:val="1"/>
                <w:iCs w:val="1"/>
                <w:color w:val="auto"/>
              </w:rPr>
              <w:t>(in thousands)</w:t>
            </w:r>
          </w:p>
        </w:tc>
        <w:tc>
          <w:tcPr>
            <w:tcW w:w="1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Cap Contracts:</w:t>
            </w:r>
          </w:p>
        </w:tc>
        <w:tc>
          <w:tcPr>
            <w:tcW w:w="4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2020" w:type="dxa"/>
            <w:vAlign w:val="bottom"/>
            <w:gridSpan w:val="2"/>
          </w:tcPr>
          <w:p>
            <w:pPr>
              <w:jc w:val="right"/>
              <w:ind w:right="960"/>
              <w:spacing w:after="0" w:line="155" w:lineRule="exact"/>
              <w:rPr>
                <w:sz w:val="20"/>
                <w:szCs w:val="20"/>
                <w:color w:val="auto"/>
              </w:rPr>
            </w:pPr>
            <w:r>
              <w:rPr>
                <w:rFonts w:ascii="Arial" w:cs="Arial" w:eastAsia="Arial" w:hAnsi="Arial"/>
                <w:sz w:val="14"/>
                <w:szCs w:val="14"/>
                <w:b w:val="1"/>
                <w:bCs w:val="1"/>
                <w:color w:val="auto"/>
              </w:rPr>
              <w:t>May 5, 2018</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40" w:type="dxa"/>
            <w:vAlign w:val="bottom"/>
          </w:tcPr>
          <w:p>
            <w:pPr>
              <w:jc w:val="right"/>
              <w:ind w:right="594"/>
              <w:spacing w:after="0" w:line="155" w:lineRule="exact"/>
              <w:rPr>
                <w:sz w:val="20"/>
                <w:szCs w:val="20"/>
                <w:color w:val="auto"/>
              </w:rPr>
            </w:pPr>
            <w:r>
              <w:rPr>
                <w:rFonts w:ascii="Arial" w:cs="Arial" w:eastAsia="Arial" w:hAnsi="Arial"/>
                <w:sz w:val="14"/>
                <w:szCs w:val="14"/>
                <w:b w:val="1"/>
                <w:bCs w:val="1"/>
                <w:color w:val="auto"/>
              </w:rPr>
              <w:t>April 29, 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Unrealized gains (losses), before taxes</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Unrealized gains (losses), net of taxes</w:t>
            </w: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following table presents information about the reclassification of gains and losses from accumulated other comprehensive loss into earnings related to the Company’s derivative instruments designated as cash flow hedging instruments for each of the reporting periods.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i w:val="1"/>
                <w:iCs w:val="1"/>
                <w:color w:val="auto"/>
              </w:rPr>
              <w:t>(in thousands)</w:t>
            </w:r>
          </w:p>
        </w:tc>
        <w:tc>
          <w:tcPr>
            <w:tcW w:w="1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6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Component of Earnings:</w:t>
            </w:r>
          </w:p>
        </w:tc>
        <w:tc>
          <w:tcPr>
            <w:tcW w:w="400" w:type="dxa"/>
            <w:vAlign w:val="bottom"/>
          </w:tcPr>
          <w:p>
            <w:pPr>
              <w:spacing w:after="0"/>
              <w:rPr>
                <w:sz w:val="20"/>
                <w:szCs w:val="20"/>
                <w:color w:val="auto"/>
              </w:rPr>
            </w:pPr>
          </w:p>
        </w:tc>
        <w:tc>
          <w:tcPr>
            <w:tcW w:w="20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May 5, 2018</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April 29, 2017</w:t>
            </w:r>
          </w:p>
        </w:tc>
      </w:tr>
      <w:tr>
        <w:trPr>
          <w:trHeight w:val="223"/>
        </w:trPr>
        <w:tc>
          <w:tcPr>
            <w:tcW w:w="6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r>
      <w:tr>
        <w:trPr>
          <w:trHeight w:val="223"/>
        </w:trPr>
        <w:tc>
          <w:tcPr>
            <w:tcW w:w="6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 estimates that approximately $0.4 million will be reclassified from accumulated other comprehensive loss into interest expense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Amounts included in accumulated other comprehensive loss are recorded net of the related income tax effects. The following table details the changes in accumulated other comprehensive loss: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i w:val="1"/>
                <w:iCs w:val="1"/>
                <w:color w:val="auto"/>
                <w:w w:val="89"/>
              </w:rPr>
              <w:t>(in thousands)</w:t>
            </w:r>
          </w:p>
        </w:tc>
      </w:tr>
      <w:tr>
        <w:trPr>
          <w:trHeight w:val="133"/>
        </w:trPr>
        <w:tc>
          <w:tcPr>
            <w:tcW w:w="9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238"/>
              <w:spacing w:after="0" w:line="133"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r>
      <w:tr>
        <w:trPr>
          <w:trHeight w:val="17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Instruments</w:t>
            </w:r>
          </w:p>
        </w:tc>
      </w:tr>
      <w:tr>
        <w:trPr>
          <w:trHeight w:val="223"/>
        </w:trPr>
        <w:tc>
          <w:tcPr>
            <w:tcW w:w="9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February 3, 2018</w:t>
            </w: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Unrealized gains, net of related taxes of $0.4 million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9"/>
                <w:szCs w:val="19"/>
                <w:color w:val="auto"/>
              </w:rPr>
            </w:pPr>
          </w:p>
        </w:tc>
      </w:tr>
      <w:tr>
        <w:trPr>
          <w:trHeight w:val="230"/>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Amount reclassified into earnings, net of related taxes of $0.3 million</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Balance at May 5, 2018</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accounts for fair value measurements in accordance with Topic No. 820, which defines fair value, establishes a framework for measurement and expands disclosure about fair value measurements. Topic No.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spacing w:after="0" w:line="79"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for identical assets or liabilities in active markets.</w:t>
      </w:r>
    </w:p>
    <w:p>
      <w:pPr>
        <w:spacing w:after="0" w:line="117" w:lineRule="exact"/>
        <w:rPr>
          <w:sz w:val="20"/>
          <w:szCs w:val="20"/>
          <w:color w:val="auto"/>
        </w:rPr>
      </w:pPr>
    </w:p>
    <w:p>
      <w:pPr>
        <w:ind w:left="1540" w:right="60" w:hanging="1025"/>
        <w:spacing w:after="0" w:line="342"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spacing w:after="0" w:line="16" w:lineRule="exact"/>
        <w:rPr>
          <w:sz w:val="20"/>
          <w:szCs w:val="20"/>
          <w:color w:val="auto"/>
        </w:rPr>
      </w:pPr>
    </w:p>
    <w:p>
      <w:pPr>
        <w:ind w:left="1540" w:right="60" w:hanging="1025"/>
        <w:spacing w:after="0" w:line="277" w:lineRule="auto"/>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Pricing inputs that are unobservable for the assets and liabilities and include situations where there is little, if any, market activity for the assets and liabilities.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inputs into the determination of fair value require significant management judgment or estimation.</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due to the short-term nature of these instruments.</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Refer to Note 3, “Derivative Instruments and Hedging Activities,” for further discussion regarding the fair value of the Company’s interest rate cap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w:t>
      </w:r>
    </w:p>
    <w:p>
      <w:pPr>
        <w:spacing w:after="0" w:line="22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fair values of the Company’s financial assets and the hierarchy of the level of inputs as of May 5, 2018, February 3, 2018 and April 29, 2017 are summarized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9"/>
              </w:rPr>
              <w:t>(in thousands)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3"/>
              </w:rPr>
              <w:t>Fair Value Measurements at</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w w:val="98"/>
              </w:rPr>
              <w:t>May 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7"/>
              </w:rPr>
              <w:t>February 3,</w:t>
            </w:r>
          </w:p>
        </w:tc>
        <w:tc>
          <w:tcPr>
            <w:tcW w:w="240" w:type="dxa"/>
            <w:vAlign w:val="bottom"/>
          </w:tcPr>
          <w:p>
            <w:pPr>
              <w:spacing w:after="0"/>
              <w:rPr>
                <w:sz w:val="12"/>
                <w:szCs w:val="12"/>
                <w:color w:val="auto"/>
              </w:rPr>
            </w:pPr>
          </w:p>
        </w:tc>
        <w:tc>
          <w:tcPr>
            <w:tcW w:w="1100" w:type="dxa"/>
            <w:vAlign w:val="bottom"/>
          </w:tcPr>
          <w:p>
            <w:pPr>
              <w:jc w:val="center"/>
              <w:ind w:right="162"/>
              <w:spacing w:after="0" w:line="147" w:lineRule="exact"/>
              <w:rPr>
                <w:sz w:val="20"/>
                <w:szCs w:val="20"/>
                <w:color w:val="auto"/>
              </w:rPr>
            </w:pPr>
            <w:r>
              <w:rPr>
                <w:rFonts w:ascii="Arial" w:cs="Arial" w:eastAsia="Arial" w:hAnsi="Arial"/>
                <w:sz w:val="14"/>
                <w:szCs w:val="14"/>
                <w:b w:val="1"/>
                <w:bCs w:val="1"/>
                <w:color w:val="auto"/>
                <w:w w:val="97"/>
              </w:rPr>
              <w:t>April 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equivalents (including restricted cash)</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values of the Company’s financial liabilities are summarized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ind w:left="500"/>
              <w:spacing w:after="0" w:line="155" w:lineRule="exact"/>
              <w:rPr>
                <w:sz w:val="20"/>
                <w:szCs w:val="20"/>
                <w:color w:val="auto"/>
              </w:rPr>
            </w:pPr>
            <w:r>
              <w:rPr>
                <w:rFonts w:ascii="Arial" w:cs="Arial" w:eastAsia="Arial" w:hAnsi="Arial"/>
                <w:sz w:val="14"/>
                <w:szCs w:val="14"/>
                <w:b w:val="1"/>
                <w:bCs w:val="1"/>
                <w:color w:val="auto"/>
              </w:rPr>
              <w:t>May 5, 2018</w:t>
            </w:r>
          </w:p>
        </w:tc>
        <w:tc>
          <w:tcPr>
            <w:tcW w:w="120" w:type="dxa"/>
            <w:vAlign w:val="bottom"/>
          </w:tcPr>
          <w:p>
            <w:pPr>
              <w:spacing w:after="0"/>
              <w:rPr>
                <w:sz w:val="13"/>
                <w:szCs w:val="13"/>
                <w:color w:val="auto"/>
              </w:rPr>
            </w:pPr>
          </w:p>
        </w:tc>
        <w:tc>
          <w:tcPr>
            <w:tcW w:w="2100" w:type="dxa"/>
            <w:vAlign w:val="bottom"/>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w w:val="94"/>
              </w:rPr>
              <w:t>February 3, 2018</w:t>
            </w:r>
          </w:p>
        </w:tc>
        <w:tc>
          <w:tcPr>
            <w:tcW w:w="120" w:type="dxa"/>
            <w:vAlign w:val="bottom"/>
          </w:tcPr>
          <w:p>
            <w:pPr>
              <w:spacing w:after="0"/>
              <w:rPr>
                <w:sz w:val="13"/>
                <w:szCs w:val="13"/>
                <w:color w:val="auto"/>
              </w:rPr>
            </w:pPr>
          </w:p>
        </w:tc>
        <w:tc>
          <w:tcPr>
            <w:tcW w:w="1940" w:type="dxa"/>
            <w:vAlign w:val="bottom"/>
            <w:gridSpan w:val="4"/>
          </w:tcPr>
          <w:p>
            <w:pPr>
              <w:jc w:val="right"/>
              <w:ind w:right="516"/>
              <w:spacing w:after="0" w:line="155" w:lineRule="exact"/>
              <w:rPr>
                <w:sz w:val="20"/>
                <w:szCs w:val="20"/>
                <w:color w:val="auto"/>
              </w:rPr>
            </w:pPr>
            <w:r>
              <w:rPr>
                <w:rFonts w:ascii="Arial" w:cs="Arial" w:eastAsia="Arial" w:hAnsi="Arial"/>
                <w:sz w:val="14"/>
                <w:szCs w:val="14"/>
                <w:b w:val="1"/>
                <w:bCs w:val="1"/>
                <w:color w:val="auto"/>
              </w:rPr>
              <w:t>April 29, 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4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56"/>
              <w:spacing w:after="0" w:line="133"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6"/>
              <w:spacing w:after="0" w:line="13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98"/>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76"/>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00" w:type="dxa"/>
            <w:vAlign w:val="bottom"/>
          </w:tcPr>
          <w:p>
            <w:pPr>
              <w:jc w:val="right"/>
              <w:ind w:right="13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B-5 Loans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1,106,321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1,111,853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1,108,913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1,108,913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Term B-4 Loans</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1,112,316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1,114,633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ABL senior secured revolving facility</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1,118,121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1,123,653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1,108,913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1,108,913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1,135,516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1,137,833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ind w:firstLine="518"/>
        <w:spacing w:after="0" w:line="264" w:lineRule="auto"/>
        <w:rPr>
          <w:sz w:val="20"/>
          <w:szCs w:val="20"/>
          <w:color w:val="auto"/>
        </w:rPr>
      </w:pPr>
      <w:r>
        <w:rPr>
          <w:rFonts w:ascii="Arial" w:cs="Arial" w:eastAsia="Arial" w:hAnsi="Arial"/>
          <w:sz w:val="18"/>
          <w:szCs w:val="18"/>
          <w:color w:val="auto"/>
        </w:rPr>
        <w:t>Capital lease obligations are excluded from the table above. To the extent the Company has any outstanding borrowings under the ABL Line of Credit, the fair value would approximate its reported value, because the interest rate is variable and reflects current market rates due to its short term nature. Borrowings are typically done in 30-day increments.</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fair values presented herein are based on pertinent information available to management as of the respective period end dates. The estimated fair values of the Company’s debt are classified as Level 2 in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deferred taxes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7"/>
              </w:rPr>
              <w:t>(in thousands)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7"/>
              <w:spacing w:after="0" w:line="147" w:lineRule="exact"/>
              <w:rPr>
                <w:sz w:val="20"/>
                <w:szCs w:val="20"/>
                <w:color w:val="auto"/>
              </w:rPr>
            </w:pPr>
            <w:r>
              <w:rPr>
                <w:rFonts w:ascii="Arial" w:cs="Arial" w:eastAsia="Arial" w:hAnsi="Arial"/>
                <w:sz w:val="14"/>
                <w:szCs w:val="14"/>
                <w:b w:val="1"/>
                <w:bCs w:val="1"/>
                <w:color w:val="auto"/>
              </w:rPr>
              <w:t>May 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February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97"/>
              <w:spacing w:after="0" w:line="147" w:lineRule="exact"/>
              <w:rPr>
                <w:sz w:val="20"/>
                <w:szCs w:val="20"/>
                <w:color w:val="auto"/>
              </w:rPr>
            </w:pPr>
            <w:r>
              <w:rPr>
                <w:rFonts w:ascii="Arial" w:cs="Arial" w:eastAsia="Arial" w:hAnsi="Arial"/>
                <w:sz w:val="14"/>
                <w:szCs w:val="14"/>
                <w:b w:val="1"/>
                <w:bCs w:val="1"/>
                <w:color w:val="auto"/>
              </w:rPr>
              <w:t>April 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vMerge w:val="restart"/>
          </w:tcPr>
          <w:p>
            <w:pPr>
              <w:spacing w:after="0"/>
              <w:rPr>
                <w:sz w:val="20"/>
                <w:szCs w:val="20"/>
                <w:color w:val="auto"/>
              </w:rPr>
            </w:pPr>
            <w:r>
              <w:rPr>
                <w:rFonts w:ascii="Arial" w:cs="Arial" w:eastAsia="Arial" w:hAnsi="Arial"/>
                <w:sz w:val="18"/>
                <w:szCs w:val="18"/>
                <w:color w:val="auto"/>
              </w:rPr>
              <w:t>Deferred tax asset</w:t>
            </w:r>
          </w:p>
        </w:tc>
        <w:tc>
          <w:tcPr>
            <w:tcW w:w="1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6,724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181,607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179,486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18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174,883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Deferred tax assets relate to Puerto Rico deferred balances that have a future net benefit for tax purposes. Deferred tax liabilities primarily relate to intangible assets and depreciation expense where the Company has a future obligation for tax purposes.</w:t>
      </w:r>
    </w:p>
    <w:p>
      <w:pPr>
        <w:spacing w:after="0" w:line="170" w:lineRule="exact"/>
        <w:rPr>
          <w:sz w:val="20"/>
          <w:szCs w:val="20"/>
          <w:color w:val="auto"/>
        </w:rPr>
      </w:pPr>
    </w:p>
    <w:p>
      <w:pPr>
        <w:jc w:val="both"/>
        <w:ind w:right="40" w:firstLine="518"/>
        <w:spacing w:after="0" w:line="297" w:lineRule="auto"/>
        <w:rPr>
          <w:sz w:val="20"/>
          <w:szCs w:val="20"/>
          <w:color w:val="auto"/>
        </w:rPr>
      </w:pPr>
      <w:r>
        <w:rPr>
          <w:rFonts w:ascii="Arial" w:cs="Arial" w:eastAsia="Arial" w:hAnsi="Arial"/>
          <w:sz w:val="16"/>
          <w:szCs w:val="16"/>
          <w:color w:val="auto"/>
        </w:rPr>
        <w:t>As of May 5, 2018, February 3, 2018 and April 29, 2017, valuation allowances amounted to $8.6 million, $8.4 million and $7.7 million, respectively, related to state tax net operating losses and state tax credit carry-forwards. The Company believes that it is more likely than not that this portion of the benefit of these state tax net operating losses and state tax credit carry-forwards will not be realized. As of May 5, 2018, the Company has a deferred tax asset related to net operating losses of $12.0 million, inclusive of $10.2 million of state net operating losses, which will expire at various dates between 2018 and 2038, as well as $1.8 million of deferred tax assets recorded for Puerto Rico net operating loss carry-forwards that will begin to expire in 2025.</w:t>
      </w:r>
    </w:p>
    <w:p>
      <w:pPr>
        <w:spacing w:after="0" w:line="158" w:lineRule="exact"/>
        <w:rPr>
          <w:sz w:val="20"/>
          <w:szCs w:val="20"/>
          <w:color w:val="auto"/>
        </w:rPr>
      </w:pPr>
    </w:p>
    <w:p>
      <w:pPr>
        <w:ind w:firstLine="518"/>
        <w:spacing w:after="0" w:line="284" w:lineRule="auto"/>
        <w:rPr>
          <w:sz w:val="20"/>
          <w:szCs w:val="20"/>
          <w:color w:val="auto"/>
        </w:rPr>
      </w:pPr>
      <w:r>
        <w:rPr>
          <w:rFonts w:ascii="Arial" w:cs="Arial" w:eastAsia="Arial" w:hAnsi="Arial"/>
          <w:sz w:val="17"/>
          <w:szCs w:val="17"/>
          <w:color w:val="auto"/>
        </w:rPr>
        <w:t>The U.S. Tax Cuts and Jobs Act of 2017 (the Tax Act) was signed into law on December 22, 2017. The Tax Act, among other things, lowered the federal statutory rate from 35% to 21%. The Company has analyzed the Tax Act and made reasonable estimates of the effects on its consolidated financial statements and tax disclosures. As the Company completes its analysis of the Tax Act, collects and prepares necessary data, and interprets any additional guidance issued by the U.S. Treasury Department, the IRS, and other standard-setting bodies, the Company may make adjustments to the provisional amounts as allowed by Staff Accounting Bulletin No. 118. The accounting is expected to be completed during Fiscal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accounts for treasury stock under the cost method.</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During the three month period ended May 5, 2018, the Company acquired 47,132 shares of common stock from employees for approximately $6.4 million to satisfy their minimum statutory tax withholdings related to the vesting of restricted stock awards, which was recorded in the line item “Treasury stock” on the Company’s Condensed Consolidated Balance Sheets, and the line item “Purchase of treasury shares” on the Company’s Condensed Consolidated Statements of Cash Flows.”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1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During the three month period ended May 5, 2018, the Company repurchased 488,468 shares of its common stock for $63.9 million, inclusive of commissions, under its share repurchase program, which was recorded in the line item “Treasury stock” on the Company’s Condensed Consolidated Balance Sheets, and the line item “Purchase of treasury shares” on the Company’s Condensed Consolidated Statements of Cash Flows.” The repurchase program is authorized to be executed through August 2019 and is funded using the Company’s available cash and borrowings on the ABL Line of Credit. As of May 5, 2018, the Company had $153.3 million remaining under its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Basic net income per share is calculated by dividing net income by the weighted-average number of common shares outstanding. Dilutive net income per share is calculated by dividing net income by the weighted-average number of common shares and potentially dilutive securities outstanding during the period using the treasury stock method. The following table presents the computation of basic and diluted net income per share:</w:t>
      </w:r>
    </w:p>
    <w:p>
      <w:pPr>
        <w:spacing w:after="0" w:line="155"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i w:val="1"/>
          <w:iCs w:val="1"/>
          <w:color w:val="auto"/>
        </w:rPr>
        <w:t>(in thousands, except per share</w:t>
      </w:r>
    </w:p>
    <w:p>
      <w:pPr>
        <w:jc w:val="center"/>
        <w:ind w:left="5720"/>
        <w:spacing w:after="0" w:line="231" w:lineRule="auto"/>
        <w:rPr>
          <w:sz w:val="20"/>
          <w:szCs w:val="20"/>
          <w:color w:val="auto"/>
        </w:rPr>
      </w:pPr>
      <w:r>
        <w:rPr>
          <w:rFonts w:ascii="Arial" w:cs="Arial" w:eastAsia="Arial" w:hAnsi="Arial"/>
          <w:sz w:val="14"/>
          <w:szCs w:val="14"/>
          <w:b w:val="1"/>
          <w:bCs w:val="1"/>
          <w:i w:val="1"/>
          <w:iCs w:val="1"/>
          <w:color w:val="auto"/>
        </w:rPr>
        <w:t>data)</w:t>
      </w:r>
    </w:p>
    <w:tbl>
      <w:tblPr>
        <w:tblLayout w:type="fixed"/>
        <w:tblInd w:w="1720" w:type="dxa"/>
        <w:tblCellMar>
          <w:top w:w="0" w:type="dxa"/>
          <w:left w:w="0" w:type="dxa"/>
          <w:bottom w:w="0" w:type="dxa"/>
          <w:right w:w="0" w:type="dxa"/>
        </w:tblCellMar>
      </w:tblPr>
      <w:tr>
        <w:trPr>
          <w:trHeight w:val="156"/>
        </w:trPr>
        <w:tc>
          <w:tcPr>
            <w:tcW w:w="58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940" w:type="dxa"/>
            <w:vAlign w:val="bottom"/>
            <w:tcBorders>
              <w:top w:val="single" w:sz="8" w:color="auto"/>
              <w:bottom w:val="single" w:sz="8" w:color="auto"/>
            </w:tcBorders>
            <w:gridSpan w:val="5"/>
          </w:tcPr>
          <w:p>
            <w:pPr>
              <w:jc w:val="right"/>
              <w:ind w:right="334"/>
              <w:spacing w:after="0" w:line="155" w:lineRule="exact"/>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May 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34"/>
              <w:spacing w:after="0" w:line="147" w:lineRule="exact"/>
              <w:rPr>
                <w:sz w:val="20"/>
                <w:szCs w:val="20"/>
                <w:color w:val="auto"/>
              </w:rPr>
            </w:pPr>
            <w:r>
              <w:rPr>
                <w:rFonts w:ascii="Arial" w:cs="Arial" w:eastAsia="Arial" w:hAnsi="Arial"/>
                <w:sz w:val="14"/>
                <w:szCs w:val="14"/>
                <w:b w:val="1"/>
                <w:bCs w:val="1"/>
                <w:color w:val="auto"/>
              </w:rPr>
              <w:t>April 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vMerge w:val="restart"/>
          </w:tcPr>
          <w:p>
            <w:pPr>
              <w:spacing w:after="0"/>
              <w:rPr>
                <w:sz w:val="20"/>
                <w:szCs w:val="20"/>
                <w:color w:val="auto"/>
              </w:rPr>
            </w:pPr>
            <w:r>
              <w:rPr>
                <w:rFonts w:ascii="Arial" w:cs="Arial" w:eastAsia="Arial" w:hAnsi="Arial"/>
                <w:sz w:val="18"/>
                <w:szCs w:val="18"/>
                <w:i w:val="1"/>
                <w:iCs w:val="1"/>
                <w:color w:val="auto"/>
              </w:rPr>
              <w:t>Basic net income per share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82,588</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Weighted average number of common shares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66,983</w:t>
            </w: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69,333</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per common share – basic</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i w:val="1"/>
                <w:iCs w:val="1"/>
                <w:color w:val="auto"/>
              </w:rPr>
              <w:t>Diluted net income per share</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82,588</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Shares for basic and diluted net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number of common shares – basic</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69,333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Assumed exercise of stock options and vesting of restricted stock</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Weighted average number of common shares – diluted</w:t>
            </w: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68,970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71,505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240"/>
              <w:spacing w:after="0"/>
              <w:rPr>
                <w:sz w:val="20"/>
                <w:szCs w:val="20"/>
                <w:color w:val="auto"/>
              </w:rPr>
            </w:pPr>
            <w:r>
              <w:rPr>
                <w:rFonts w:ascii="Arial" w:cs="Arial" w:eastAsia="Arial" w:hAnsi="Arial"/>
                <w:sz w:val="18"/>
                <w:szCs w:val="18"/>
                <w:color w:val="auto"/>
              </w:rPr>
              <w:t>Net income per common share – diluted</w:t>
            </w: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Approximately 220,000 shares were excluded from diluted net income per share for the three month period ended May 5, 2018, since their effect was anti-dilutive.</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Less than 100,000 shares were excluded from diluted net income per share for the three month period ended April 29, 2017, since their effect was anti-dilutive.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May 5, 2018, there were 4,223,442 shares of common stock available for issuance under the Company’s 2013 Omnibus Incentive Plan (the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Non-cash stock compensation expense is as follows: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427"/>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May 5,</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April 29,</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Type of Non-Cash Stock Compensation</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Restricted stock grants (a)</w:t>
            </w: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3,158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Stock option grants (a)</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3,039</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1,866</w:t>
            </w:r>
          </w:p>
        </w:tc>
        <w:tc>
          <w:tcPr>
            <w:tcW w:w="60" w:type="dxa"/>
            <w:vAlign w:val="bottom"/>
          </w:tcPr>
          <w:p>
            <w:pPr>
              <w:spacing w:after="0"/>
              <w:rPr>
                <w:sz w:val="19"/>
                <w:szCs w:val="19"/>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option modification (b)</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FF0FC"/>
          </w:tcPr>
          <w:p>
            <w:pPr>
              <w:spacing w:after="0"/>
              <w:rPr>
                <w:sz w:val="19"/>
                <w:szCs w:val="19"/>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7,023</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5,083</w:t>
            </w:r>
          </w:p>
        </w:tc>
        <w:tc>
          <w:tcPr>
            <w:tcW w:w="6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Included in the line item “Selling, general and administrative expenses” in the Company’s Condensed Consolidated Statements of Income.</w:t>
      </w:r>
    </w:p>
    <w:p>
      <w:pPr>
        <w:spacing w:after="0" w:line="34" w:lineRule="exact"/>
        <w:rPr>
          <w:rFonts w:ascii="Arial" w:cs="Arial" w:eastAsia="Arial" w:hAnsi="Arial"/>
          <w:sz w:val="17"/>
          <w:szCs w:val="17"/>
          <w:color w:val="auto"/>
        </w:rPr>
      </w:pPr>
    </w:p>
    <w:p>
      <w:pPr>
        <w:ind w:left="520" w:right="160" w:hanging="512"/>
        <w:spacing w:after="0" w:line="250"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non-cash compensation related to the May 2013 stock option modification, which became fully vested during Fiscal 2017. Amounts are included in the line item “Stock option modification expense” in the Company’s Condensed Consolidated Statements of Income. The Company does not expect to recognize any additional compensation expense related to the modification.</w:t>
      </w:r>
    </w:p>
    <w:p>
      <w:pPr>
        <w:spacing w:after="0" w:line="1" w:lineRule="exact"/>
        <w:rPr>
          <w:rFonts w:ascii="Arial" w:cs="Arial" w:eastAsia="Arial" w:hAnsi="Arial"/>
          <w:sz w:val="18"/>
          <w:szCs w:val="18"/>
          <w:color w:val="auto"/>
        </w:rPr>
      </w:pPr>
    </w:p>
    <w:p>
      <w:pPr>
        <w:ind w:left="520" w:right="80" w:hanging="512"/>
        <w:spacing w:after="0" w:line="255"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presented in the table above exclude taxes. For the three month period ended May 5, 2018, the tax benefit related to the Company’s non-cash stock compensation was approximately $1.2 million. For the three month period ended April 29, 2017, the tax benefit related to the Company’s non-cash stock compensation was approximately $1.5 million.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transactions during the three month period ended May 5, 2018 are summarized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February 3,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2,579,831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491,066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(150,502)</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Options 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(7,268)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May 5,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2,913,127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exercised during the three month period ended May 5, 2018 had a total intrinsic value of $16.0 million.</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7"/>
          <w:szCs w:val="17"/>
          <w:color w:val="auto"/>
        </w:rPr>
        <w:t>The following table summarizes information about the stock options vested and expected to vest during the contractual term as of May 5, 2018:</w:t>
      </w:r>
    </w:p>
    <w:p>
      <w:pPr>
        <w:spacing w:after="0" w:line="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104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Options</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4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Pr>
          <w:p>
            <w:pPr>
              <w:spacing w:after="0"/>
              <w:rPr>
                <w:sz w:val="14"/>
                <w:szCs w:val="14"/>
                <w:color w:val="auto"/>
              </w:rPr>
            </w:pPr>
          </w:p>
        </w:tc>
        <w:tc>
          <w:tcPr>
            <w:tcW w:w="104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w:t>
            </w:r>
          </w:p>
        </w:tc>
        <w:tc>
          <w:tcPr>
            <w:tcW w:w="1180" w:type="dxa"/>
            <w:vAlign w:val="bottom"/>
            <w:tcBorders>
              <w:top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rPr>
              <w:t>2,913,127</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425"/>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8"/>
                <w:szCs w:val="18"/>
                <w:color w:val="auto"/>
              </w:rPr>
              <w:t>56.63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518"/>
        <w:spacing w:after="0" w:line="269" w:lineRule="auto"/>
        <w:rPr>
          <w:sz w:val="20"/>
          <w:szCs w:val="20"/>
          <w:color w:val="auto"/>
        </w:rPr>
      </w:pPr>
      <w:r>
        <w:rPr>
          <w:rFonts w:ascii="Arial" w:cs="Arial" w:eastAsia="Arial" w:hAnsi="Arial"/>
          <w:sz w:val="18"/>
          <w:szCs w:val="18"/>
          <w:color w:val="auto"/>
        </w:rPr>
        <w:t>The fair value of each stock option granted during the three month period ended May 5, 2018 was estimated using the Black Scholes option pricing model using the following assumptions:</w:t>
      </w:r>
    </w:p>
    <w:tbl>
      <w:tblPr>
        <w:tblLayout w:type="fixed"/>
        <w:tblInd w:w="172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r>
      <w:tr>
        <w:trPr>
          <w:trHeight w:val="26"/>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r>
      <w:tr>
        <w:trPr>
          <w:trHeight w:val="146"/>
        </w:trPr>
        <w:tc>
          <w:tcPr>
            <w:tcW w:w="6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50"/>
              <w:spacing w:after="0" w:line="147" w:lineRule="exact"/>
              <w:rPr>
                <w:sz w:val="20"/>
                <w:szCs w:val="20"/>
                <w:color w:val="auto"/>
              </w:rPr>
            </w:pPr>
            <w:r>
              <w:rPr>
                <w:rFonts w:ascii="Arial" w:cs="Arial" w:eastAsia="Arial" w:hAnsi="Arial"/>
                <w:sz w:val="14"/>
                <w:szCs w:val="14"/>
                <w:b w:val="1"/>
                <w:bCs w:val="1"/>
                <w:color w:val="auto"/>
                <w:w w:val="98"/>
              </w:rPr>
              <w:t>May 5,</w:t>
            </w:r>
          </w:p>
        </w:tc>
        <w:tc>
          <w:tcPr>
            <w:tcW w:w="60" w:type="dxa"/>
            <w:vAlign w:val="bottom"/>
          </w:tcPr>
          <w:p>
            <w:pPr>
              <w:spacing w:after="0"/>
              <w:rPr>
                <w:sz w:val="12"/>
                <w:szCs w:val="12"/>
                <w:color w:val="auto"/>
              </w:rPr>
            </w:pPr>
          </w:p>
        </w:tc>
      </w:tr>
      <w:tr>
        <w:trPr>
          <w:trHeight w:val="171"/>
        </w:trPr>
        <w:tc>
          <w:tcPr>
            <w:tcW w:w="65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2.13%</w:t>
            </w: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- 3.00%</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740" w:type="dxa"/>
            <w:vAlign w:val="bottom"/>
          </w:tcPr>
          <w:p>
            <w:pPr>
              <w:ind w:left="20"/>
              <w:spacing w:after="0"/>
              <w:rPr>
                <w:sz w:val="20"/>
                <w:szCs w:val="20"/>
                <w:color w:val="auto"/>
              </w:rPr>
            </w:pPr>
            <w:r>
              <w:rPr>
                <w:rFonts w:ascii="Arial" w:cs="Arial" w:eastAsia="Arial" w:hAnsi="Arial"/>
                <w:sz w:val="18"/>
                <w:szCs w:val="18"/>
                <w:color w:val="auto"/>
              </w:rPr>
              <w:t>- 34%</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- 6.25</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Contractual life (years)</w:t>
            </w:r>
          </w:p>
        </w:tc>
        <w:tc>
          <w:tcPr>
            <w:tcW w:w="12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5"/>
              </w:rPr>
              <w:t>10.0</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Weighted average grant date fair value of options issued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3"/>
              </w:rPr>
              <w:t>50.54</w:t>
            </w:r>
          </w:p>
        </w:tc>
        <w:tc>
          <w:tcPr>
            <w:tcW w:w="60" w:type="dxa"/>
            <w:vAlign w:val="bottom"/>
          </w:tcPr>
          <w:p>
            <w:pPr>
              <w:spacing w:after="0"/>
              <w:rPr>
                <w:sz w:val="20"/>
                <w:szCs w:val="20"/>
                <w:color w:val="auto"/>
              </w:rPr>
            </w:pPr>
          </w:p>
        </w:tc>
      </w:tr>
    </w:tbl>
    <w:p>
      <w:pPr>
        <w:spacing w:after="0" w:line="20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expected dividend yield was based on the Company’s expectation of not paying dividends in the foreseeable future. Since the Company completed its initial public offering in October 2013, it does not have sufficient history as a publicly traded company to evaluate its volatility factor. As such, the expected stock price volatility is based upon the historical volatility of the stock price over the expected life of the options of peer companies that are publicly traded. The risk free interest rate was based on the U.S. Treasury rates for U.S. Treasury zero-coupon bonds with maturities similar to those of the expected term of the awards being valued. For grants issued during the three month period ended May 5, 2018, the expected life of the options was calculated using the simplified method. The simplified method defines the life as the average of the contractual term of the options and the weighted average vesting period for all option tranches. This methodology was utilized due to the relatively short length of time the Company’s common stock has been publicly traded.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stock transactions during the three month period ended May 5, 2018 are summarized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awards outstanding, February 3,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748,894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Awards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129,098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Awards vested (a)</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(139,729)</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Awards 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awards outstanding, May 5,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734,945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79.73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stock awards vested during the three month period ended May 5, 2018 had a total intrinsic value of $18.9 million.</w:t>
      </w:r>
    </w:p>
    <w:p>
      <w:pPr>
        <w:spacing w:after="0" w:line="22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fair value of each share of restricted stock granted during Fiscal 2018 was based upon the closing price of the Company’s common stock on the grant date.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Liabilities</w:t>
      </w:r>
    </w:p>
    <w:p>
      <w:pPr>
        <w:spacing w:after="0" w:line="12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Other liabilities primarily consist of deferred lease incentives, the long term portion of self-insurance reserves, the excess of straight-line rent expense over actual rental payments and tax liabilities associated with the uncertain tax positions recognized by the Company in accordance with ASC Topic No. 740, “Income Taxes.”</w:t>
      </w:r>
    </w:p>
    <w:p>
      <w:pPr>
        <w:spacing w:after="0" w:line="18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Deferred lease incentives are funds received or receivable from landlords used primarily to offset costs incurred for leasehold improvements and fixturing of new and remodeled stores. These deferred lease incentives are amortized over the expected lease term including rent holiday periods and option periods, where the exercise of the option can be reasonably assured. Amortization of deferred lease incentives is included in the line item “Selling, general and administrative expenses” on the Company’s Condensed Consolidated Statements of Income. At May 5, 2018, February 3, 2018 and April 29, 2017, deferred lease incentives were $207.1 million, $206.0 million and $177.7 million, respectively, and are recorded in the line item “Other liabilities” on the Company’s Condensed Consolidated Balance Sheets.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Company establishes accruals relating to legal claims in connection with litigation to which the Company is party from time to time in the ordinary course of business. Like many retailers, the Company has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To determine the likelihood of a loss and/or the measurement of any loss can be complex. Consequently, we are unable to estimate the range of reasonably possible loss in excess of amounts accrued. The Company’s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enters into lease agreements during the ordinary course of business in order to secure favorable store locations.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minimum lease payments for all operating leases are expected to be $260.5 million for the remainder of Fiscal 2018 and $372.2 million, $355.9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$334.3 million, $311.9 million and $1,433.1 million for the fiscal years ended February 1, 2020, January 30, 2021, January 29, 2022, January 28, 2023 and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subsequent years thereafter, respectively. Total future minimum lease payments include $277.2 million related to options to extend lease terms that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reasonably assured of being exercised and $487.7 million of minimum lease payments for 65 stores that the Company has committed to open or relocate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current or future years.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had letter of credit arrangements with various banks in the aggregate amount of $55.0 million, $60.0 million and $50.8 million as of May 5, 2018, February 3, 2018 and April 29, 2017, respectively. Among these arrangements, as of May 5, 2018, February 3, 2018 and April 29, 2017, the Company had letters of credit in the amount of $44.5 million, $51.9 million and $43.8 million, respectively, guaranteeing performance under various insurance contracts and utility agreements. In addition, the Company had outstanding letters of credit agreements in the amounts of $10.5 million, $8.1 million and $7.0 million at May 5, 2018, February 3, 2018 and April 29, 2017, respectively, related to certain merchandising agreements. Based on the terms of the agreement governing the ABL Line of Credit, the Company had the ability to enter into letters of credit up to $533.2 million, $455.8 million and $514.4 million as of May 5, 2018, February 3, 2018 and April 29, 2017,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$994.5 million of purchase commitments related to goods that were not received as of May 5,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Benefits</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 November 2005, the Company entered into agreements with three of the Company’s former executives whereby upon each of their deaths the Company will pay $1.0 million to each respective designated beneficiary.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The brother-in-law of one of the Company’s Executive Vice Presidents is an independent sales representative of one of the Company’s suppliers of merchandise inventory. This relationship predated the commencement of the Executive Vice President’s employment with the Company. The Company has determined that the dollar amount of purchases through such supplier represents an insignificant amount of its inventory purchases.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b w:val="1"/>
          <w:bCs w:val="1"/>
          <w:color w:val="auto"/>
        </w:rPr>
        <w:t>BURLINGTON STORES,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i w:val="1"/>
          <w:iCs w:val="1"/>
          <w:color w:val="auto"/>
        </w:rPr>
        <w:t>The following discussion summarizes the significant factors affecting our consolidated operating results, financial condition, liquidity and cash flows as of and for the periods presented below. The following discussion and analysis should be read in conjunction with the Condensed Consolidated Financial Statements and notes thereto included elsewhere in this report and in our Annual Report on Form 10-K for the fiscal year ended February 3, 2018.</w:t>
      </w:r>
    </w:p>
    <w:p>
      <w:pPr>
        <w:spacing w:after="0" w:line="147"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i w:val="1"/>
          <w:iCs w:val="1"/>
          <w:color w:val="auto"/>
        </w:rPr>
        <w:t>In addition to historical information, this discussion and analysis contains forward-looking statements based on current expectations that involve risks, uncertainties and assumptions, such as our plans, objectives, expectations, and intentions. Our actual results and the timing of events may differ materially from those anticipated in these forward-looking statements due to various factors, including those discussed under the section of this Item 2 entitled “Safe Harbor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 and Overview of Operating Results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are a nationally recognized off-price retailer of high-quality, branded apparel at everyday low prices. We opened our first store in Burlington, New Jersey in 1972, selling primarily coats and outerwear. Since then, we have expanded our store base to 647 stores as of May 5, 2018, inclusive of an internet store, in 45 states and Puerto Rico, and diversified our product categories by offering an extensive selection of in-season, fashion-focused merchandise, including women’s ready-to-wear apparel, accessories, footwear, menswear, youth apparel, baby, home, coats, beauty and gifts. We sell a broad selection of desirable, first-quality, current-brand, labeled merchandise acquired directly from nationally-recognized manufacturers and other suppliers.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Highlights from the three month period ended May 5, 2018 compared with the three month period ended April 29, 2017 include the following:</w:t>
      </w:r>
    </w:p>
    <w:p>
      <w:pPr>
        <w:spacing w:after="0" w:line="117"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generated total revenues of $1,524.7 million compared with $1,352.2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sales improved $171.9 million to $1,518.4 million. Comparable sales increased 4.8% on a shifted basis, as further discussed below.</w:t>
      </w:r>
    </w:p>
    <w:p>
      <w:pPr>
        <w:spacing w:after="0" w:line="128"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as a percentage of net sales improved to 41.2% compared with 40.9%. Product sourcing costs, which are included in selling, general and administrative expenses, increased 5 basis points as a percentage of net sales.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general and administrative expenses as a percentage of net sales improved to 30.8% compared with 31.3%.</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earned net income of $82.6 million compared with net income of $52.4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Net Income (as defined in the section below entitled “Key Performance Measures”) improved $30.4 million to $87.0 million.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(as defined in the section below entitled “Key Performance Measures”) improved $28.1 million to $164.9 million.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 (as defined in the section below entitled “Key Performance Measures”) improved $24.9 million to $119.8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Fiscal 2018 is defined as the 52-week year ended February 2, 2019. Fiscal 2017 is defined as the 53-week year ending February 3, 2018. To account for the calendar shift from the 53</w:t>
      </w:r>
      <w:r>
        <w:rPr>
          <w:rFonts w:ascii="Arial" w:cs="Arial" w:eastAsia="Arial" w:hAnsi="Arial"/>
          <w:sz w:val="15"/>
          <w:szCs w:val="15"/>
          <w:color w:val="auto"/>
        </w:rPr>
        <w:t>rd</w:t>
      </w:r>
      <w:r>
        <w:rPr>
          <w:rFonts w:ascii="Arial" w:cs="Arial" w:eastAsia="Arial" w:hAnsi="Arial"/>
          <w:sz w:val="18"/>
          <w:szCs w:val="18"/>
          <w:color w:val="auto"/>
        </w:rPr>
        <w:t xml:space="preserve"> week in Fiscal 2017, we compared the 13 week period ended May 5, 2018 to the 13 week period ended May 6, 2017. On this shifted basis, comparable store sales for the three months ended May 5, 2018 increased 4.8%.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Openings, Closings, and Relocations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During the three month period ended May 5, 2018, we opened 24 new stores, inclusive of five relocations, and closed one store, exclusive of the aforementioned relocations, bringing our store count as of May 5, 2018 to 647 stores, inclusive of an internet store.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Ongoing Initiatives for Fiscal 2018</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continue to focus on a number of ongoing initiatives aimed at increasing our overall profitability by improving our comparable store sales trends, increasing total sales growth and reducing expenses. These initiatives include, but are not limited to:</w:t>
      </w:r>
    </w:p>
    <w:p>
      <w:pPr>
        <w:spacing w:after="0" w:line="58"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Driving Comparable Store Sales Growth.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continue to increase comparable store sales through the following initiatives:</w:t>
      </w:r>
    </w:p>
    <w:p>
      <w:pPr>
        <w:spacing w:after="0" w:line="117" w:lineRule="exact"/>
        <w:rPr>
          <w:sz w:val="20"/>
          <w:szCs w:val="20"/>
          <w:color w:val="auto"/>
        </w:rPr>
      </w:pPr>
    </w:p>
    <w:p>
      <w:pPr>
        <w:ind w:left="1540" w:hanging="506"/>
        <w:spacing w:after="0" w:line="291"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Continuing to Enhance Execution of the Off-Price Model. </w:t>
      </w:r>
      <w:r>
        <w:rPr>
          <w:rFonts w:ascii="Arial" w:cs="Arial" w:eastAsia="Arial" w:hAnsi="Arial"/>
          <w:sz w:val="16"/>
          <w:szCs w:val="16"/>
          <w:color w:val="auto"/>
        </w:rPr>
        <w:t>We plan to drive comparable store sales by focusing on product freshness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we consistently deliver newness to the selling floors. We plan to continue to reduce comparable store inventories, which we believe will result in faster inventory turnover. We maintain our ability to leverage our pack-and-hold program, which is designed to take advantage of terrific buys of either highly desirable branded product or key seasonal merchandise for the next year. While the amount of goods we purchase on pack-and-hold is purely based on the right opportunities in the marketplace, this continues to be a great avenue to source product. We also intend to use our business intelligence systems to identify sell-through rates by product, capitalize on strong performing categories, identify and buy into new fashion trends and opportunistically acquire products in the marketplace.</w:t>
      </w:r>
    </w:p>
    <w:p>
      <w:pPr>
        <w:spacing w:after="0" w:line="59" w:lineRule="exact"/>
        <w:rPr>
          <w:rFonts w:ascii="Arial" w:cs="Arial" w:eastAsia="Arial" w:hAnsi="Arial"/>
          <w:sz w:val="16"/>
          <w:szCs w:val="16"/>
          <w:color w:val="auto"/>
        </w:rPr>
      </w:pPr>
    </w:p>
    <w:p>
      <w:pPr>
        <w:ind w:left="1540" w:hanging="506"/>
        <w:spacing w:after="0" w:line="297"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Sharpening Focus on Our Core Female Customer. </w:t>
      </w:r>
      <w:r>
        <w:rPr>
          <w:rFonts w:ascii="Arial" w:cs="Arial" w:eastAsia="Arial" w:hAnsi="Arial"/>
          <w:sz w:val="16"/>
          <w:szCs w:val="16"/>
          <w:color w:val="auto"/>
        </w:rPr>
        <w:t>We have focused on better serving our core female customer, a brand-conscious</w:t>
      </w:r>
      <w:r>
        <w:rPr>
          <w:rFonts w:ascii="Arial" w:cs="Arial" w:eastAsia="Arial" w:hAnsi="Arial"/>
          <w:sz w:val="16"/>
          <w:szCs w:val="16"/>
          <w:i w:val="1"/>
          <w:iCs w:val="1"/>
          <w:color w:val="auto"/>
        </w:rPr>
        <w:t xml:space="preserve"> </w:t>
      </w:r>
      <w:r>
        <w:rPr>
          <w:rFonts w:ascii="Arial" w:cs="Arial" w:eastAsia="Arial" w:hAnsi="Arial"/>
          <w:sz w:val="16"/>
          <w:szCs w:val="16"/>
          <w:color w:val="auto"/>
        </w:rPr>
        <w:t>fashion enthusiast, aged 25-49, with an average annual household income of $25,000-$100,000, by improving our product offering, store merchandising and marketing focus on women’s ready-to-wear apparel and accessories to capture incremental sales from our core female customer and become a destination for her across all categories. We believe that these efforts will increase the frequency of her visits and her average spend, further improving the comparable store sales performance in women’s categories.</w:t>
      </w:r>
    </w:p>
    <w:p>
      <w:pPr>
        <w:spacing w:after="0" w:line="50" w:lineRule="exact"/>
        <w:rPr>
          <w:rFonts w:ascii="Arial" w:cs="Arial" w:eastAsia="Arial" w:hAnsi="Arial"/>
          <w:sz w:val="16"/>
          <w:szCs w:val="16"/>
          <w:color w:val="auto"/>
        </w:rPr>
      </w:pPr>
    </w:p>
    <w:p>
      <w:pPr>
        <w:ind w:left="1540" w:hanging="506"/>
        <w:spacing w:after="0" w:line="289"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Continuing to Improve Our Customer Experience. </w:t>
      </w:r>
      <w:r>
        <w:rPr>
          <w:rFonts w:ascii="Arial" w:cs="Arial" w:eastAsia="Arial" w:hAnsi="Arial"/>
          <w:sz w:val="16"/>
          <w:szCs w:val="16"/>
          <w:color w:val="auto"/>
        </w:rPr>
        <w:t>We have significantly enhanced the store experience and ease of shopping at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stores by implementing a comprehensive program focused on offering more brands and styles and simplifying store navigation. We have accomplished this by utilizing clear way-finding signs and distinct product signage, highlighting key brands and new arrivals, improving organization of the floor space, reducing rack density, facilitating quicker checkouts and delivering better customer service. We have made particular improvements in product size visibility, queuing and fitting rooms. To ensure consistent execution of our customer experience priorities, we have improved our store associate training and reorganized and strengthened our field management organization. Our much improved store experience continues to resonate with our customers. We continue to refine our online customer survey to provide more actionable customer feedback to stores. Stores develop action plans to address clearly identified areas of focus. Store managers have the ability to review immediate feedback from their customers, and react accordingly.</w:t>
      </w:r>
    </w:p>
    <w:p>
      <w:pPr>
        <w:spacing w:after="0" w:line="58" w:lineRule="exact"/>
        <w:rPr>
          <w:rFonts w:ascii="Arial" w:cs="Arial" w:eastAsia="Arial" w:hAnsi="Arial"/>
          <w:sz w:val="16"/>
          <w:szCs w:val="16"/>
          <w:color w:val="auto"/>
        </w:rPr>
      </w:pPr>
    </w:p>
    <w:p>
      <w:pPr>
        <w:ind w:left="1540" w:hanging="506"/>
        <w:spacing w:after="0" w:line="264"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Increasing Our Sales through e-Commerce. </w:t>
      </w:r>
      <w:r>
        <w:rPr>
          <w:rFonts w:ascii="Arial" w:cs="Arial" w:eastAsia="Arial" w:hAnsi="Arial"/>
          <w:sz w:val="18"/>
          <w:szCs w:val="18"/>
          <w:color w:val="auto"/>
        </w:rPr>
        <w:t>We have been selling to our customers online for more than a decade. We plan to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this heritage and continue to utilize e-commerce strategies offering merchandise to our customers while driving incremental traffic to our stores.</w:t>
      </w:r>
    </w:p>
    <w:p>
      <w:pPr>
        <w:spacing w:after="0" w:line="73" w:lineRule="exact"/>
        <w:rPr>
          <w:rFonts w:ascii="Arial" w:cs="Arial" w:eastAsia="Arial" w:hAnsi="Arial"/>
          <w:sz w:val="18"/>
          <w:szCs w:val="18"/>
          <w:color w:val="auto"/>
        </w:rPr>
      </w:pPr>
    </w:p>
    <w:p>
      <w:pPr>
        <w:ind w:left="1540" w:right="360" w:hanging="506"/>
        <w:spacing w:after="0" w:line="286"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Enhancing Existing Categories and Introducing New Categories. </w:t>
      </w:r>
      <w:r>
        <w:rPr>
          <w:rFonts w:ascii="Arial" w:cs="Arial" w:eastAsia="Arial" w:hAnsi="Arial"/>
          <w:sz w:val="17"/>
          <w:szCs w:val="17"/>
          <w:color w:val="auto"/>
        </w:rPr>
        <w:t>We have opportunities to expand the depth and breadth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categories such as ladies’ apparel, children’s products, bath and cosmetic merchandise, housewares, décor for the home and beauty as we continue to de-weather our business, and maintain the flexibility to introduce new categories.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Expanding and Enhancing Our Retail Store Base.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expand and enhance our retail store base through the following initiatives:</w:t>
      </w:r>
    </w:p>
    <w:p>
      <w:pPr>
        <w:spacing w:after="0" w:line="117" w:lineRule="exact"/>
        <w:rPr>
          <w:sz w:val="20"/>
          <w:szCs w:val="20"/>
          <w:color w:val="auto"/>
        </w:rPr>
      </w:pPr>
    </w:p>
    <w:p>
      <w:pPr>
        <w:ind w:left="1540" w:right="220" w:hanging="506"/>
        <w:spacing w:after="0" w:line="259"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Adhering to a Market Focused and Financially Disciplined Real Estate Strategy. </w:t>
      </w:r>
      <w:r>
        <w:rPr>
          <w:rFonts w:ascii="Arial" w:cs="Arial" w:eastAsia="Arial" w:hAnsi="Arial"/>
          <w:sz w:val="18"/>
          <w:szCs w:val="18"/>
          <w:color w:val="auto"/>
        </w:rPr>
        <w:t>We have grown our store base consistently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in 1972, developing more than 99% of our stores organically. We believe there is significant opportunity to expand our retail store base in the United States. Our goal is to open 35-40 net new stores during Fiscal 2018 and to open a minimum of 30 net new Burlington Stores annually going forward.</w:t>
      </w:r>
    </w:p>
    <w:p>
      <w:pPr>
        <w:spacing w:after="0" w:line="78" w:lineRule="exact"/>
        <w:rPr>
          <w:rFonts w:ascii="Arial" w:cs="Arial" w:eastAsia="Arial" w:hAnsi="Arial"/>
          <w:sz w:val="18"/>
          <w:szCs w:val="18"/>
          <w:color w:val="auto"/>
        </w:rPr>
      </w:pPr>
    </w:p>
    <w:p>
      <w:pPr>
        <w:ind w:left="1540" w:right="40" w:hanging="506"/>
        <w:spacing w:after="0" w:line="25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Maintaining Focus on Unit Economics and Returns. </w:t>
      </w:r>
      <w:r>
        <w:rPr>
          <w:rFonts w:ascii="Arial" w:cs="Arial" w:eastAsia="Arial" w:hAnsi="Arial"/>
          <w:sz w:val="18"/>
          <w:szCs w:val="18"/>
          <w:color w:val="auto"/>
        </w:rPr>
        <w:t>We have adopted a market focused approach to new store openings with a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focus on maximizing sales while achieving attractive unit economics and returns. By focusing on opening stores with attractive unit economics, we are able to achieve attractive returns on capital and continue to grow our margins. We believe that as we continue to reduce our comparable store inventory, we will be able to reduce the square footage of our stores while continuing to maintain our broad assortment.</w:t>
      </w:r>
    </w:p>
    <w:p>
      <w:pPr>
        <w:spacing w:after="0" w:line="80" w:lineRule="exact"/>
        <w:rPr>
          <w:rFonts w:ascii="Arial" w:cs="Arial" w:eastAsia="Arial" w:hAnsi="Arial"/>
          <w:sz w:val="18"/>
          <w:szCs w:val="18"/>
          <w:color w:val="auto"/>
        </w:rPr>
      </w:pPr>
    </w:p>
    <w:p>
      <w:pPr>
        <w:ind w:left="1540" w:right="120" w:hanging="506"/>
        <w:spacing w:after="0" w:line="25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Enhancing the Store Experience Through Store Remodels. </w:t>
      </w:r>
      <w:r>
        <w:rPr>
          <w:rFonts w:ascii="Arial" w:cs="Arial" w:eastAsia="Arial" w:hAnsi="Arial"/>
          <w:sz w:val="18"/>
          <w:szCs w:val="18"/>
          <w:color w:val="auto"/>
        </w:rPr>
        <w:t>We continue to invest in store remodels on a store-by-store basis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taking into consideration the age, sales and profitability of a store, as well as the potential impact to the customer shopping experience. In our remodeled stores, we have typically incorporated new flooring, painting, lighting and graphics, relocated our fitting rooms to maximize productive selling space, added new departments such as home and accessories and made various other improvements as appropriate by location.</w:t>
      </w:r>
    </w:p>
    <w:p>
      <w:pPr>
        <w:spacing w:after="0" w:line="184"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Enhancing Operating Margins.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increase our operating margins through the following initiatives:</w:t>
      </w:r>
    </w:p>
    <w:p>
      <w:pPr>
        <w:spacing w:after="0" w:line="117" w:lineRule="exact"/>
        <w:rPr>
          <w:sz w:val="20"/>
          <w:szCs w:val="20"/>
          <w:color w:val="auto"/>
        </w:rPr>
      </w:pPr>
    </w:p>
    <w:p>
      <w:pPr>
        <w:jc w:val="both"/>
        <w:ind w:left="1540" w:right="240" w:hanging="506"/>
        <w:spacing w:after="0" w:line="264"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Optimize Markdowns. </w:t>
      </w:r>
      <w:r>
        <w:rPr>
          <w:rFonts w:ascii="Arial" w:cs="Arial" w:eastAsia="Arial" w:hAnsi="Arial"/>
          <w:sz w:val="18"/>
          <w:szCs w:val="18"/>
          <w:color w:val="auto"/>
        </w:rPr>
        <w:t>We believe that our markdown system allows us to maximize sales and gross margin dollars based on forward-looking sales forecasts, sell-through targets, and exit dates. This allows us to optimize markdowns at the style and color level by store cluster.</w:t>
      </w:r>
    </w:p>
    <w:p>
      <w:pPr>
        <w:spacing w:after="0" w:line="73" w:lineRule="exact"/>
        <w:rPr>
          <w:rFonts w:ascii="Arial" w:cs="Arial" w:eastAsia="Arial" w:hAnsi="Arial"/>
          <w:sz w:val="18"/>
          <w:szCs w:val="18"/>
          <w:color w:val="auto"/>
        </w:rPr>
      </w:pPr>
    </w:p>
    <w:p>
      <w:pPr>
        <w:ind w:left="1540" w:right="40" w:hanging="506"/>
        <w:spacing w:after="0" w:line="342"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Enhance Purchasing Power. </w:t>
      </w:r>
      <w:r>
        <w:rPr>
          <w:rFonts w:ascii="Arial" w:cs="Arial" w:eastAsia="Arial" w:hAnsi="Arial"/>
          <w:sz w:val="16"/>
          <w:szCs w:val="16"/>
          <w:color w:val="auto"/>
        </w:rPr>
        <w:t>We believe that our increasing size and West Coast buying office provide us with the opportunity to capture</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buying opportunities and realize economies of scale in our merchandising and non-merchandising purchasing activities.</w:t>
      </w:r>
    </w:p>
    <w:p>
      <w:pPr>
        <w:spacing w:after="0" w:line="15" w:lineRule="exact"/>
        <w:rPr>
          <w:rFonts w:ascii="Arial" w:cs="Arial" w:eastAsia="Arial" w:hAnsi="Arial"/>
          <w:sz w:val="16"/>
          <w:szCs w:val="16"/>
          <w:color w:val="auto"/>
        </w:rPr>
      </w:pPr>
    </w:p>
    <w:p>
      <w:pPr>
        <w:ind w:left="1540" w:right="620" w:hanging="506"/>
        <w:spacing w:after="0" w:line="308" w:lineRule="auto"/>
        <w:tabs>
          <w:tab w:leader="none" w:pos="15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Drive Operating Leverage. </w:t>
      </w:r>
      <w:r>
        <w:rPr>
          <w:rFonts w:ascii="Arial" w:cs="Arial" w:eastAsia="Arial" w:hAnsi="Arial"/>
          <w:sz w:val="17"/>
          <w:szCs w:val="17"/>
          <w:color w:val="auto"/>
        </w:rPr>
        <w:t>We believe that we will be able to leverage our growing sales over the fixed costs of our business.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are focused on continuing to improve the efficiency of our corporate and in-store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and Challenges</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As we strive to increase profitability through achieving positive comparable store sales and leveraging productivity initiatives focused on improving the in-store experience, more efficient movement of products from the vendors to the selling floors, and modifying our marketing plans to increase our core customer base and increase our share of our current customers’ spending, there are uncertainties and challenges that we face as an off-price retailer of apparel and accessories for men, women and children and home furnishings that could have a material impact on our revenues or income.</w:t>
      </w:r>
    </w:p>
    <w:p>
      <w:pPr>
        <w:spacing w:after="0" w:line="154"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Seasonality of Sales and Weather Conditions</w:t>
      </w:r>
      <w:r>
        <w:rPr>
          <w:rFonts w:ascii="Arial" w:cs="Arial" w:eastAsia="Arial" w:hAnsi="Arial"/>
          <w:sz w:val="18"/>
          <w:szCs w:val="18"/>
          <w:color w:val="auto"/>
        </w:rPr>
        <w:t>. Our sales, like most other retailers, are subject to seasonal influences, with the majority of our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derived during the second half of the year, which includes the back-to-school and holiday seasons.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Weather continues to be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 xml:space="preserve">General Economic Conditions. </w:t>
      </w:r>
      <w:r>
        <w:rPr>
          <w:rFonts w:ascii="Arial" w:cs="Arial" w:eastAsia="Arial" w:hAnsi="Arial"/>
          <w:sz w:val="18"/>
          <w:szCs w:val="18"/>
          <w:color w:val="auto"/>
        </w:rPr>
        <w:t>Consumer spending habits, including spending for the merchandise that we sell, are affected by,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prevailing global economic conditions, inflation,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firstLine="518"/>
        <w:spacing w:after="0" w:line="255" w:lineRule="auto"/>
        <w:rPr>
          <w:sz w:val="20"/>
          <w:szCs w:val="20"/>
          <w:color w:val="auto"/>
        </w:rPr>
      </w:pPr>
      <w:r>
        <w:rPr>
          <w:rFonts w:ascii="Arial" w:cs="Arial" w:eastAsia="Arial" w:hAnsi="Arial"/>
          <w:sz w:val="18"/>
          <w:szCs w:val="18"/>
          <w:color w:val="auto"/>
        </w:rPr>
        <w:t>A slowdown in the U.S. economy, an uncertain global economic outlook or a credit crisis could adversely affect consumer spending habits resulting in lower net sales and profits than expected on a quarterly or annual basis. Consumer confidence is also affected by the domestic and international political situation. Our financial condition and operations could be impacted by changes in government regulations in areas including, but not limited to, taxes and healthcare. The outbreak or escalation of war, or the occurrence of terrorist acts or other hostilities in or affecting the U.S.,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w:t>
      </w:r>
    </w:p>
    <w:p>
      <w:pPr>
        <w:spacing w:after="0" w:line="18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Changes to import and export laws could have a direct impact on our income and an indirect impact on consumer prices. Unfortunately, we cannot predict any future changes in such laws.</w:t>
      </w:r>
    </w:p>
    <w:p>
      <w:pPr>
        <w:spacing w:after="0" w:line="17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closely monitor our net sales, gross margin and expenses. We have performed scenario planning such that if our net sales decline, we have identified variable costs that could be reduced to partially mitigate the impact of these declines. If we were to experience adverse economic trends and/or if our efforts to counteract the impacts of these trends are not sufficiently effective, there could be a negative impact on our financial performance and position in future fiscal periods.</w:t>
      </w:r>
    </w:p>
    <w:p>
      <w:pPr>
        <w:spacing w:after="0" w:line="18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i w:val="1"/>
          <w:iCs w:val="1"/>
          <w:color w:val="auto"/>
        </w:rPr>
        <w:t xml:space="preserve">Competition and Margin Pressure. </w:t>
      </w:r>
      <w:r>
        <w:rPr>
          <w:rFonts w:ascii="Arial" w:cs="Arial" w:eastAsia="Arial" w:hAnsi="Arial"/>
          <w:sz w:val="18"/>
          <w:szCs w:val="18"/>
          <w:color w:val="auto"/>
        </w:rPr>
        <w:t>We believe that in order to remain competitive, we must continue to offer brand-name merchandise at a discount to</w:t>
      </w:r>
      <w:r>
        <w:rPr>
          <w:rFonts w:ascii="Arial" w:cs="Arial" w:eastAsia="Arial" w:hAnsi="Arial"/>
          <w:sz w:val="18"/>
          <w:szCs w:val="18"/>
          <w:i w:val="1"/>
          <w:iCs w:val="1"/>
          <w:color w:val="auto"/>
        </w:rPr>
        <w:t xml:space="preserve"> </w:t>
      </w:r>
      <w:r>
        <w:rPr>
          <w:rFonts w:ascii="Arial" w:cs="Arial" w:eastAsia="Arial" w:hAnsi="Arial"/>
          <w:sz w:val="18"/>
          <w:szCs w:val="18"/>
          <w:color w:val="auto"/>
        </w:rPr>
        <w:t>prices offered by other retailers as well as an assortment of merchandise that is appealing to our customers.</w:t>
      </w:r>
    </w:p>
    <w:p>
      <w:pPr>
        <w:spacing w:after="0" w:line="170"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The U.S. retail apparel and home furnishings markets are highly fragmented and competitive. We compete for business with department stores, off-price retailers, internet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spacing w:after="0" w:line="15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The U.S. retail industry continues to face increased pressure on margins as overall challenging retail conditions have led consumers to be more value conscious. Our “open to buy” paradigm, in which we purchase both pre-season and in-season merchandise, allows us the flexibility to purchase less pre-season with the balance purchased in-season and opportunistically. It also provides us with the flexibility to shift purchases between suppliers and categories. This enables us to obtain better terms with our suppliers, which we expect to help offset any rising costs of goods.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consider numerous factors in assessing our performance. Key performance measures used by management include net income, Adjusted Net Income, Adjusted EBITDA, Adjusted EBIT (or Adjusted Operating Margin), comparable store sales, gross margin, inventory, store payroll as a percentage of net sales and liquidity.</w:t>
      </w:r>
    </w:p>
    <w:p>
      <w:pPr>
        <w:spacing w:after="0" w:line="73"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We earned net income of $82.6 million during the three month period ended May 5, 2018 compared with net income of $52.4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three month period ended April 29, 2017. This improvement was primarily driven by our improved gross margin, partially offset by an increase in our selling, general and administrative expenses; refer to the section below entitled “Results of Operations” for further explanation.</w:t>
      </w:r>
    </w:p>
    <w:p>
      <w:pPr>
        <w:spacing w:after="0" w:line="166"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i w:val="1"/>
          <w:iCs w:val="1"/>
          <w:color w:val="auto"/>
        </w:rPr>
        <w:t>Adjusted Net Income, Adjusted EBITDA and Adjusted EBIT</w:t>
      </w:r>
      <w:r>
        <w:rPr>
          <w:rFonts w:ascii="Arial" w:cs="Arial" w:eastAsia="Arial" w:hAnsi="Arial"/>
          <w:sz w:val="18"/>
          <w:szCs w:val="18"/>
          <w:color w:val="auto"/>
        </w:rPr>
        <w:t>: Adjusted Net Income, Adjusted EBITDA and Adjusted EBIT are non-GAAP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of our performance.</w:t>
      </w:r>
    </w:p>
    <w:p>
      <w:pPr>
        <w:spacing w:after="0" w:line="170"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We define Adjusted Net Income as net income, exclusive of the following items, if applicable: (i) net favorable lease amortization; (ii) costs related to debt amendments; (iii) stock option modification expense; (iv) loss on extinguishment of debt; (v) impairment charges and (vi) other unusual, non-recurring or extraordinary expenses, losses, charges or gains, all of which are tax effected to arrive at Adjusted Net Income.</w:t>
      </w:r>
    </w:p>
    <w:p>
      <w:pPr>
        <w:spacing w:after="0" w:line="166"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define Adjusted EBITDA as net income, exclusive of the following items, if applicable: (i) interest expense, net; (ii) loss on extinguishment of debt; (iii) income tax expense; (iv) depreciation and amortization; (v) impairment charges; (vi) stock option modification expense; (vii) costs related to debt amendments and (viii) other unusual, non-recurring or extraordinary expenses, losses, charges or gains.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left="520"/>
        <w:spacing w:after="0"/>
        <w:rPr>
          <w:sz w:val="20"/>
          <w:szCs w:val="20"/>
          <w:color w:val="auto"/>
        </w:rPr>
      </w:pPr>
      <w:r>
        <w:rPr>
          <w:rFonts w:ascii="Arial" w:cs="Arial" w:eastAsia="Arial" w:hAnsi="Arial"/>
          <w:sz w:val="16"/>
          <w:szCs w:val="16"/>
          <w:color w:val="auto"/>
        </w:rPr>
        <w:t>We define Adjusted EBIT as net income, exclusive of the following items, if applicable: (i) interest expense, net; (ii) loss on extinguishment of debt;</w:t>
      </w:r>
    </w:p>
    <w:p>
      <w:pPr>
        <w:spacing w:after="0" w:line="46" w:lineRule="exact"/>
        <w:rPr>
          <w:sz w:val="20"/>
          <w:szCs w:val="20"/>
          <w:color w:val="auto"/>
        </w:rPr>
      </w:pPr>
    </w:p>
    <w:p>
      <w:pPr>
        <w:ind w:right="440" w:firstLine="8"/>
        <w:spacing w:after="0" w:line="261"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 expense; (iv) impairment charges; (v) stock option modification expense; (vi) net favorable lease amortization; (vii) costs related to debt amendments and (viii) other unusual, non-recurring or extraordinary expenses, losses, charges or gains.</w:t>
      </w:r>
    </w:p>
    <w:p>
      <w:pPr>
        <w:spacing w:after="0" w:line="184"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We present Adjusted Net Income, Adjusted EBITDA and Adjusted Operating Margin,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operating income are useful supplemental measures that assist in evaluating our ability to generate earnings and leverage sales, and to more readily compare these metrics between past and future periods.</w:t>
      </w:r>
    </w:p>
    <w:p>
      <w:pPr>
        <w:spacing w:after="0" w:line="171"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Adjusted Net Income has limitations as an analytical tool, and should not be considered either in isolation or as a substitute for net income or other data prepared in accordance with GAAP. Among other limitations, Adjusted Net Income does not reflect the following items, net of their tax effect:</w:t>
      </w:r>
    </w:p>
    <w:p>
      <w:pPr>
        <w:spacing w:after="0" w:line="16"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amortization of net favorable leases, which are amortized over the life of the lease;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During the three months ended May 5, 2018, Adjusted Net Income improved $30.4 million to $87.0 million. This improvement was primarily driven by our improved gross margin, partially offset by increased selling, general and administrative expenses. Refer to the section below entitled “Results of Operations” for further explanation.</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shows our reconciliation of net income to Adjusted Net Income for the three months ended May 5, 2018 compared with the three months ended April 29, 2017: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4"/>
                <w:szCs w:val="14"/>
                <w:b w:val="1"/>
                <w:bCs w:val="1"/>
                <w:i w:val="1"/>
                <w:iCs w:val="1"/>
                <w:color w:val="auto"/>
                <w:w w:val="89"/>
              </w:rPr>
              <w:t>(unaudited)</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4"/>
                <w:szCs w:val="14"/>
                <w:b w:val="1"/>
                <w:bCs w:val="1"/>
                <w:i w:val="1"/>
                <w:iCs w:val="1"/>
                <w:color w:val="auto"/>
                <w:w w:val="87"/>
              </w:rPr>
              <w:t>(in thousands)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center"/>
              <w:ind w:right="215"/>
              <w:spacing w:after="0" w:line="155" w:lineRule="exact"/>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right"/>
              <w:ind w:right="640"/>
              <w:spacing w:after="0" w:line="147" w:lineRule="exact"/>
              <w:rPr>
                <w:sz w:val="20"/>
                <w:szCs w:val="20"/>
                <w:color w:val="auto"/>
              </w:rPr>
            </w:pPr>
            <w:r>
              <w:rPr>
                <w:rFonts w:ascii="Arial" w:cs="Arial" w:eastAsia="Arial" w:hAnsi="Arial"/>
                <w:sz w:val="14"/>
                <w:szCs w:val="14"/>
                <w:b w:val="1"/>
                <w:bCs w:val="1"/>
                <w:color w:val="auto"/>
              </w:rPr>
              <w:t>May 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2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82,588</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Net favorable lease amortization (a)</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modification expense (b)</w:t>
            </w:r>
          </w:p>
        </w:tc>
        <w:tc>
          <w:tcPr>
            <w:tcW w:w="2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Tax effect (c)</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Adjusted Net Income</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86,986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right="240" w:hanging="512"/>
        <w:spacing w:after="0" w:line="288"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favorable lease amortization represents the non-cash amortization expense associated with favorable and unfavorable leases that were recorded as a result of purchase accounting related to the April 13, 2006 Bain Capital acquisition of Burlington Coat Factory Warehouse Corporation (the “Merger Transaction”), and are recorded in the line item “Depreciation and amortization” in our Condensed Consolidated Statements of Income.</w:t>
      </w: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w:t>
      </w:r>
    </w:p>
    <w:p>
      <w:pPr>
        <w:spacing w:after="0" w:line="9"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effect is calculated based on the effective tax rates (before discrete items) for the respective periods, adjusted for the tax effect for the impact of items (a) through (b).</w:t>
      </w:r>
    </w:p>
    <w:p>
      <w:pPr>
        <w:spacing w:after="0" w:line="18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Adjusted EBITDA has limitations as an analytical tool, and should not be considered either in isolation or as a substitute for net income or other data prepared in accordance with GAAP. Among other limitations, Adjusted EBITDA does not reflect:</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expense on our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likely have to be replaced in the future, and Adjusted EBITDA measures do not reflect any cash requirements for such replacements;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income tax expense;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40" w:firstLine="518"/>
        <w:spacing w:after="0" w:line="264" w:lineRule="auto"/>
        <w:rPr>
          <w:sz w:val="20"/>
          <w:szCs w:val="20"/>
          <w:color w:val="auto"/>
        </w:rPr>
      </w:pPr>
      <w:r>
        <w:rPr>
          <w:rFonts w:ascii="Arial" w:cs="Arial" w:eastAsia="Arial" w:hAnsi="Arial"/>
          <w:sz w:val="18"/>
          <w:szCs w:val="18"/>
          <w:color w:val="auto"/>
        </w:rPr>
        <w:t>During the three months ended May 5, 2018, Adjusted EBITDA improved $28.1 million to $164.9 million. This improvement was primarily driven by our improved gross margin, partially offset by increases in our selling, general and administrative expenses; refer to the section below entitled “Results of Operations” for further explanation.</w:t>
      </w:r>
    </w:p>
    <w:p>
      <w:pPr>
        <w:spacing w:after="0" w:line="18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following table shows our reconciliation of net income to Adjusted EBITDA for the three months ended May 5, 2018 compared with the three months ended April 29, 2017: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i w:val="1"/>
                <w:iCs w:val="1"/>
                <w:color w:val="auto"/>
                <w:w w:val="89"/>
              </w:rPr>
              <w:t>(unaudited)</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left="637"/>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center"/>
              <w:ind w:right="174"/>
              <w:spacing w:after="0" w:line="155"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3"/>
                <w:szCs w:val="13"/>
                <w:color w:val="auto"/>
              </w:rPr>
            </w:pPr>
          </w:p>
        </w:tc>
      </w:tr>
      <w:tr>
        <w:trPr>
          <w:trHeight w:val="146"/>
        </w:trPr>
        <w:tc>
          <w:tcPr>
            <w:tcW w:w="6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720"/>
              <w:spacing w:after="0" w:line="147" w:lineRule="exact"/>
              <w:rPr>
                <w:sz w:val="20"/>
                <w:szCs w:val="20"/>
                <w:color w:val="auto"/>
              </w:rPr>
            </w:pPr>
            <w:r>
              <w:rPr>
                <w:rFonts w:ascii="Arial" w:cs="Arial" w:eastAsia="Arial" w:hAnsi="Arial"/>
                <w:sz w:val="14"/>
                <w:szCs w:val="14"/>
                <w:b w:val="1"/>
                <w:bCs w:val="1"/>
                <w:color w:val="auto"/>
              </w:rPr>
              <w:t>May 5,</w:t>
            </w:r>
          </w:p>
        </w:tc>
        <w:tc>
          <w:tcPr>
            <w:tcW w:w="320" w:type="dxa"/>
            <w:vAlign w:val="bottom"/>
          </w:tcPr>
          <w:p>
            <w:pPr>
              <w:spacing w:after="0"/>
              <w:rPr>
                <w:sz w:val="12"/>
                <w:szCs w:val="12"/>
                <w:color w:val="auto"/>
              </w:rPr>
            </w:pPr>
          </w:p>
        </w:tc>
        <w:tc>
          <w:tcPr>
            <w:tcW w:w="960" w:type="dxa"/>
            <w:vAlign w:val="bottom"/>
          </w:tcPr>
          <w:p>
            <w:pPr>
              <w:jc w:val="right"/>
              <w:ind w:right="294"/>
              <w:spacing w:after="0" w:line="147"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2"/>
                <w:szCs w:val="12"/>
                <w:color w:val="auto"/>
              </w:rPr>
            </w:pPr>
          </w:p>
        </w:tc>
      </w:tr>
      <w:tr>
        <w:trPr>
          <w:trHeight w:val="171"/>
        </w:trPr>
        <w:tc>
          <w:tcPr>
            <w:tcW w:w="6200" w:type="dxa"/>
            <w:vAlign w:val="bottom"/>
            <w:tcBorders>
              <w:bottom w:val="single" w:sz="8" w:color="CFF0FC"/>
            </w:tcBorders>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82,588</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52,368</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13,514</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modification expense (a)</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50,509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48,012</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22,916</w:t>
            </w:r>
          </w:p>
        </w:tc>
        <w:tc>
          <w:tcPr>
            <w:tcW w:w="120" w:type="dxa"/>
            <w:vAlign w:val="bottom"/>
            <w:shd w:val="clear" w:color="auto" w:fill="CFF0FC"/>
          </w:tcPr>
          <w:p>
            <w:pPr>
              <w:spacing w:after="0"/>
              <w:rPr>
                <w:sz w:val="19"/>
                <w:szCs w:val="19"/>
                <w:color w:val="auto"/>
              </w:rPr>
            </w:pPr>
          </w:p>
        </w:tc>
      </w:tr>
      <w:tr>
        <w:trPr>
          <w:trHeight w:val="223"/>
        </w:trPr>
        <w:tc>
          <w:tcPr>
            <w:tcW w:w="6200" w:type="dxa"/>
            <w:vAlign w:val="bottom"/>
          </w:tcPr>
          <w:p>
            <w:pPr>
              <w:ind w:left="260"/>
              <w:spacing w:after="0"/>
              <w:rPr>
                <w:sz w:val="20"/>
                <w:szCs w:val="20"/>
                <w:color w:val="auto"/>
              </w:rPr>
            </w:pPr>
            <w:r>
              <w:rPr>
                <w:rFonts w:ascii="Arial" w:cs="Arial" w:eastAsia="Arial" w:hAnsi="Arial"/>
                <w:sz w:val="18"/>
                <w:szCs w:val="18"/>
                <w:b w:val="1"/>
                <w:bCs w:val="1"/>
                <w:color w:val="auto"/>
              </w:rPr>
              <w:t>Adjusted EBITDA</w:t>
            </w:r>
          </w:p>
        </w:tc>
        <w:tc>
          <w:tcPr>
            <w:tcW w:w="22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164,949</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136,838</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Adjusted EBIT has limitations as an analytical tool, and should not be considered either in isolation or as a substitute for net income or other data prepared in accordance with GAAP. Among other limitations, Adjusted EBIT does not reflect:</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expense on our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amortization of net favorable leases, which are amortized over the life of the lease;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income tax expense or the cash requirements to pay our taxes;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During the three months ended May 5, 2018, Adjusted EBIT improved $24.9 million to $119.8 million. This improvements was primarily driven by our improved gross margin, partially offset by increases in our selling, general and administrative expenses; refer to the section below entitled “Results of Operations” for further explanation.</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shows our reconciliation of net income to Adjusted EBIT for the three months ended May 5, 2018 compared with the three months ended April 29, 2017: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i w:val="1"/>
                <w:iCs w:val="1"/>
                <w:color w:val="auto"/>
                <w:w w:val="89"/>
              </w:rPr>
              <w:t>(unaudited)</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0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left="637"/>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0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center"/>
              <w:ind w:right="174"/>
              <w:spacing w:after="0" w:line="155"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3"/>
                <w:szCs w:val="13"/>
                <w:color w:val="auto"/>
              </w:rPr>
            </w:pPr>
          </w:p>
        </w:tc>
      </w:tr>
      <w:tr>
        <w:trPr>
          <w:trHeight w:val="146"/>
        </w:trPr>
        <w:tc>
          <w:tcPr>
            <w:tcW w:w="60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720"/>
              <w:spacing w:after="0" w:line="147" w:lineRule="exact"/>
              <w:rPr>
                <w:sz w:val="20"/>
                <w:szCs w:val="20"/>
                <w:color w:val="auto"/>
              </w:rPr>
            </w:pPr>
            <w:r>
              <w:rPr>
                <w:rFonts w:ascii="Arial" w:cs="Arial" w:eastAsia="Arial" w:hAnsi="Arial"/>
                <w:sz w:val="14"/>
                <w:szCs w:val="14"/>
                <w:b w:val="1"/>
                <w:bCs w:val="1"/>
                <w:color w:val="auto"/>
              </w:rPr>
              <w:t>May 5,</w:t>
            </w:r>
          </w:p>
        </w:tc>
        <w:tc>
          <w:tcPr>
            <w:tcW w:w="320" w:type="dxa"/>
            <w:vAlign w:val="bottom"/>
          </w:tcPr>
          <w:p>
            <w:pPr>
              <w:spacing w:after="0"/>
              <w:rPr>
                <w:sz w:val="12"/>
                <w:szCs w:val="12"/>
                <w:color w:val="auto"/>
              </w:rPr>
            </w:pPr>
          </w:p>
        </w:tc>
        <w:tc>
          <w:tcPr>
            <w:tcW w:w="960" w:type="dxa"/>
            <w:vAlign w:val="bottom"/>
          </w:tcPr>
          <w:p>
            <w:pPr>
              <w:jc w:val="right"/>
              <w:ind w:right="294"/>
              <w:spacing w:after="0" w:line="147" w:lineRule="exact"/>
              <w:rPr>
                <w:sz w:val="20"/>
                <w:szCs w:val="20"/>
                <w:color w:val="auto"/>
              </w:rPr>
            </w:pPr>
            <w:r>
              <w:rPr>
                <w:rFonts w:ascii="Arial" w:cs="Arial" w:eastAsia="Arial" w:hAnsi="Arial"/>
                <w:sz w:val="14"/>
                <w:szCs w:val="14"/>
                <w:b w:val="1"/>
                <w:bCs w:val="1"/>
                <w:color w:val="auto"/>
              </w:rPr>
              <w:t>April 29,</w:t>
            </w:r>
          </w:p>
        </w:tc>
        <w:tc>
          <w:tcPr>
            <w:tcW w:w="120" w:type="dxa"/>
            <w:vAlign w:val="bottom"/>
          </w:tcPr>
          <w:p>
            <w:pPr>
              <w:spacing w:after="0"/>
              <w:rPr>
                <w:sz w:val="12"/>
                <w:szCs w:val="12"/>
                <w:color w:val="auto"/>
              </w:rPr>
            </w:pPr>
          </w:p>
        </w:tc>
      </w:tr>
      <w:tr>
        <w:trPr>
          <w:trHeight w:val="171"/>
        </w:trPr>
        <w:tc>
          <w:tcPr>
            <w:tcW w:w="606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of net income to Adjusted EBIT:</w:t>
            </w:r>
          </w:p>
        </w:tc>
        <w:tc>
          <w:tcPr>
            <w:tcW w:w="2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82,588</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52,368</w:t>
            </w:r>
          </w:p>
        </w:tc>
        <w:tc>
          <w:tcPr>
            <w:tcW w:w="12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13,514</w:t>
            </w:r>
          </w:p>
        </w:tc>
        <w:tc>
          <w:tcPr>
            <w:tcW w:w="12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modification expense (a)</w:t>
            </w:r>
          </w:p>
        </w:tc>
        <w:tc>
          <w:tcPr>
            <w:tcW w:w="2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Net favorable lease amortization (b)</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6,009</w:t>
            </w:r>
          </w:p>
        </w:tc>
        <w:tc>
          <w:tcPr>
            <w:tcW w:w="12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22,916</w:t>
            </w:r>
          </w:p>
        </w:tc>
        <w:tc>
          <w:tcPr>
            <w:tcW w:w="120" w:type="dxa"/>
            <w:vAlign w:val="bottom"/>
            <w:shd w:val="clear" w:color="auto" w:fill="CFF0FC"/>
          </w:tcPr>
          <w:p>
            <w:pPr>
              <w:spacing w:after="0"/>
              <w:rPr>
                <w:sz w:val="19"/>
                <w:szCs w:val="19"/>
                <w:color w:val="auto"/>
              </w:rPr>
            </w:pPr>
          </w:p>
        </w:tc>
      </w:tr>
      <w:tr>
        <w:trPr>
          <w:trHeight w:val="223"/>
        </w:trPr>
        <w:tc>
          <w:tcPr>
            <w:tcW w:w="6060" w:type="dxa"/>
            <w:vAlign w:val="bottom"/>
          </w:tcPr>
          <w:p>
            <w:pPr>
              <w:ind w:left="260"/>
              <w:spacing w:after="0"/>
              <w:rPr>
                <w:sz w:val="20"/>
                <w:szCs w:val="20"/>
                <w:color w:val="auto"/>
              </w:rPr>
            </w:pPr>
            <w:r>
              <w:rPr>
                <w:rFonts w:ascii="Arial" w:cs="Arial" w:eastAsia="Arial" w:hAnsi="Arial"/>
                <w:sz w:val="18"/>
                <w:szCs w:val="18"/>
                <w:b w:val="1"/>
                <w:bCs w:val="1"/>
                <w:color w:val="auto"/>
              </w:rPr>
              <w:t>Adjusted EBIT</w:t>
            </w:r>
          </w:p>
        </w:tc>
        <w:tc>
          <w:tcPr>
            <w:tcW w:w="24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119,765</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94,835</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w:t>
      </w:r>
    </w:p>
    <w:p>
      <w:pPr>
        <w:spacing w:after="0" w:line="23" w:lineRule="exact"/>
        <w:rPr>
          <w:rFonts w:ascii="Arial" w:cs="Arial" w:eastAsia="Arial" w:hAnsi="Arial"/>
          <w:sz w:val="18"/>
          <w:szCs w:val="18"/>
          <w:color w:val="auto"/>
        </w:rPr>
      </w:pPr>
    </w:p>
    <w:p>
      <w:pPr>
        <w:jc w:val="both"/>
        <w:ind w:left="520" w:right="80" w:hanging="512"/>
        <w:spacing w:after="0" w:line="255"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favorable lease amortization represents the non-cash amortization expense associated with favorable and unfavorable leases that were recorded as a result of purchase accounting related to the Merger Transaction, and are recorded in the line item “Depreciation and amortization” in our Condensed Consolidated Statements of Income.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20" w:firstLine="518"/>
        <w:spacing w:after="0" w:line="264" w:lineRule="auto"/>
        <w:rPr>
          <w:sz w:val="20"/>
          <w:szCs w:val="20"/>
          <w:color w:val="auto"/>
        </w:rPr>
      </w:pPr>
      <w:r>
        <w:rPr>
          <w:rFonts w:ascii="Arial" w:cs="Arial" w:eastAsia="Arial" w:hAnsi="Arial"/>
          <w:sz w:val="18"/>
          <w:szCs w:val="18"/>
          <w:i w:val="1"/>
          <w:iCs w:val="1"/>
          <w:color w:val="auto"/>
        </w:rPr>
        <w:t xml:space="preserve">Comparable Store Sales. </w:t>
      </w:r>
      <w:r>
        <w:rPr>
          <w:rFonts w:ascii="Arial" w:cs="Arial" w:eastAsia="Arial" w:hAnsi="Arial"/>
          <w:sz w:val="18"/>
          <w:szCs w:val="18"/>
          <w:color w:val="auto"/>
        </w:rPr>
        <w:t>Comparable store sales measure performance of a store during the current reporting period against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store in the corresponding period of the previous year. The method of calculating comparable store sales varies across the retail industry. As a result, our definition of comparable store sales may differ from other retailers.</w:t>
      </w:r>
    </w:p>
    <w:p>
      <w:pPr>
        <w:spacing w:after="0" w:line="18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We define comparable store sales as sales of those stores, including online sales, commencing on the first day of the fiscal month one year after the end of their grand opening activities, which normally conclude within the first two months of operations. Our policy is to remove stores that are closed for seven or more days within a month from our calculation of comparable stores sales for that month. The increase in our comparable store sales was as follows:</w:t>
      </w:r>
    </w:p>
    <w:p>
      <w:pPr>
        <w:spacing w:after="0" w:line="17"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May 5, 2018</w:t>
            </w:r>
          </w:p>
        </w:tc>
        <w:tc>
          <w:tcPr>
            <w:tcW w:w="15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April 29, 2017</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Various factors affect comparable store sales, including, but not limited to,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is the difference between net sales and the cost of sales. Our cost of sales and gross margin may not be comparable to</w:t>
      </w:r>
      <w:r>
        <w:rPr>
          <w:rFonts w:ascii="Arial" w:cs="Arial" w:eastAsia="Arial" w:hAnsi="Arial"/>
          <w:sz w:val="17"/>
          <w:szCs w:val="17"/>
          <w:i w:val="1"/>
          <w:iCs w:val="1"/>
          <w:color w:val="auto"/>
        </w:rPr>
        <w:t xml:space="preserve"> </w:t>
      </w:r>
      <w:r>
        <w:rPr>
          <w:rFonts w:ascii="Arial" w:cs="Arial" w:eastAsia="Arial" w:hAnsi="Arial"/>
          <w:sz w:val="17"/>
          <w:szCs w:val="17"/>
          <w:color w:val="auto"/>
        </w:rPr>
        <w:t>those of other entities, since some entities may include all of the costs related to their buying and distribution functions, certain store-related costs and other costs, in cost of sales. We include certain of these costs in the line items “Selling, general and administrative expenses” and “Depreciation and amortization” in our Condensed Consolidated Statements of Income. We include in our “Cost of sales” line item all costs of merchandise (net of purchase discounts and certain vendor allowances), inbound freight, distribution center outbound freight and certain merchandise acquisition costs, primarily commissions and import fees. Gross margin as a percentage of net sales expanded approximately 35 basis points to 41.2% during the three month period ended May 5, 2018, driven primarily by increased merchandise margin, which was slightly offset by higher freight costs. Product sourcing costs, which are included in selling, general and administrative expenses, increased 5 basis points as a percentage of net sales.</w:t>
      </w:r>
    </w:p>
    <w:p>
      <w:pPr>
        <w:spacing w:after="0" w:line="17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Inventory at May 5, 2018 increased to $786.6 million compared with $725.5 million at April 29, 2017. The increase was primarily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51 net new stores opened from April 29, 2017 through May 5, 2018 and an increase in pack and hold inventory, which was 27% of total inventory at the end of the first quarter of Fiscal 2018, compared to 26% at the end of the first quarter of Fiscal 2017. Comparable store inventory was down 7% at the end of the first quarter of Fiscal 2018 as a result of our ongoing initiative to reduce inventory levels and increase inventory turnover.</w:t>
      </w:r>
    </w:p>
    <w:p>
      <w:pPr>
        <w:spacing w:after="0" w:line="17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Inventory at February 3, 2018 was $752.6 million. The increase in inventory from February 3, 2018 reflects the seasonality of our business, as well as the inventory required for our 18 net new stores opened during the three month period ended May 5, 2018.</w:t>
      </w:r>
    </w:p>
    <w:p>
      <w:pPr>
        <w:spacing w:after="0" w:line="170"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 We continue to move toward more productive inventories by increasing the amount of current inventory as a percent of total inventory.</w:t>
      </w:r>
    </w:p>
    <w:p>
      <w:pPr>
        <w:spacing w:after="0" w:line="166"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Inventory turnover and comparable store inventory turnover are performance metrics that indicate how efficiently inventory is bought and sold. They each measure the length of time that we own our inventory.</w:t>
      </w:r>
    </w:p>
    <w:p>
      <w:pPr>
        <w:spacing w:after="0" w:line="170" w:lineRule="exact"/>
        <w:rPr>
          <w:sz w:val="20"/>
          <w:szCs w:val="20"/>
          <w:color w:val="auto"/>
        </w:rPr>
      </w:pPr>
    </w:p>
    <w:p>
      <w:pPr>
        <w:ind w:right="660" w:firstLine="563"/>
        <w:spacing w:after="0" w:line="342" w:lineRule="auto"/>
        <w:rPr>
          <w:sz w:val="20"/>
          <w:szCs w:val="20"/>
          <w:color w:val="auto"/>
        </w:rPr>
      </w:pPr>
      <w:r>
        <w:rPr>
          <w:rFonts w:ascii="Arial" w:cs="Arial" w:eastAsia="Arial" w:hAnsi="Arial"/>
          <w:sz w:val="16"/>
          <w:szCs w:val="16"/>
          <w:color w:val="auto"/>
        </w:rPr>
        <w:t>Inventory turnover is calculated by dividing cost of goods sold by the 13 month average cost value of our inventory for the period being measured. Our inventory turnover rate improved approximately 8% for the first quarter of Fiscal 2018 compared with the first quarter of Fiscal 2017.</w:t>
      </w:r>
    </w:p>
    <w:p>
      <w:pPr>
        <w:spacing w:after="0" w:line="12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Comparable store inventory turnover is calculated by dividing comparable store sales by the average comparable store retail value of inventory for the period being measured. The comparable store retail value of inventories is estimated based on the original sales price of items on hand reduced by retail reductions (which include sales, markdowns, an estimated shortage adjustment and employee discounts) for our comparable stores. The calculation is based on a rolling 13 month average of inventory (at estimated retail value) and the last 12 months’ comparable sales. Our comparable store inventory turnover rate improved approximately 12% during the first quarter of Fiscal 2018 compared with the first quarter of Fiscal 2017.</w:t>
      </w:r>
    </w:p>
    <w:p>
      <w:pPr>
        <w:spacing w:after="0" w:line="158"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difference between inventory turnover and comparable store inventory turnover is primarily the result of the latter not including distribution center and warehouse inventory or inventory at new and non-comparable stores. Inventory held at our warehouses and distribution centers includes merchandise being readied for shipment to our stores and pack and hold inventory acquired opportunistically for future store release. The magnitude of pack and hold inventory, at any one point in time, is dependent on the buying opportunities identified in the marketplace.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60" w:firstLine="518"/>
        <w:spacing w:after="0" w:line="264" w:lineRule="auto"/>
        <w:rPr>
          <w:sz w:val="20"/>
          <w:szCs w:val="20"/>
          <w:color w:val="auto"/>
        </w:rPr>
      </w:pPr>
      <w:r>
        <w:rPr>
          <w:rFonts w:ascii="Arial" w:cs="Arial" w:eastAsia="Arial" w:hAnsi="Arial"/>
          <w:sz w:val="18"/>
          <w:szCs w:val="18"/>
          <w:color w:val="auto"/>
        </w:rPr>
        <w:t>We present inventory turnover because it demonstrates how effective we are at managing our inventory. We present comparable store inventory turnover as we believe this is a useful supplemental metric in evaluating the effectiveness of our merchandising efforts, as a faster comparable store inventory turnover generally leads to reduced markdowns and more fresh merchandise in our stores.</w:t>
      </w:r>
    </w:p>
    <w:p>
      <w:pPr>
        <w:spacing w:after="0" w:line="18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i w:val="1"/>
          <w:iCs w:val="1"/>
          <w:color w:val="auto"/>
        </w:rPr>
        <w:t xml:space="preserve">Store Payroll as a Percentage of Net Sales. </w:t>
      </w:r>
      <w:r>
        <w:rPr>
          <w:rFonts w:ascii="Arial" w:cs="Arial" w:eastAsia="Arial" w:hAnsi="Arial"/>
          <w:sz w:val="16"/>
          <w:szCs w:val="16"/>
          <w:color w:val="auto"/>
        </w:rPr>
        <w:t>Store payroll as a percentage of net sales measures our ability to manage our payroll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or decreases in net sales. The method of calculating store payroll varies across the retail industry. As a result, our store payroll as a percentage of net sales may differ from other retailers. We define store payroll as regular and overtime payroll for all store personnel as well as regional and territory personnel, exclusive of payroll charges related to corporate and warehouse employees. Store payroll as a percentage of net sales was 8.5% during the three month period ended May 5, 2018, compared with 8.6% during the three month period ended April 29, 2017. We were able to utilize efficiencies realized through the continued simplification of store operating procedures and improvement of execution to offset wage increases at our stores.</w:t>
      </w:r>
    </w:p>
    <w:p>
      <w:pPr>
        <w:spacing w:after="0" w:line="165" w:lineRule="exact"/>
        <w:rPr>
          <w:sz w:val="20"/>
          <w:szCs w:val="20"/>
          <w:color w:val="auto"/>
        </w:rPr>
      </w:pPr>
    </w:p>
    <w:p>
      <w:pPr>
        <w:ind w:right="120" w:firstLine="518"/>
        <w:spacing w:after="0" w:line="285" w:lineRule="auto"/>
        <w:rPr>
          <w:sz w:val="20"/>
          <w:szCs w:val="20"/>
          <w:color w:val="auto"/>
        </w:rPr>
      </w:pPr>
      <w:r>
        <w:rPr>
          <w:rFonts w:ascii="Arial" w:cs="Arial" w:eastAsia="Arial" w:hAnsi="Arial"/>
          <w:sz w:val="16"/>
          <w:szCs w:val="16"/>
          <w:i w:val="1"/>
          <w:iCs w:val="1"/>
          <w:color w:val="auto"/>
        </w:rPr>
        <w:t xml:space="preserve">Liquidity. </w:t>
      </w:r>
      <w:r>
        <w:rPr>
          <w:rFonts w:ascii="Arial" w:cs="Arial" w:eastAsia="Arial" w:hAnsi="Arial"/>
          <w:sz w:val="16"/>
          <w:szCs w:val="16"/>
          <w:color w:val="auto"/>
        </w:rPr>
        <w:t>Liquidity measures our ability to generate cash. Management measures liquidity through cash flow and working capital position.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is the measure of cash generated from or used in operating, financing, and investing activities. Cash and cash equivalents, including restricted cash and cash equivalents, decreased $56.2 million during the three months ended May 5, 2018, compared with a decrease of $52.0 million during the three months ended April 29, 2017. The decrease in our cash flows compared with the prior year was primarily driven by (i) an increase in share repurchases under our share repurchase program, (ii) a decrease in our net borrowings on our existing senior secured asset-based revolving credit facility (the ABL Line of Credit) and</w:t>
      </w:r>
    </w:p>
    <w:p>
      <w:pPr>
        <w:spacing w:after="0" w:line="2" w:lineRule="exact"/>
        <w:rPr>
          <w:sz w:val="20"/>
          <w:szCs w:val="20"/>
          <w:color w:val="auto"/>
        </w:rPr>
      </w:pPr>
    </w:p>
    <w:p>
      <w:pPr>
        <w:ind w:right="80" w:firstLine="8"/>
        <w:spacing w:after="0" w:line="261"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our capital expenditures. These decreases were partially offset by our improved operating results, which drove an increase in our operating cash flow. Refer to the section below entitled “Liquidity and Capital Resources” for further explanation.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sets forth certain items in the Condensed Consolidated Statements of Income as a percentage of net sales for the three months ended May 5, 2018 and the three months ended April 29,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2820" w:type="dxa"/>
            <w:vAlign w:val="bottom"/>
            <w:tcBorders>
              <w:bottom w:val="single" w:sz="8" w:color="auto"/>
            </w:tcBorders>
            <w:gridSpan w:val="4"/>
          </w:tcPr>
          <w:p>
            <w:pPr>
              <w:jc w:val="center"/>
              <w:ind w:left="368"/>
              <w:spacing w:after="0"/>
              <w:rPr>
                <w:sz w:val="20"/>
                <w:szCs w:val="20"/>
                <w:color w:val="auto"/>
              </w:rPr>
            </w:pPr>
            <w:r>
              <w:rPr>
                <w:rFonts w:ascii="Arial" w:cs="Arial" w:eastAsia="Arial" w:hAnsi="Arial"/>
                <w:sz w:val="14"/>
                <w:szCs w:val="14"/>
                <w:b w:val="1"/>
                <w:bCs w:val="1"/>
                <w:color w:val="auto"/>
                <w:w w:val="88"/>
              </w:rPr>
              <w:t>Percentage of Net Sales</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79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center"/>
              <w:ind w:right="448"/>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6"/>
        </w:trPr>
        <w:tc>
          <w:tcPr>
            <w:tcW w:w="7980" w:type="dxa"/>
            <w:vAlign w:val="bottom"/>
          </w:tcPr>
          <w:p>
            <w:pPr>
              <w:spacing w:after="0"/>
              <w:rPr>
                <w:sz w:val="12"/>
                <w:szCs w:val="12"/>
                <w:color w:val="auto"/>
              </w:rPr>
            </w:pPr>
          </w:p>
        </w:tc>
        <w:tc>
          <w:tcPr>
            <w:tcW w:w="960" w:type="dxa"/>
            <w:vAlign w:val="bottom"/>
          </w:tcPr>
          <w:p>
            <w:pPr>
              <w:jc w:val="center"/>
              <w:ind w:left="408"/>
              <w:spacing w:after="0" w:line="147" w:lineRule="exact"/>
              <w:rPr>
                <w:sz w:val="20"/>
                <w:szCs w:val="20"/>
                <w:color w:val="auto"/>
              </w:rPr>
            </w:pPr>
            <w:r>
              <w:rPr>
                <w:rFonts w:ascii="Arial" w:cs="Arial" w:eastAsia="Arial" w:hAnsi="Arial"/>
                <w:sz w:val="14"/>
                <w:szCs w:val="14"/>
                <w:b w:val="1"/>
                <w:bCs w:val="1"/>
                <w:color w:val="auto"/>
              </w:rPr>
              <w:t>May 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left="368"/>
              <w:spacing w:after="0" w:line="147" w:lineRule="exact"/>
              <w:rPr>
                <w:sz w:val="20"/>
                <w:szCs w:val="20"/>
                <w:color w:val="auto"/>
              </w:rPr>
            </w:pPr>
            <w:r>
              <w:rPr>
                <w:rFonts w:ascii="Arial" w:cs="Arial" w:eastAsia="Arial" w:hAnsi="Arial"/>
                <w:sz w:val="14"/>
                <w:szCs w:val="14"/>
                <w:b w:val="1"/>
                <w:bCs w:val="1"/>
                <w:color w:val="auto"/>
                <w:w w:val="97"/>
              </w:rPr>
              <w:t>April 29,</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79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100.0%</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r>
      <w:tr>
        <w:trPr>
          <w:trHeight w:val="223"/>
        </w:trPr>
        <w:tc>
          <w:tcPr>
            <w:tcW w:w="79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100.4</w:t>
            </w:r>
          </w:p>
        </w:tc>
        <w:tc>
          <w:tcPr>
            <w:tcW w:w="4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100.4</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80" w:type="dxa"/>
            <w:vAlign w:val="bottom"/>
          </w:tcPr>
          <w:p>
            <w:pPr>
              <w:jc w:val="right"/>
              <w:spacing w:after="0"/>
              <w:rPr>
                <w:sz w:val="20"/>
                <w:szCs w:val="20"/>
                <w:color w:val="auto"/>
              </w:rPr>
            </w:pPr>
            <w:r>
              <w:rPr>
                <w:rFonts w:ascii="Arial" w:cs="Arial" w:eastAsia="Arial" w:hAnsi="Arial"/>
                <w:sz w:val="18"/>
                <w:szCs w:val="18"/>
                <w:color w:val="auto"/>
              </w:rPr>
              <w:t>58.8</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9"/>
                <w:szCs w:val="19"/>
                <w:color w:val="auto"/>
              </w:rPr>
            </w:pPr>
          </w:p>
        </w:tc>
      </w:tr>
      <w:tr>
        <w:trPr>
          <w:trHeight w:val="230"/>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FF0FC"/>
          </w:tcPr>
          <w:p>
            <w:pPr>
              <w:spacing w:after="0"/>
              <w:rPr>
                <w:sz w:val="19"/>
                <w:szCs w:val="19"/>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Stock option modification expense</w:t>
            </w:r>
          </w:p>
        </w:tc>
        <w:tc>
          <w:tcPr>
            <w:tcW w:w="1860" w:type="dxa"/>
            <w:vAlign w:val="bottom"/>
            <w:gridSpan w:val="3"/>
          </w:tcPr>
          <w:p>
            <w:pPr>
              <w:jc w:val="right"/>
              <w:ind w:right="132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r>
      <w:tr>
        <w:trPr>
          <w:trHeight w:val="230"/>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Other income - net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9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r>
      <w:tr>
        <w:trPr>
          <w:trHeight w:val="230"/>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7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9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4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Borders>
              <w:bottom w:val="single" w:sz="8" w:color="CFF0FC"/>
            </w:tcBorders>
          </w:tcPr>
          <w:p>
            <w:pPr>
              <w:spacing w:after="0"/>
              <w:rPr>
                <w:sz w:val="19"/>
                <w:szCs w:val="19"/>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 expense</w:t>
            </w: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r>
      <w:tr>
        <w:trPr>
          <w:trHeight w:val="230"/>
        </w:trPr>
        <w:tc>
          <w:tcPr>
            <w:tcW w:w="7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w:t>
            </w: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30" w:lineRule="exact"/>
        <w:rPr>
          <w:sz w:val="20"/>
          <w:szCs w:val="20"/>
          <w:color w:val="auto"/>
        </w:rPr>
      </w:pPr>
    </w:p>
    <w:p>
      <w:pPr>
        <w:ind w:right="3440"/>
        <w:spacing w:after="0" w:line="378" w:lineRule="auto"/>
        <w:rPr>
          <w:sz w:val="20"/>
          <w:szCs w:val="20"/>
          <w:color w:val="auto"/>
        </w:rPr>
      </w:pPr>
      <w:r>
        <w:rPr>
          <w:rFonts w:ascii="Arial" w:cs="Arial" w:eastAsia="Arial" w:hAnsi="Arial"/>
          <w:sz w:val="18"/>
          <w:szCs w:val="18"/>
          <w:b w:val="1"/>
          <w:bCs w:val="1"/>
          <w:u w:val="single" w:color="auto"/>
          <w:color w:val="auto"/>
        </w:rPr>
        <w:t xml:space="preserve">Three Month Period Ended May 5, 2018 Compared With the Three Month Period Ended April 29, 2017 </w:t>
      </w:r>
      <w:r>
        <w:rPr>
          <w:rFonts w:ascii="Arial" w:cs="Arial" w:eastAsia="Arial" w:hAnsi="Arial"/>
          <w:sz w:val="18"/>
          <w:szCs w:val="18"/>
          <w:b w:val="1"/>
          <w:bCs w:val="1"/>
          <w:i w:val="1"/>
          <w:iCs w:val="1"/>
          <w:color w:val="auto"/>
        </w:rPr>
        <w:t>Net sales</w:t>
      </w:r>
    </w:p>
    <w:p>
      <w:pPr>
        <w:ind w:right="200" w:firstLine="518"/>
        <w:spacing w:after="0" w:line="277" w:lineRule="auto"/>
        <w:rPr>
          <w:sz w:val="20"/>
          <w:szCs w:val="20"/>
          <w:color w:val="auto"/>
        </w:rPr>
      </w:pPr>
      <w:r>
        <w:rPr>
          <w:rFonts w:ascii="Arial" w:cs="Arial" w:eastAsia="Arial" w:hAnsi="Arial"/>
          <w:sz w:val="18"/>
          <w:szCs w:val="18"/>
          <w:color w:val="auto"/>
        </w:rPr>
        <w:t>Net sales improved approximately $171.9 million, or 12.8%, to $1,518.4 million during the three month period ended May 5, 2018, driven primarily by the following:</w:t>
      </w:r>
    </w:p>
    <w:p>
      <w:pPr>
        <w:spacing w:after="0" w:line="62"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unshifted comparable store sales of $93.2 million, to $1,405.4 million,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net sales of $82.0 million from our new and non-comparable stores; partially offset by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$3.3 million decrease related to the net impact of permanently closed stores and other sales adjustments.</w:t>
      </w:r>
    </w:p>
    <w:p>
      <w:pPr>
        <w:spacing w:after="0" w:line="225"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To account for the calendar shift from the 53</w:t>
      </w:r>
      <w:r>
        <w:rPr>
          <w:rFonts w:ascii="Arial" w:cs="Arial" w:eastAsia="Arial" w:hAnsi="Arial"/>
          <w:sz w:val="14"/>
          <w:szCs w:val="14"/>
          <w:color w:val="auto"/>
        </w:rPr>
        <w:t>rd</w:t>
      </w:r>
      <w:r>
        <w:rPr>
          <w:rFonts w:ascii="Arial" w:cs="Arial" w:eastAsia="Arial" w:hAnsi="Arial"/>
          <w:sz w:val="17"/>
          <w:szCs w:val="17"/>
          <w:color w:val="auto"/>
        </w:rPr>
        <w:t xml:space="preserve"> week in Fiscal 2017, we compared the 13 week period ended May 5, 2018 to the 13 week period ended May 6, 2017. On this shifted basis, comparable store sales for the three months ended May 5, 2018 increased 4.8%. We believe this is the most accurate representation of our comparable store sales performance, and is the basis on which we plan and manage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140" w:firstLine="518"/>
        <w:spacing w:after="0" w:line="276" w:lineRule="auto"/>
        <w:rPr>
          <w:sz w:val="20"/>
          <w:szCs w:val="20"/>
          <w:color w:val="auto"/>
        </w:rPr>
      </w:pPr>
      <w:r>
        <w:rPr>
          <w:rFonts w:ascii="Arial" w:cs="Arial" w:eastAsia="Arial" w:hAnsi="Arial"/>
          <w:sz w:val="17"/>
          <w:szCs w:val="17"/>
          <w:color w:val="auto"/>
        </w:rPr>
        <w:t>We believe that the comparable store sales increase was primarily due to the improved execution of our off-price model. During the first quarter of Fiscal 2018, there were eight stores that were closed for seven or more days due to weather-related incidents that occurred during Fiscal 2017, six of which remained closed as of May 5, 2018. In accordance with our policy, we removed these stores from our calculation of comparable stores sales for the month(s) in which the stores were closed for seven or more days. The impact of these store closures are reflected in the total sales results for the first quarter, and reduced the incremental contribution from new and non-comparable sales by approximately $19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Cost of sales as a percentage of net sales improved approximately 35 basis points to 58.8% during the three month period ended May 5, 2018, driven primarily by increased merchandise margin, which was slightly offset by higher freight costs. Product sourcing costs, which are included in selling, general and administrative expenses, were approximately 5 basis points higher as a percentage of net sales. On a dollar basis, cost of sales increased $96.3 million, or 12.1%, primarily driven by our overall increase in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Selling, general and administrative expenses as a percentage of net sales improved approximately 45 basis points during the three month period ended May 5, 2018. The following table details selling, general and administrative expenses for the three month period ended May 5, 2018 compared with the three month period ended April 29, 2017. Prior year amounts have been reclassified to conform to the current period presentation:</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800"/>
              <w:spacing w:after="0" w:line="155"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7"/>
              </w:rPr>
              <w:t>Percentage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May 5, 2018</w:t>
            </w:r>
          </w:p>
        </w:tc>
        <w:tc>
          <w:tcPr>
            <w:tcW w:w="240" w:type="dxa"/>
            <w:vAlign w:val="bottom"/>
            <w:vMerge w:val="restart"/>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29, 2017</w:t>
            </w:r>
          </w:p>
        </w:tc>
        <w:tc>
          <w:tcPr>
            <w:tcW w:w="260" w:type="dxa"/>
            <w:vAlign w:val="bottom"/>
            <w:vMerge w:val="restart"/>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9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7"/>
              </w:rPr>
              <w:t>$ Variance</w:t>
            </w:r>
          </w:p>
        </w:tc>
        <w:tc>
          <w:tcPr>
            <w:tcW w:w="240" w:type="dxa"/>
            <w:vAlign w:val="bottom"/>
            <w:vMerge w:val="restart"/>
          </w:tcPr>
          <w:p>
            <w:pPr>
              <w:spacing w:after="0"/>
              <w:rPr>
                <w:sz w:val="12"/>
                <w:szCs w:val="12"/>
                <w:color w:val="auto"/>
              </w:rPr>
            </w:pPr>
          </w:p>
        </w:tc>
        <w:tc>
          <w:tcPr>
            <w:tcW w:w="10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Store 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Product sourcing costs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Corporate costs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Marketing and strategy costs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 selling, general and administrative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w w:val="96"/>
              </w:rPr>
              <w:t>Selling, general and administrative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468.3</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420.9</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Store related costs as a percentage of net sales improved approximately 45 basis points during the three month period ended May 5, 2018, primarily driven by leverage in occupancy costs. We were able to utilize efficiencies realized through the continued simplification of store operating procedures and improvement of execution to offset wage increases at our stores. On a dollar basis, the $29.0 million increase was primarily driven by costs related to our new and non-comparable stores.</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Product sourcing costs as a percentage of net sales were approximately 5 basis points higher during the three month period ended May 5, 2018, which was more than offset by a 35 basis point improvement in cost of sales.</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Corporate costs as a percentage of net sales were approximately 5 basis points higher during the three month period ended May 5, 2018, primarily driven by an increase in our stock-based compensation.</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Marketing and strategy costs as a percentage of net sales improved 5 basis points during the three month period ended May 5, 2018, primarily driven by increased leverage in our national television advertising and personalized marketing efforts.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Depreciation and amortization expense related to the depreciation of fixed assets and the amortization of favorable and unfavorable leases amounted to $50.5 million during the three month period ended May 5, 2018 compared with $48.0 million during the three month period ended April 29, 2017. The increase in depreciation and amortization expense was primarily driven by our new and non-comparable stores.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Interest expense increased $1.0 million to $14.5 million, primarily driven by the impact of higher interest rates on the unhedged portion of the Term Loan Facility, which more than offset the benefit obtained from the repricing of the Term Loan Facility during the fourth quarter of Fiscal 2017.</w:t>
      </w:r>
    </w:p>
    <w:p>
      <w:pPr>
        <w:spacing w:after="0" w:line="3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Our average interest rates and average balances related to our Term Loan Facility and our ABL Line of Credit, for the three month period ended May 5, 2018 compared with prior year, are summarized in the table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ind w:left="360"/>
              <w:spacing w:after="0" w:line="147" w:lineRule="exact"/>
              <w:rPr>
                <w:sz w:val="20"/>
                <w:szCs w:val="20"/>
                <w:color w:val="auto"/>
              </w:rPr>
            </w:pPr>
            <w:r>
              <w:rPr>
                <w:rFonts w:ascii="Arial" w:cs="Arial" w:eastAsia="Arial" w:hAnsi="Arial"/>
                <w:sz w:val="14"/>
                <w:szCs w:val="14"/>
                <w:b w:val="1"/>
                <w:bCs w:val="1"/>
                <w:color w:val="auto"/>
              </w:rPr>
              <w:t>May 5,</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12"/>
                <w:szCs w:val="12"/>
                <w:color w:val="auto"/>
              </w:rPr>
            </w:pPr>
          </w:p>
        </w:tc>
      </w:tr>
      <w:tr>
        <w:trPr>
          <w:trHeight w:val="171"/>
        </w:trPr>
        <w:tc>
          <w:tcPr>
            <w:tcW w:w="360" w:type="dxa"/>
            <w:vAlign w:val="bottom"/>
            <w:tcBorders>
              <w:bottom w:val="single" w:sz="8" w:color="CFF0FC"/>
            </w:tcBorders>
          </w:tcPr>
          <w:p>
            <w:pPr>
              <w:spacing w:after="0"/>
              <w:rPr>
                <w:sz w:val="14"/>
                <w:szCs w:val="14"/>
                <w:color w:val="auto"/>
              </w:rPr>
            </w:pPr>
          </w:p>
        </w:tc>
        <w:tc>
          <w:tcPr>
            <w:tcW w:w="502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b w:val="1"/>
                <w:bCs w:val="1"/>
                <w:color w:val="auto"/>
                <w:w w:val="89"/>
              </w:rPr>
              <w:t>2018</w:t>
            </w: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53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interest rate – ABL Line of Credit</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ind w:left="56"/>
              <w:spacing w:after="0"/>
              <w:rPr>
                <w:sz w:val="20"/>
                <w:szCs w:val="20"/>
                <w:color w:val="auto"/>
              </w:rPr>
            </w:pPr>
            <w:r>
              <w:rPr>
                <w:rFonts w:ascii="Arial" w:cs="Arial" w:eastAsia="Arial" w:hAnsi="Arial"/>
                <w:sz w:val="18"/>
                <w:szCs w:val="18"/>
                <w:color w:val="auto"/>
                <w:w w:val="87"/>
              </w:rPr>
              <w:t>3.3%</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60" w:type="dxa"/>
            <w:vAlign w:val="bottom"/>
            <w:shd w:val="clear" w:color="auto" w:fill="CFF0FC"/>
          </w:tcPr>
          <w:p>
            <w:pPr>
              <w:jc w:val="center"/>
              <w:ind w:right="536"/>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Average interest rate – Term Loan Facility</w:t>
            </w: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center"/>
              <w:ind w:left="56"/>
              <w:spacing w:after="0"/>
              <w:rPr>
                <w:sz w:val="20"/>
                <w:szCs w:val="20"/>
                <w:color w:val="auto"/>
              </w:rPr>
            </w:pPr>
            <w:r>
              <w:rPr>
                <w:rFonts w:ascii="Arial" w:cs="Arial" w:eastAsia="Arial" w:hAnsi="Arial"/>
                <w:sz w:val="18"/>
                <w:szCs w:val="18"/>
                <w:color w:val="auto"/>
                <w:w w:val="87"/>
              </w:rPr>
              <w:t>4.2%</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jc w:val="center"/>
              <w:ind w:right="536"/>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19"/>
                <w:szCs w:val="19"/>
                <w:color w:val="auto"/>
              </w:rPr>
            </w:pPr>
          </w:p>
        </w:tc>
      </w:tr>
      <w:tr>
        <w:trPr>
          <w:trHeight w:val="230"/>
        </w:trPr>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balance – ABL Line of Credit (in millions)</w:t>
            </w:r>
          </w:p>
        </w:tc>
        <w:tc>
          <w:tcPr>
            <w:tcW w:w="19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28.7</w:t>
            </w:r>
          </w:p>
        </w:tc>
        <w:tc>
          <w:tcPr>
            <w:tcW w:w="15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Average balance – Term Loan Facility (in millions) (a)</w:t>
            </w: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1,113.1</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36"/>
              <w:spacing w:after="0"/>
              <w:rPr>
                <w:sz w:val="20"/>
                <w:szCs w:val="20"/>
                <w:color w:val="auto"/>
              </w:rPr>
            </w:pPr>
            <w:r>
              <w:rPr>
                <w:rFonts w:ascii="Arial" w:cs="Arial" w:eastAsia="Arial" w:hAnsi="Arial"/>
                <w:sz w:val="18"/>
                <w:szCs w:val="18"/>
                <w:color w:val="auto"/>
              </w:rPr>
              <w:t>1,117.0</w:t>
            </w:r>
          </w:p>
        </w:tc>
        <w:tc>
          <w:tcPr>
            <w:tcW w:w="100" w:type="dxa"/>
            <w:vAlign w:val="bottom"/>
          </w:tcPr>
          <w:p>
            <w:pPr>
              <w:spacing w:after="0"/>
              <w:rPr>
                <w:sz w:val="20"/>
                <w:szCs w:val="20"/>
                <w:color w:val="auto"/>
              </w:rPr>
            </w:pPr>
          </w:p>
        </w:tc>
      </w:tr>
      <w:tr>
        <w:trPr>
          <w:trHeight w:val="431"/>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5020" w:type="dxa"/>
            <w:vAlign w:val="bottom"/>
          </w:tcPr>
          <w:p>
            <w:pPr>
              <w:ind w:left="160"/>
              <w:spacing w:after="0"/>
              <w:rPr>
                <w:sz w:val="20"/>
                <w:szCs w:val="20"/>
                <w:color w:val="auto"/>
              </w:rPr>
            </w:pPr>
            <w:r>
              <w:rPr>
                <w:rFonts w:ascii="Arial" w:cs="Arial" w:eastAsia="Arial" w:hAnsi="Arial"/>
                <w:sz w:val="18"/>
                <w:szCs w:val="18"/>
                <w:color w:val="auto"/>
              </w:rPr>
              <w:t>Excludes original issue discount</w:t>
            </w: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Income tax expense was $17.4 million during the three month period ended May 5, 2018 compared with $22.9 million during the three month period ended April 29, 2017. The effective tax rate for the three month period ended May 5, 2018 was 17.4% compared with 30.4% during the three month period ended April 29, 2017. The improvement in the effective tax rate was primarily the result of the U.S. Tax Cuts and Jobs Act of 2017 (the Tax Act), which among other things, lowered the federal statutory rate from 35% to 21%.</w:t>
      </w:r>
    </w:p>
    <w:p>
      <w:pPr>
        <w:spacing w:after="0" w:line="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analyzed the Tax Act and made reasonable estimates of the effects on our condensed consolidated financial statements and tax disclosures. As we complete our analysis of the Tax Act, collect and prepare necessary data, and interpret any additional guidance issued by the U.S. Treasury Department, the IRS, and other standard-setting bodies, we may make adjustments to the provisional amounts as allowed by Staff Accounting Bulletin No. 118. The accounting is expected to be completed during Fiscal 2018.</w:t>
      </w:r>
    </w:p>
    <w:p>
      <w:pPr>
        <w:spacing w:after="0" w:line="18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accordance with ASC Topic No. 270, “Interim Reporting” (Topic No. 270), and ASC Topic No. 740, “Income Taxes” (Topic No. 740), at the end of each interim period, we are required to determine the best estimate of our annual effective tax rate and then apply that rate in providing for income taxes on a current year-to-date (interim period) basis. Use of this methodology during the three month period ended May 5, 2018 resulted in an annual effective income tax rate of 25% (before discrete items) as our best estimate. This is lower than the projected annual effective income tax rate during the three month period ended April 29, 2017 of 37% (before discrete items) as a result of the Tax Act which, among other things, lowered the federal statutory rate from 35% to 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earned net income of $82.6 million during the three month period ended May 5, 2018 compared with net income of $52.4 million for the three month period ended April 29, 2017. The improvement in our net income was primarily driven by our improved gross margin and our lower effective tax rate, primarily as a result of the Tax Act, partially offset by increased selling, general and administrative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Our ability to satisfy interest payment and future principal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and future principal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w:t>
      </w:r>
    </w:p>
    <w:p>
      <w:pPr>
        <w:spacing w:after="0" w:line="158" w:lineRule="exact"/>
        <w:rPr>
          <w:sz w:val="20"/>
          <w:szCs w:val="20"/>
          <w:color w:val="auto"/>
        </w:rPr>
      </w:pPr>
    </w:p>
    <w:p>
      <w:pPr>
        <w:jc w:val="both"/>
        <w:ind w:right="100" w:firstLine="518"/>
        <w:spacing w:after="0" w:line="286" w:lineRule="auto"/>
        <w:rPr>
          <w:sz w:val="20"/>
          <w:szCs w:val="20"/>
          <w:color w:val="auto"/>
        </w:rPr>
      </w:pPr>
      <w:r>
        <w:rPr>
          <w:rFonts w:ascii="Arial" w:cs="Arial" w:eastAsia="Arial" w:hAnsi="Arial"/>
          <w:sz w:val="17"/>
          <w:szCs w:val="17"/>
          <w:color w:val="auto"/>
        </w:rPr>
        <w:t>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 in the event that the economy declines.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Cash Flow for the Three Month Period Ended May 5, 2018 Compared With the Three Month Period Ended April 29, 2017</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used $56.2 million of cash flow during the three month period ended May 5, 2018 compared with a use of $52.0 million during the three month period ended April 29, 2017.</w:t>
      </w:r>
    </w:p>
    <w:p>
      <w:pPr>
        <w:spacing w:after="0" w:line="170"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Net cash provided by operating activities amounted to $60.2 million during the three month period ended May 5, 2018 compared with $28.6 million during the three month period ended April 29, 2017. The increase in our operating cash flows was primarily driven by our increased operating results.</w:t>
      </w:r>
    </w:p>
    <w:p>
      <w:pPr>
        <w:spacing w:after="0" w:line="12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Net cash used in investing activities was $57.9 million during the three month period ended May 5, 2018 compared with $52.8 million during the three month period ended April 29, 2017. This change was primarily the result of an increase in capital expenditures related to our store expenditures (new stores, store refreshes and remodels and other store expenditures) and our overall supply chain initiatives.</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Net cash used in financing activities was $58.5 million during the three month period ended May 5, 2018 compared with $27.8 million during the three month period ended April 29, 2017. This change was primarily driven by an increase in share repurchases under our share repurchase program, as well as a decrease in the net borrowings on our ABL Line of Credit.</w:t>
      </w:r>
    </w:p>
    <w:p>
      <w:pPr>
        <w:spacing w:after="0" w:line="18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Changes in working capital also impact our cash flows. Working capital equals current assets (exclusive of restricted cash) minus current liabilities. We had a working capital deficit at May 5, 2018 of $12.6 million compared with $60.4 million at April 29, 2017. During the three month period ended May 5, 2018 compared with the three month period ended April 29, 2017, we experienced increases in our cash and cash equivalents, merchandise inventories, prepaid and other current assets (primarily driven by the timing of our prepaid rent payments) and accounts receivable (primarily increased insurance receivables and lease incentives). These increases were partially offset by an increase in our accounts payable (driven by the timing and amount of our inventory receipts), current debt maturities, and other current liabilities (primarily driven by increased accrued purchases of property and equipment, as well as accrued payroll and payroll taxes). We had a working capital deficit at February 3, 2018 of $47.0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For the three month period ended May 5, 2018, cash spend for capital expenditures, net of $8.7 million of landlord allowances, amounted to $51.7 million. We estimate that we will spend approximately $250 million, net of approximately $60 million of landlord allowances and insurance recoveries, in capital expenditures during Fiscal 2018, including approximately $120 million, net of the previously mentioned $60 million of landlord allowances, for store expenditures (new stores, store refreshes and remodels and other store expenditures). In addition, we estimate that we will spend approximately $35 million to support our supply chain initiatives, with the remaining capital used to support our information technology and other business initiatives.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7" w:lineRule="exact"/>
        <w:rPr>
          <w:sz w:val="20"/>
          <w:szCs w:val="20"/>
          <w:color w:val="auto"/>
        </w:rPr>
      </w:pPr>
    </w:p>
    <w:p>
      <w:pPr>
        <w:ind w:right="700" w:firstLine="518"/>
        <w:spacing w:after="0" w:line="308" w:lineRule="auto"/>
        <w:rPr>
          <w:sz w:val="20"/>
          <w:szCs w:val="20"/>
          <w:color w:val="auto"/>
        </w:rPr>
      </w:pPr>
      <w:r>
        <w:rPr>
          <w:rFonts w:ascii="Arial" w:cs="Arial" w:eastAsia="Arial" w:hAnsi="Arial"/>
          <w:sz w:val="17"/>
          <w:szCs w:val="17"/>
          <w:color w:val="auto"/>
        </w:rPr>
        <w:t>On August 16, 2017, our Board of Directors approved the repurchase of up to $300 million of our common stock. This repurchase program is authorized to be executed through August 2019, and is funded using our available cash and borrowings on our ABL Line of Credit.</w:t>
      </w:r>
    </w:p>
    <w:p>
      <w:pPr>
        <w:spacing w:after="0" w:line="38"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During the three month period ended May 5, 2018, we repurchased 488,468 shares of our common stock for $63.9 million, inclusive of commissions, under the share repurchase program. As of May 5, 2018, we had $153.3 million remaining under our share repurchase authorization.</w:t>
      </w:r>
    </w:p>
    <w:p>
      <w:pPr>
        <w:spacing w:after="0" w:line="3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are authorized to repurchase, from time to time, shares of our outstanding common stock on the open market or in privately negotiated transactions under our repurchase program. The timing and amount of stock repurchases will depend on a variety of factors, including the market conditions as well as corporate and regulatory considerations. Our share repurchase program may be suspended, modified or discontinued at any time and we have no obligation to repurchase any amount of our common stock under the program.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We currently do, and intend to continue to, retain all available funds and any future earnings to fund all of the Company's capital expenditures, business initiatives, and to support any potential opportunistic capital structure initiatives. Therefore, at this time, we do not anticipate paying cash dividends in the near term. Our ability to pay dividends on our common stock will be limited by restrictions on the ability of our subsidiaries to pay dividends or make distributions under the terms of current and any future agreements governing our indebtedness. Any future determination to pay dividends will be at the discretion of our Board of Directors, subject to compliance with covenants in our current and future agreements governing our indebtedness, and will depend upon our results of operations, financial condition, capital requirements and other factors that our Board of Directors deems relevant.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ind w:right="420" w:firstLine="518"/>
        <w:spacing w:after="0" w:line="264" w:lineRule="auto"/>
        <w:rPr>
          <w:sz w:val="20"/>
          <w:szCs w:val="20"/>
          <w:color w:val="auto"/>
        </w:rPr>
      </w:pPr>
      <w:r>
        <w:rPr>
          <w:rFonts w:ascii="Arial" w:cs="Arial" w:eastAsia="Arial" w:hAnsi="Arial"/>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Growth</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During the three month period ended May 5, 2018, we opened 24 new stores, inclusive of five relocations, and closed one store, exclusive of the aforementioned relocations, bringing our store count as of May 5, 2018 to 647 stores (inclusive of one internet store). We continue to pursue our growth plans and invest in capital projects that meet our financial requirements. For the full year, we plan to open 35-40 net new stores, which includes 60 gross new stores, along with 20-25 store relocations and closings.</w:t>
      </w:r>
    </w:p>
    <w:p>
      <w:pPr>
        <w:spacing w:after="0" w:line="7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continue to explore expansion opportunities both within our current market areas and in other regions. We believe that our ability to find satisfactory locations for our stores is essential for the continued growth of our business. The opening of stores generally is contingent upon a number of factors including, but not limited to, the availability of desirable locations with suitable structures and the negotiation of acceptable lease terms. There can be no assurance, however, that we will be able to find suitable locations for new stores or that even if such locations are found and acceptable lease terms are obtained, we will be able to open the number of new stores presently planned. Assuming that appropriate locations are identified, we believe that we will be able to execute our growth strategy without significantly impacting our current stores.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Hedging</w:t>
      </w:r>
    </w:p>
    <w:p>
      <w:pPr>
        <w:spacing w:after="0" w:line="117"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As of May 5, 2018, our obligations include $1,106.3 million, inclusive of original issue discount, under our Term Loan Facility and $11.8 million of outstanding borrowings on our ABL Facility. Our debt obligations also include $21.2 million of capital lease obligations as of May 5, 2018.</w:t>
      </w:r>
    </w:p>
    <w:p>
      <w:pPr>
        <w:spacing w:after="0" w:line="3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Of the $1,106.3 million outstanding under our Term Loan Facility, $800 million is fixed at an effective LIBOR interest rate of 1.65%, including the swap premium, through May 2019. Given the current interest rate environment, we will continue to evaluate hedging options beyond May 2019. In addition, we will continue to actively monitor the credit markets for an opportunity to reprice the Term Loan Facility, which currently is priced at LIBOR + 250 basis points. The ABL Line of Credit matures on August 13, 2019, and we anticipate extending it for 5 years. Given our continued strong performance, relatively low usage on the ABL Line of Credit and decreasing leverage ratio, we believe we have opportunities to continue to optimize our capital structure while simultaneously reducing interest expense.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May 5, 2018, our borrowing rate related to the Term Loan Facility was 4.41%.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At May 5, 2018, we had $533.2 million available under the ABL Line of Credit. The maximum borrowings under the facility during the three month period ended May 5, 2018 amounted to $90.0 million. Average borrowings during the three month period ended May 5, 2018 amounted to $28.7 million at an average interest rate of 3.3%.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Concerning Contractual Obligations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had $994.5 million of purchase commitments related to goods that were not received as of May 5, 2018. There were no other significant changes regarding our obligations to make future payments under current contracts from those included in our Annual Report on Form 10-K for the fiscal year ended February 3,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Condensed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Condensed Consolidated Financial Statements requires management to make estimates and assumptions that affect (i) the reported amounts of assets and liabilities; (ii) the disclosure of contingent assets and liabilities at the date of the Condensed Consolidated Financial Statements; and (iii) the reported amounts of revenues and expenses during the reporting period. On an ongoing basis, management evaluates its estimates and judgments, including those related to revenue recognition, inventories, long-lived assets, intangible assets, goodwill, insurance reserves and income taxes. Historical experience and various other factors that are believed to be reasonable under the circumstances form the basis for making estimates and judgments about the carrying values of assets and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liabilities that are not readily apparent from other sources. Actual results may differ from these estimates under different assumptions or conditions. A critical accounting estimate meets two criteria: (1) it requires assumptions about highly uncertain matters and (2) there would be a material effect on the consolidated financial statements from either using a different, although reasonable, amount within the range of the estimate in the current period or from reasonably likely period-to-period changes in the estimate.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Effective February 4, 2018, we adopted Accounting Standard Update 2014-09, “Revenue from Contracts with Customers,” which supersedes most preexisting revenue recognition guidance. We record revenue at the time of sale and delivery of merchandise, net of allowances for estimated future returns, which is estimated based on historical return rates. We present sales, net of sales taxes, in our Condensed Consolidated Statements of Income. We account for layaway sales and leased department revenue in compliance with ASC Topic No. 606 “Revenue from Contracts with Customers” (Topic No. 606). Layaway sales are recognized upon delivery of merchandise to the customer. The amount of cash received upon initiation of the layaway is recorded as a deposit liability in the line item “Other current liabilities” in our Consolidated Balance Sheets. Stored value cards (gift cards and store credits issued for merchandise returns) are recorded as a liability at the time of issuance, and the related sale is recorded upon redemption.</w:t>
      </w:r>
    </w:p>
    <w:p>
      <w:pPr>
        <w:spacing w:after="0" w:line="59"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We determine an estimated stored value card breakage rate by continuously evaluating historical redemption data. Breakage income is recognized monthly in proportion to the historical redemption patterns for those stored value cards for which the likelihood of redemption is remote.</w:t>
      </w:r>
    </w:p>
    <w:p>
      <w:pPr>
        <w:spacing w:after="0" w:line="14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Other than the revenue recognition policy discussed above, our critical accounting policies and estimates are consistent with those disclosed in Note 1 to the audited Consolidated Financial Statements, “Summary of Significant Accounting Policies,” included in our Annual Report on Form 10-K for the fiscal year ended February 3,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This report contains forward-looking statements that are based on current expectations, estimates, forecasts and projections about us, the industry in which we operate and other matters, as well as management’s beliefs and assumptions and other statements regarding matters that are not historical facts. For example, when we use words such as “projects,” “expects,” “anticipates,” “intends,” “plans,” “believes,” “seeks,” “estimates,” “should,” “would,” “could,” “will,” “opportunity,” “potential” or “may,” variations of such words or other words that convey uncertainty of future events or outcomes, we are making forward-looking statements within the meaning of Section 27A of the Securities Act of 1933 (Securities Act) and Section 21E of the Securities Exchange Act of 1934 (Exchange Act). Our forward-looking statements are subject to risks and uncertainties. Such statements include, but are not limited to, proposed store openings and closings, proposed capital expenditures, projected financing requirements, proposed developmental projects, projected sales and earnings, our ability to maintain selling margins, and the effect of the adoption of recent accounting pronouncements on our consolidated financial position, results of operations and cash flows.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 competition in the retail industry, seasonality of our business, adverse weather conditions, changes in consumer preferences and consumer spending patterns, import risks, inflation, general economic conditions, our ability to implement our strategy, our substantial level of indebtedness and related debt-service obligations, restrictions imposed by covenants in our debt agreements, availability of adequate financing, our dependence on vendors for our merchandise, events affecting the delivery of merchandise to our stores, existence of adverse litigation, availability of desirable locations on suitable</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terms, the Tax Act and pending interpretations related thereto, and other risks discussed from time to time in our filings with the Securities and Exchange Commission (SEC).</w:t>
      </w:r>
    </w:p>
    <w:p>
      <w:pPr>
        <w:spacing w:after="0" w:line="184"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Many of these factors are beyond our ability to predict or control.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undertake no obligation to publicly update or revise any forward-looking statements, whether as a result of new information, future events or otherwise, except as required by law. In light of these risks and uncertainties, the forward-looking events and circumstances discussed in this report might not occur. Furthermore, we cannot guarantee future results, events, levels of activity, performance or achievements.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Refer to Note 1 to our Condensed Consolidated Financial Statements, “Summary of Significant Accounting Policies,” for a discussion of recent accounting pronouncements and their impact in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w:t>
      </w:r>
    </w:p>
    <w:p>
      <w:pPr>
        <w:spacing w:after="0" w:line="10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were no material changes to our quantitative and qualitative disclosures about market risk from those included in our Annual Report on Form 10-K for the fiscal year ended February 3,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Securities Exchange Act of 1934, as amended (Exchange Act), as of the last day of the fiscal period covered by this report, May 5, 2018.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May 5, 2018.</w:t>
      </w:r>
    </w:p>
    <w:p>
      <w:pPr>
        <w:spacing w:after="0" w:line="16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During the quarter ended May 5, 2018, there were no changes in our internal control over financial reporting that have materially affected, or are reasonably likely to materially affect, our internal control over financial reporting.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Like many retailers, we have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To determine the likelihood of a loss and/or the measurement of any loss can be complex. Consequently, we are unable to estimate the range of reasonably possible loss in excess of amounts accrued. Our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While no assurance can be given as to the ultimate outcome of these matters, we believe that the final resolution of these actions will not have a material adverse effect on our results of operations, financial position, liquidity or capital resources.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Part I, Item 1A of our Annual Report on Form 10-K for the fiscal year ended February 3, 2018.</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purchases of common stock during the three fiscal months ended May 5, 2018: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That May Yet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Month</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Paid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Share(2)</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4, 2018 through March 3, 2018</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145,815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120.37</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145,661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March 4, 2018 through April 7, 2018</w:t>
            </w:r>
          </w:p>
        </w:tc>
        <w:tc>
          <w:tcPr>
            <w:tcW w:w="1140" w:type="dxa"/>
            <w:vAlign w:val="bottom"/>
          </w:tcPr>
          <w:p>
            <w:pPr>
              <w:jc w:val="right"/>
              <w:spacing w:after="0"/>
              <w:rPr>
                <w:sz w:val="20"/>
                <w:szCs w:val="20"/>
                <w:color w:val="auto"/>
              </w:rPr>
            </w:pPr>
            <w:r>
              <w:rPr>
                <w:rFonts w:ascii="Arial" w:cs="Arial" w:eastAsia="Arial" w:hAnsi="Arial"/>
                <w:sz w:val="18"/>
                <w:szCs w:val="18"/>
                <w:color w:val="auto"/>
              </w:rPr>
              <w:t>152,113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133.25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151,632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8, 2018 through May 5, 2018</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237,672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136.52</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191,175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right="80" w:hanging="512"/>
        <w:spacing w:after="0" w:line="288"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shares purchased between February 4, 2018 and March 3, 2018, between March 4, 2018 and April 7, 2018 and between April 8, 2018 and May 5, 2018 include 154; 481 and 46,497 shares, respectively, which were withheld for tax payments due upon the vesting of employee restricted stock awards, and do not reduce the dollar value that may yet be purchased under our publicly announced share repurchase program.</w:t>
      </w: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commissions for the shares repurchased under our publicly announced share repurchase program.</w:t>
      </w:r>
    </w:p>
    <w:p>
      <w:pPr>
        <w:spacing w:after="0" w:line="9" w:lineRule="exact"/>
        <w:rPr>
          <w:rFonts w:ascii="Arial" w:cs="Arial" w:eastAsia="Arial" w:hAnsi="Arial"/>
          <w:sz w:val="18"/>
          <w:szCs w:val="18"/>
          <w:color w:val="auto"/>
        </w:rPr>
      </w:pPr>
    </w:p>
    <w:p>
      <w:pPr>
        <w:ind w:left="520" w:right="80" w:hanging="512"/>
        <w:spacing w:after="0" w:line="25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August 16, 2017, our Board of Directors approved the repurchase of up to $300 million of our common stock. This new repurchase program is authorized to be executed through August 2019. As of May 5, 2018, we had $153.3 million available for purchase under this share repurchase program. For a further discussion of our share repurchase program, see “Part I, Item 2. Management’s Discussion and Analysis of Financial Condition and Results of Operations—Liquidity and Capital Resources—Share Repurchase Program.”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8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460" w:type="dxa"/>
            <w:vAlign w:val="bottom"/>
          </w:tcPr>
          <w:p>
            <w:pPr>
              <w:spacing w:after="0"/>
              <w:rPr>
                <w:sz w:val="20"/>
                <w:szCs w:val="20"/>
                <w:color w:val="auto"/>
              </w:rPr>
            </w:pPr>
            <w:r>
              <w:rPr>
                <w:rFonts w:ascii="Arial" w:cs="Arial" w:eastAsia="Arial" w:hAnsi="Arial"/>
                <w:sz w:val="18"/>
                <w:szCs w:val="18"/>
                <w:color w:val="auto"/>
                <w:w w:val="97"/>
              </w:rPr>
              <w:t>31.1†</w:t>
            </w:r>
          </w:p>
        </w:tc>
        <w:tc>
          <w:tcPr>
            <w:tcW w:w="700" w:type="dxa"/>
            <w:vAlign w:val="bottom"/>
          </w:tcPr>
          <w:p>
            <w:pPr>
              <w:spacing w:after="0"/>
              <w:rPr>
                <w:sz w:val="24"/>
                <w:szCs w:val="24"/>
                <w:color w:val="auto"/>
              </w:rPr>
            </w:pPr>
          </w:p>
        </w:tc>
        <w:tc>
          <w:tcPr>
            <w:tcW w:w="10240" w:type="dxa"/>
            <w:vAlign w:val="bottom"/>
            <w:gridSpan w:val="8"/>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Principal Executive Officer required by Rule 13a-14(a) or Rule 15d-14(a) of the Securities Exchange Act of 1934, as adopted</w:t>
              </w:r>
            </w:hyperlink>
          </w:p>
        </w:tc>
      </w:tr>
      <w:tr>
        <w:trPr>
          <w:trHeight w:val="196"/>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pursuant to Section 302 of the Sarbanes-Oxley Act of 2002</w:t>
              </w:r>
            </w:hyperlink>
          </w:p>
        </w:tc>
        <w:tc>
          <w:tcPr>
            <w:tcW w:w="592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1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Principal Financial Officer required by Rule 13a-14(a) or Rule 15d-14(a) of the Securities Exchange Act of 1934, as adopted</w:t>
              </w:r>
            </w:hyperlink>
          </w:p>
        </w:tc>
        <w:tc>
          <w:tcPr>
            <w:tcW w:w="10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pursuant to Section 302 of the Sarbanes-Oxley Act of 2002</w:t>
              </w:r>
            </w:hyperlink>
          </w:p>
        </w:tc>
        <w:tc>
          <w:tcPr>
            <w:tcW w:w="5980" w:type="dxa"/>
            <w:vAlign w:val="bottom"/>
            <w:gridSpan w:val="6"/>
          </w:tcPr>
          <w:p>
            <w:pPr>
              <w:spacing w:after="0"/>
              <w:rPr>
                <w:sz w:val="17"/>
                <w:szCs w:val="17"/>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0240" w:type="dxa"/>
            <w:vAlign w:val="bottom"/>
            <w:gridSpan w:val="8"/>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Certification of Principal Executive Officer pursuant to 18 U.S.C. 1350, as adopted pursuant to Section 906 of the Sarbanes-Oxley Act of</w:t>
              </w:r>
            </w:hyperlink>
          </w:p>
        </w:tc>
      </w:tr>
      <w:tr>
        <w:trPr>
          <w:trHeight w:val="196"/>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2002</w:t>
              </w:r>
            </w:hyperlink>
          </w:p>
        </w:tc>
        <w:tc>
          <w:tcPr>
            <w:tcW w:w="39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6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02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Principal Financial Officer pursuant to 18 U.S.C. 1350, as adopted pursuant to Section 906 of the Sarbanes-Oxley Act of 2002</w:t>
              </w:r>
            </w:hyperlink>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94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BURLINGTON STORES, INC.</w:t>
      </w:r>
    </w:p>
    <w:p>
      <w:pPr>
        <w:spacing w:after="0" w:line="256"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Thomas A. Kingsbury</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Chairman, President and Chief Executive Officer</w:t>
      </w:r>
    </w:p>
    <w:p>
      <w:pPr>
        <w:spacing w:after="0" w:line="32" w:lineRule="exact"/>
        <w:rPr>
          <w:sz w:val="20"/>
          <w:szCs w:val="20"/>
          <w:color w:val="auto"/>
        </w:rPr>
      </w:pPr>
    </w:p>
    <w:p>
      <w:pPr>
        <w:jc w:val="center"/>
        <w:ind w:left="656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Marc Katz</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jc w:val="center"/>
        <w:ind w:left="6560"/>
        <w:spacing w:after="0"/>
        <w:rPr>
          <w:sz w:val="20"/>
          <w:szCs w:val="20"/>
          <w:color w:val="auto"/>
        </w:rPr>
      </w:pPr>
      <w:r>
        <w:rPr>
          <w:rFonts w:ascii="Arial" w:cs="Arial" w:eastAsia="Arial" w:hAnsi="Arial"/>
          <w:sz w:val="18"/>
          <w:szCs w:val="18"/>
          <w:color w:val="auto"/>
        </w:rPr>
        <w:t>Chief Financial Officer/Principal</w:t>
      </w:r>
    </w:p>
    <w:p>
      <w:pPr>
        <w:spacing w:after="0" w:line="9" w:lineRule="exact"/>
        <w:rPr>
          <w:sz w:val="20"/>
          <w:szCs w:val="20"/>
          <w:color w:val="auto"/>
        </w:rPr>
      </w:pPr>
    </w:p>
    <w:p>
      <w:pPr>
        <w:jc w:val="center"/>
        <w:ind w:left="656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00"/>
          </w:cols>
          <w:pgMar w:left="240" w:top="121" w:right="8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A. Kingsbury, certify that:</w:t>
      </w:r>
    </w:p>
    <w:p>
      <w:pPr>
        <w:spacing w:after="0" w:line="11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Burlington Stores,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520" w:firstLine="526"/>
        <w:spacing w:after="0" w:line="264" w:lineRule="auto"/>
        <w:tabs>
          <w:tab w:leader="none" w:pos="6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26"/>
        <w:spacing w:after="0" w:line="264" w:lineRule="auto"/>
        <w:tabs>
          <w:tab w:leader="none" w:pos="6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526"/>
        <w:spacing w:after="0" w:line="277" w:lineRule="auto"/>
        <w:tabs>
          <w:tab w:leader="none" w:pos="6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60" w:firstLine="526"/>
        <w:spacing w:after="0" w:line="264" w:lineRule="auto"/>
        <w:tabs>
          <w:tab w:leader="none" w:pos="6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20" w:firstLine="526"/>
        <w:spacing w:after="0" w:line="277" w:lineRule="auto"/>
        <w:tabs>
          <w:tab w:leader="none" w:pos="6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60" w:firstLine="526"/>
        <w:spacing w:after="0" w:line="277" w:lineRule="auto"/>
        <w:tabs>
          <w:tab w:leader="none" w:pos="6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A. Kingsbury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62"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Marc Katz, certify that:</w:t>
      </w:r>
    </w:p>
    <w:p>
      <w:pPr>
        <w:spacing w:after="0" w:line="11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Burlington Stores,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520" w:firstLine="526"/>
        <w:spacing w:after="0" w:line="264" w:lineRule="auto"/>
        <w:tabs>
          <w:tab w:leader="none" w:pos="6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26"/>
        <w:spacing w:after="0" w:line="264" w:lineRule="auto"/>
        <w:tabs>
          <w:tab w:leader="none" w:pos="6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526"/>
        <w:spacing w:after="0" w:line="277" w:lineRule="auto"/>
        <w:tabs>
          <w:tab w:leader="none" w:pos="6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60" w:firstLine="526"/>
        <w:spacing w:after="0" w:line="264" w:lineRule="auto"/>
        <w:tabs>
          <w:tab w:leader="none" w:pos="6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20" w:firstLine="526"/>
        <w:spacing w:after="0" w:line="277" w:lineRule="auto"/>
        <w:tabs>
          <w:tab w:leader="none" w:pos="6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60" w:firstLine="526"/>
        <w:spacing w:after="0" w:line="277" w:lineRule="auto"/>
        <w:tabs>
          <w:tab w:leader="none" w:pos="6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6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of Burlington Stores, Inc. (the “Company”) on Form 10-Q for the fiscal quarter ended May 5, 2018, as filed with the Securities and Exchange Commission on the date hereof (the “Report”), I, Thomas A. Kingsbury, Chairman, President and Chief Executive Officer of the Company, certify, pursuant to 18 U.S.C. §1350, as adopted pursuant to §906 of the Sarbanes-Oxley Act of 2002, that:</w:t>
      </w:r>
    </w:p>
    <w:p>
      <w:pPr>
        <w:spacing w:after="0" w:line="73" w:lineRule="exact"/>
        <w:rPr>
          <w:sz w:val="20"/>
          <w:szCs w:val="20"/>
          <w:color w:val="auto"/>
        </w:rPr>
      </w:pPr>
    </w:p>
    <w:p>
      <w:pPr>
        <w:ind w:left="780" w:hanging="254"/>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position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A. Kingsbury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of Burlington Stores, Inc. (the “Company”) on Form 10-Q for the fiscal quarter ended May 5, 2018, as filed with the Securities and Exchange Commission on the date hereof (the “Report”), I, Marc Katz, Chief Financial Officer/Principal of the Company, certify, pursuant to 18 U.S.C. §1350, as adopted pursuant to §906 of the Sarbanes-Oxley Act of 2002, that:</w:t>
      </w:r>
    </w:p>
    <w:p>
      <w:pPr>
        <w:spacing w:after="0" w:line="73" w:lineRule="exact"/>
        <w:rPr>
          <w:sz w:val="20"/>
          <w:szCs w:val="20"/>
          <w:color w:val="auto"/>
        </w:rPr>
      </w:pPr>
    </w:p>
    <w:p>
      <w:pPr>
        <w:ind w:left="780" w:hanging="254"/>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position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Roman"/>
      <w:start w:val="3"/>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Roman"/>
      <w:start w:val="3"/>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2019-12-28T21:44:25Z</dcterms:created>
  <dcterms:modified xsi:type="dcterms:W3CDTF">2019-12-28T21:44:25Z</dcterms:modified>
</cp:coreProperties>
</file>