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burl-20251101.htm"/>
      <w:bookmarkStart w:id="1" w:name="ksburl20251101"/>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spacing w:before="0" w:after="8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November 1,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to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001-36107</w:t>
      </w:r>
    </w:p>
    <w:p>
      <w:pPr>
        <w:pStyle w:val="TextBody"/>
        <w:pBdr>
          <w:bottom w:val="single" w:sz="4" w:space="1" w:color="000000"/>
        </w:pBdr>
        <w:bidi w:val="0"/>
        <w:jc w:val="center"/>
        <w:rPr/>
      </w:pPr>
      <w:r>
        <w:rPr/>
        <w:t> </w:t>
      </w:r>
    </w:p>
    <w:p>
      <w:pPr>
        <w:pStyle w:val="TextBody"/>
        <w:bidi w:val="0"/>
        <w:spacing w:before="80" w:after="283"/>
        <w:jc w:val="center"/>
        <w:rPr/>
      </w:pPr>
      <w:r>
        <w:rPr/>
        <w:drawing>
          <wp:inline distT="0" distB="0" distL="0" distR="0">
            <wp:extent cx="31432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723900"/>
                    </a:xfrm>
                    <a:prstGeom prst="rect">
                      <a:avLst/>
                    </a:prstGeom>
                  </pic:spPr>
                </pic:pic>
              </a:graphicData>
            </a:graphic>
          </wp:inline>
        </w:drawing>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BURLINGTON STORES,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48" w:type="dxa"/>
        <w:jc w:val="left"/>
        <w:tblInd w:w="0" w:type="dxa"/>
        <w:tblLayout w:type="fixed"/>
        <w:tblCellMar>
          <w:top w:w="28" w:type="dxa"/>
          <w:left w:w="28" w:type="dxa"/>
          <w:bottom w:w="28" w:type="dxa"/>
          <w:right w:w="28" w:type="dxa"/>
        </w:tblCellMar>
      </w:tblPr>
      <w:tblGrid>
        <w:gridCol w:w="3016"/>
        <w:gridCol w:w="14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80-0895227</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2006 Route 130 North</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Burlington, New Jersey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08016</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 (609) 387-7800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5830" w:type="dxa"/>
        <w:jc w:val="left"/>
        <w:tblInd w:w="0" w:type="dxa"/>
        <w:tblLayout w:type="fixed"/>
        <w:tblCellMar>
          <w:top w:w="28" w:type="dxa"/>
          <w:left w:w="28" w:type="dxa"/>
          <w:bottom w:w="28" w:type="dxa"/>
          <w:right w:w="28" w:type="dxa"/>
        </w:tblCellMar>
      </w:tblPr>
      <w:tblGrid>
        <w:gridCol w:w="1396"/>
        <w:gridCol w:w="146"/>
        <w:gridCol w:w="826"/>
        <w:gridCol w:w="146"/>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BURL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29" w:type="dxa"/>
        <w:jc w:val="left"/>
        <w:tblInd w:w="0" w:type="dxa"/>
        <w:tblLayout w:type="fixed"/>
        <w:tblCellMar>
          <w:top w:w="28" w:type="dxa"/>
          <w:left w:w="28" w:type="dxa"/>
          <w:bottom w:w="28" w:type="dxa"/>
          <w:right w:w="28" w:type="dxa"/>
        </w:tblCellMar>
      </w:tblPr>
      <w:tblGrid>
        <w:gridCol w:w="1666"/>
        <w:gridCol w:w="37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6"/>
        </w:rPr>
        <w:t>The registrant had 62,927,006</w:t>
      </w:r>
      <w:r>
        <w:rPr>
          <w:rFonts w:ascii="Times New Roman" w:hAnsi="Times New Roman"/>
          <w:color w:val="000000"/>
          <w:sz w:val="20"/>
        </w:rPr>
        <w:t xml:space="preserve"> </w:t>
      </w:r>
      <w:r>
        <w:rPr>
          <w:rFonts w:ascii="Times New Roman" w:hAnsi="Times New Roman"/>
          <w:color w:val="000000"/>
          <w:sz w:val="16"/>
        </w:rPr>
        <w:t>shares of common stock outstanding as of November 1, 2025.</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44"/>
        <w:gridCol w:w="146"/>
        <w:gridCol w:w="1415"/>
      </w:tblGrid>
      <w:tr>
        <w:trPr/>
        <w:tc>
          <w:tcPr>
            <w:tcW w:w="8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Page</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1_financial_statements">
              <w:r>
                <w:rPr>
                  <w:rStyle w:val="InternetLink"/>
                  <w:rFonts w:ascii="Times New Roman" w:hAnsi="Times New Roman"/>
                  <w:b/>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1224"/>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1224"/>
              <w:jc w:val="left"/>
              <w:rPr/>
            </w:pPr>
            <w:hyperlink w:anchor="condensed_consolidated_statements_operat">
              <w:r>
                <w:rPr>
                  <w:rStyle w:val="InternetLink"/>
                  <w:rFonts w:ascii="Times New Roman" w:hAnsi="Times New Roman"/>
                  <w:color w:val="0000FF"/>
                  <w:sz w:val="20"/>
                  <w:u w:val="single"/>
                </w:rPr>
                <w:t>Condensed Consolidated Statements of Income - Three and Nine Months Ended November 1, 2025 and November 2, 2024</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1224"/>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1224"/>
              <w:jc w:val="left"/>
              <w:rPr/>
            </w:pPr>
            <w:hyperlink w:anchor="condensed_consolidated_statements_compre">
              <w:r>
                <w:rPr>
                  <w:rStyle w:val="InternetLink"/>
                  <w:rFonts w:ascii="Times New Roman" w:hAnsi="Times New Roman"/>
                  <w:color w:val="0000FF"/>
                  <w:sz w:val="20"/>
                  <w:u w:val="single"/>
                </w:rPr>
                <w:t>Condensed Consolidated Statements of Comprehensive Income – Three and Nine Months Ended November 1, 2025 and November 2,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1224"/>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1224"/>
              <w:jc w:val="left"/>
              <w:rPr/>
            </w:pPr>
            <w:hyperlink w:anchor="condensed_consolidated_balance_sheets">
              <w:r>
                <w:rPr>
                  <w:rStyle w:val="InternetLink"/>
                  <w:rFonts w:ascii="Times New Roman" w:hAnsi="Times New Roman"/>
                  <w:color w:val="0000FF"/>
                  <w:sz w:val="20"/>
                  <w:u w:val="single"/>
                </w:rPr>
                <w:t>Condensed Consolidated Balance Sheets – November 1, 2025, February 1, 2025 and November 2,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1224"/>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1224"/>
              <w:jc w:val="left"/>
              <w:rPr/>
            </w:pPr>
            <w:hyperlink w:anchor="condensed_consolidated_statements_cash_f">
              <w:r>
                <w:rPr>
                  <w:rStyle w:val="InternetLink"/>
                  <w:rFonts w:ascii="Times New Roman" w:hAnsi="Times New Roman"/>
                  <w:color w:val="0000FF"/>
                  <w:sz w:val="20"/>
                  <w:u w:val="single"/>
                </w:rPr>
                <w:t>Condensed Consolidated Statements of Cash Flows – Nine Months Ended November 1, 2025 and November 2,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1224"/>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1224"/>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2_managements_discussion_analysis_f">
              <w:r>
                <w:rPr>
                  <w:rStyle w:val="InternetLink"/>
                  <w:rFonts w:ascii="Times New Roman" w:hAnsi="Times New Roman"/>
                  <w:b/>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3_quantitative_qualitative_disclosu">
              <w:r>
                <w:rPr>
                  <w:rStyle w:val="InternetLink"/>
                  <w:rFonts w:ascii="Times New Roman" w:hAnsi="Times New Roman"/>
                  <w:b/>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4_controls_procedures">
              <w:r>
                <w:rPr>
                  <w:rStyle w:val="InternetLink"/>
                  <w:rFonts w:ascii="Times New Roman" w:hAnsi="Times New Roman"/>
                  <w:b/>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1_legal_proceedings">
              <w:r>
                <w:rPr>
                  <w:rStyle w:val="InternetLink"/>
                  <w:rFonts w:ascii="Times New Roman" w:hAnsi="Times New Roman"/>
                  <w:b/>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1a_risk_factors">
              <w:r>
                <w:rPr>
                  <w:rStyle w:val="InternetLink"/>
                  <w:rFonts w:ascii="Times New Roman" w:hAnsi="Times New Roman"/>
                  <w:b/>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2_unregistered_sales_equity_securit">
              <w:r>
                <w:rPr>
                  <w:rStyle w:val="InternetLink"/>
                  <w:rFonts w:ascii="Times New Roman" w:hAnsi="Times New Roman"/>
                  <w:b/>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3_defaults_upon_senior_securities">
              <w:r>
                <w:rPr>
                  <w:rStyle w:val="InternetLink"/>
                  <w:rFonts w:ascii="Times New Roman" w:hAnsi="Times New Roman"/>
                  <w:b/>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4_mine_safety_disclosures">
              <w:r>
                <w:rPr>
                  <w:rStyle w:val="InternetLink"/>
                  <w:rFonts w:ascii="Times New Roman" w:hAnsi="Times New Roman"/>
                  <w:b/>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5_or_information">
              <w:r>
                <w:rPr>
                  <w:rStyle w:val="InternetLink"/>
                  <w:rFonts w:ascii="Times New Roman" w:hAnsi="Times New Roman"/>
                  <w:b/>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item_6_exhibits">
              <w:r>
                <w:rPr>
                  <w:rStyle w:val="InternetLink"/>
                  <w:rFonts w:ascii="Times New Roman" w:hAnsi="Times New Roman"/>
                  <w:b/>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644"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b/>
          <w:color w:val="000000"/>
          <w:sz w:val="20"/>
        </w:rPr>
      </w:pPr>
      <w:bookmarkStart w:id="4" w:name="condensed_consolidated_statements_operat"/>
      <w:bookmarkEnd w:id="4"/>
      <w:r>
        <w:rPr>
          <w:rFonts w:ascii="Times New Roman" w:hAnsi="Times New Roman"/>
          <w:b/>
          <w:color w:val="000000"/>
          <w:sz w:val="20"/>
        </w:rPr>
        <w:t>CONDENSED 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except per share data)</w:t>
      </w:r>
    </w:p>
    <w:tbl>
      <w:tblPr>
        <w:tblW w:w="9852" w:type="dxa"/>
        <w:jc w:val="left"/>
        <w:tblInd w:w="0" w:type="dxa"/>
        <w:tblLayout w:type="fixed"/>
        <w:tblCellMar>
          <w:top w:w="28" w:type="dxa"/>
          <w:left w:w="28" w:type="dxa"/>
          <w:bottom w:w="28" w:type="dxa"/>
          <w:right w:w="28" w:type="dxa"/>
        </w:tblCellMar>
      </w:tblPr>
      <w:tblGrid>
        <w:gridCol w:w="3811"/>
        <w:gridCol w:w="146"/>
        <w:gridCol w:w="211"/>
        <w:gridCol w:w="931"/>
        <w:gridCol w:w="166"/>
        <w:gridCol w:w="146"/>
        <w:gridCol w:w="211"/>
        <w:gridCol w:w="931"/>
        <w:gridCol w:w="166"/>
        <w:gridCol w:w="146"/>
        <w:gridCol w:w="211"/>
        <w:gridCol w:w="931"/>
        <w:gridCol w:w="166"/>
        <w:gridCol w:w="146"/>
        <w:gridCol w:w="211"/>
        <w:gridCol w:w="931"/>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FFFFFF"/>
            </w:tcBorders>
            <w:shd w:fill="FFFFFF" w:val="clear"/>
            <w:tcMar>
              <w:top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7,907,104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7,344,685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7,919,531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7,357,766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4,156,989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947,518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2,582,299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related to debt amendments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 long-lived assets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2,412,658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7,521,277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7,030,422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bottom w:val="single" w:sz="4" w:space="0" w:color="FFFFFF"/>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basic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basic</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sz w:val="20"/>
        </w:rPr>
      </w:pPr>
      <w:bookmarkStart w:id="5" w:name="condensed_consolidated_statements_compre"/>
      <w:bookmarkEnd w:id="5"/>
      <w:r>
        <w:rPr>
          <w:rFonts w:ascii="Times New Roman" w:hAnsi="Times New Roman"/>
          <w:b/>
          <w:color w:val="000000"/>
          <w:sz w:val="20"/>
        </w:rPr>
        <w:t>CONDENSED 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(All amounts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06"/>
        <w:gridCol w:w="146"/>
        <w:gridCol w:w="219"/>
        <w:gridCol w:w="812"/>
        <w:gridCol w:w="166"/>
        <w:gridCol w:w="146"/>
        <w:gridCol w:w="219"/>
        <w:gridCol w:w="812"/>
        <w:gridCol w:w="166"/>
        <w:gridCol w:w="146"/>
        <w:gridCol w:w="219"/>
        <w:gridCol w:w="812"/>
        <w:gridCol w:w="166"/>
        <w:gridCol w:w="146"/>
        <w:gridCol w:w="219"/>
        <w:gridCol w:w="812"/>
        <w:gridCol w:w="593"/>
      </w:tblGrid>
      <w:tr>
        <w:trPr/>
        <w:tc>
          <w:tcPr>
            <w:tcW w:w="4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left w:val="single" w:sz="4" w:space="0" w:color="FFFFFF"/>
            </w:tcBorders>
            <w:shd w:fill="FFFFFF" w:val="clear"/>
            <w:tcMar>
              <w:top w:w="0" w:type="dxa"/>
              <w:bottom w:w="0" w:type="dxa"/>
              <w:right w:w="0" w:type="dxa"/>
            </w:tcMar>
            <w:vAlign w:val="center"/>
          </w:tcPr>
          <w:p>
            <w:pPr>
              <w:pStyle w:val="TableContents"/>
              <w:bidi w:val="0"/>
              <w:spacing w:before="0" w:after="283"/>
              <w:jc w:val="left"/>
              <w:rPr/>
            </w:pPr>
            <w:r>
              <w:rPr/>
              <w:t> </w:t>
            </w:r>
          </w:p>
        </w:tc>
        <w:tc>
          <w:tcPr>
            <w:tcW w:w="2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242,871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derivative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unrealized gain (loss) arising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14,593</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reclassification into earnings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247,298</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418"/>
        <w:gridCol w:w="146"/>
        <w:gridCol w:w="211"/>
        <w:gridCol w:w="991"/>
        <w:gridCol w:w="166"/>
        <w:gridCol w:w="146"/>
        <w:gridCol w:w="211"/>
        <w:gridCol w:w="991"/>
        <w:gridCol w:w="166"/>
        <w:gridCol w:w="146"/>
        <w:gridCol w:w="211"/>
        <w:gridCol w:w="991"/>
        <w:gridCol w:w="411"/>
      </w:tblGrid>
      <w:tr>
        <w:trPr/>
        <w:tc>
          <w:tcPr>
            <w:tcW w:w="54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857,800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1,440,695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2,690,420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2,109,025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3,264,632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9,596,718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8,770,413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8,442,860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 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2,301,443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1,542,712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3,124,116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authorized: 50,000,000 </w:t>
              <w:br/>
              <w:t>   shares;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Authorized: 500,000,000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Issued: 83,320,487 shares, 82,805,353 shares and 82,781,089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Outstanding: 62,927,006 shares, 63,284,385 shares, 63,481,004 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2,216,224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(2,334,640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1,146,487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9,596,718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8,770,413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8,442,860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(All amounts in thousands)</w:t>
      </w:r>
    </w:p>
    <w:tbl>
      <w:tblPr>
        <w:tblW w:w="8810" w:type="dxa"/>
        <w:jc w:val="left"/>
        <w:tblInd w:w="0" w:type="dxa"/>
        <w:tblLayout w:type="fixed"/>
        <w:tblCellMar>
          <w:top w:w="28" w:type="dxa"/>
          <w:left w:w="28" w:type="dxa"/>
          <w:bottom w:w="28" w:type="dxa"/>
          <w:right w:w="28" w:type="dxa"/>
        </w:tblCellMar>
      </w:tblPr>
      <w:tblGrid>
        <w:gridCol w:w="5671"/>
        <w:gridCol w:w="246"/>
        <w:gridCol w:w="214"/>
        <w:gridCol w:w="821"/>
        <w:gridCol w:w="166"/>
        <w:gridCol w:w="246"/>
        <w:gridCol w:w="214"/>
        <w:gridCol w:w="821"/>
        <w:gridCol w:w="411"/>
      </w:tblGrid>
      <w:tr>
        <w:trPr/>
        <w:tc>
          <w:tcPr>
            <w:tcW w:w="56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242,871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income to net cash provided by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256,094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Impairment charges—long-lived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Amortization of deferred financing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Accretion of long term debt instruments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extinguishment of debt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stock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69,296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Non-cash lease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received from landlord allowances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Merchandise inventories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(352,854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(40,445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163,738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long term assets and 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293,864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320,212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(842,195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(527,065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Lease acquisition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proceeds from sale of property and equipment and assets held for sale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(837,813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(535,886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long term debt—ABL Line of Credit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payments on long term debt—ABL Line of Credit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long term debt—Term Loan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605,843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payments on long term debt—Term Loan Facility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(299,472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 on long term debt— 2025 Convertible Notes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 of treasury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(194,200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stock option exercises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7,371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148,115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Decrease in cash and cash equivalents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(67,559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beginning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994,698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925,359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and cash equivalents at end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584,079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857,800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paid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61,939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payments -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137,484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Non-cash investing and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Finance lease modification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Accrued purchases of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93,266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November 1, 2025</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November 1, 2025, Burlington Stores, Inc., a Delaware corporation (collectively with its subsidiaries, the Company), through its indirect subsidiary Burlington Coat Factory Warehouse Corporation (BCFWC), operated 1,211 retail stores.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unaudited Condensed Consolidated Financial Statements include the accounts of Burlington Stores, Inc. and its subsidiaries. All inter-company accounts and transactions have been eliminated in consolidation. The Condensed Consolidated Financial Statements are unaudited, but in the opinion of management reflect all adjustments (which are of a normal and recurring nature) necessary for the fair presentation of the results of operations for the interim periods presented. Certain information and note disclosures normally included in financial statements prepared in accordance with accounting principles generally accepted in the United States of America (GAAP) have been condensed or omitted. These Condensed Consolidated Financial Statements should be read in conjunction with the audited Consolidated Financial Statements and notes thereto included in the Company’s Annual Report on Form 10-K for the fiscal year ended February 1, 2025 (Fiscal 2024 10-K). The balance sheet at February 1, 2025 presented herein has been derived from the audited Consolidated Financial Statements contained in the Fiscal 2024 10-K. Because the Company’s business is seasonal in nature, the operating results for the three and nine month periods ended November 1, 2025 are not necessarily indicative of results for the fiscal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Accounting policies followed by the Company are described in Note 1, “Summary of Significant Accounting Policies,” included in Part II, Item 8 of the Fiscal 2024 10-K.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Fiscal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defines its fiscal year as the 52 or 53-week period ending on the Saturday closest to January 31. Fiscal 2025 is defined as the 52-week year ending January 31, 2026, and Fiscal 2024 is defined as the 52-week year ended February 1, 2025. The first, second and third quarters of Fiscal 2025 and Fiscal 2024 each consist of 13 weeks.</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reports segment information in accordance with ASC Topic No. 280 “Segment Reporting,” and has one reportable segment. The Company derives all revenue in the United States and manages its business activities on a consolidated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an off-price retailer that derives revenues from customers by providing a complete line of value-priced apparel, including: women’s ready-to-wear apparel, menswear, youth apparel, baby, beauty, footwear, accessories, home, toys, gifts and coats. The Company’s chief operating decision maker (CODM) is the Chief Executive Officer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segment and decides how to allocate resources based on net income that also is reported on the Condensed Consolidated Statements of Income. The measure of segment assets is reported on the Condensed Consolidated Balance Sheets as total assets. Net income is used to monitor budget versus actual results, as well as actual results compared to the prior period. These comparisons are used in assessing performance of the segment and in establishing management’s allocation of resources. Below is an extract of certain disaggregated expense information that is regularly provided to the CODM.</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487" w:type="dxa"/>
        <w:jc w:val="left"/>
        <w:tblInd w:w="0" w:type="dxa"/>
        <w:tblLayout w:type="fixed"/>
        <w:tblCellMar>
          <w:top w:w="28" w:type="dxa"/>
          <w:left w:w="28" w:type="dxa"/>
          <w:bottom w:w="28" w:type="dxa"/>
          <w:right w:w="28" w:type="dxa"/>
        </w:tblCellMar>
      </w:tblPr>
      <w:tblGrid>
        <w:gridCol w:w="3426"/>
        <w:gridCol w:w="146"/>
        <w:gridCol w:w="211"/>
        <w:gridCol w:w="931"/>
        <w:gridCol w:w="166"/>
        <w:gridCol w:w="146"/>
        <w:gridCol w:w="211"/>
        <w:gridCol w:w="931"/>
        <w:gridCol w:w="166"/>
        <w:gridCol w:w="146"/>
        <w:gridCol w:w="211"/>
        <w:gridCol w:w="931"/>
        <w:gridCol w:w="166"/>
        <w:gridCol w:w="146"/>
        <w:gridCol w:w="211"/>
        <w:gridCol w:w="931"/>
        <w:gridCol w:w="41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7,357,766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4,156,989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sourcing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segment expenses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733,532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1,998,776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segment expenses category includes store related costs, store payroll costs, corporate costs, marketing &amp; strategy costs, and other store &amp; selling expenses.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new accounting standards that had a material impact on the Company’s Condensed Consolidated Financial Statements and notes thereto during the three and nine month periods ended November 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ASU 2023-09, "Income Taxes (Topics 740): Improvements to Income Tax Disclosures" (ASU 2023-09) to expand the disclosure requirements for income taxes, specifically related to the rate reconciliation and income taxes paid. ASU 2023-09 is effective for annual reporting periods beginning after December 15, 2024, with early adoption permitted and can be applied on either a prospective or retroactive basis. The Company is currently evaluating the impact of ASU 2023-09 on its disclosures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(ASU 2024-03), which requires disaggregated disclosure of income statement expenses for public business entities. ASU 2024-03 is effective for fiscal years beginning after December 15, 2026, and interim periods within fiscal years beginning after December 15, 2027, with early adoption permitted. The Company is currently evaluating the impact of ASU 2024-03 on its disclosures in the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(ASU 2025-06), which amends certain aspects of the accounting for and disclosure of software costs under ASC 350-40. ASU 2025-06 is effective for annual reporting periods beginning after December 15, 2027, and interim reporting periods within those annual reporting periods, with early adoption permitted. The Company is currently evaluating the impact of ASU 2025-06 on its disclosures in the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Stockholders’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Activity for the three and nine month periods ended November 1, 2025 and November 2, 2024 in the Company’s stockholders’ equity is summarized below: </w:t>
      </w:r>
    </w:p>
    <w:tbl>
      <w:tblPr>
        <w:tblW w:w="11711" w:type="dxa"/>
        <w:jc w:val="left"/>
        <w:tblInd w:w="0" w:type="dxa"/>
        <w:tblLayout w:type="fixed"/>
        <w:tblCellMar>
          <w:top w:w="28" w:type="dxa"/>
          <w:left w:w="28" w:type="dxa"/>
          <w:bottom w:w="28" w:type="dxa"/>
          <w:right w:w="28" w:type="dxa"/>
        </w:tblCellMar>
      </w:tblPr>
      <w:tblGrid>
        <w:gridCol w:w="1171"/>
        <w:gridCol w:w="146"/>
        <w:gridCol w:w="146"/>
        <w:gridCol w:w="916"/>
        <w:gridCol w:w="146"/>
        <w:gridCol w:w="146"/>
        <w:gridCol w:w="228"/>
        <w:gridCol w:w="403"/>
        <w:gridCol w:w="146"/>
        <w:gridCol w:w="146"/>
        <w:gridCol w:w="196"/>
        <w:gridCol w:w="826"/>
        <w:gridCol w:w="166"/>
        <w:gridCol w:w="146"/>
        <w:gridCol w:w="196"/>
        <w:gridCol w:w="826"/>
        <w:gridCol w:w="146"/>
        <w:gridCol w:w="146"/>
        <w:gridCol w:w="250"/>
        <w:gridCol w:w="846"/>
        <w:gridCol w:w="166"/>
        <w:gridCol w:w="146"/>
        <w:gridCol w:w="146"/>
        <w:gridCol w:w="976"/>
        <w:gridCol w:w="166"/>
        <w:gridCol w:w="146"/>
        <w:gridCol w:w="196"/>
        <w:gridCol w:w="886"/>
        <w:gridCol w:w="16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5"/>
              </w:rPr>
            </w:pPr>
            <w:r>
              <w:rPr>
                <w:rFonts w:ascii="Times New Roman" w:hAnsi="Times New Roman"/>
                <w:b/>
                <w:i/>
                <w:color w:val="000000"/>
                <w:sz w:val="15"/>
              </w:rPr>
              <w:t>(in thousands, except share data)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February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82,805,353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1,487,703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(19,520,968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1,370,496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used for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as part of convertible debt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purchased as part of publicly announced program, inclusive of $0.6</w:t>
            </w:r>
            <w:r>
              <w:rPr>
                <w:rFonts w:ascii="Times New Roman" w:hAnsi="Times New Roman"/>
                <w:color w:val="000000"/>
                <w:sz w:val="20"/>
              </w:rPr>
              <w:t> </w:t>
            </w:r>
            <w:r>
              <w:rPr>
                <w:rFonts w:ascii="Times New Roman" w:hAnsi="Times New Roman"/>
                <w:color w:val="000000"/>
                <w:sz w:val="16"/>
              </w:rPr>
              <w:t>million related to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Unrealized losses on interest rate derivative contracts, net of related taxes of $4.5</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Amount reclassified from accumulated other comprehensive income into earnings, net of related taxes of $1.1</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83,149,208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2,262,157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1,588,536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(20,062,548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(2,525,514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used for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purchased as part of publicly announced program, inclusive of $0.2</w:t>
            </w:r>
            <w:r>
              <w:rPr>
                <w:rFonts w:ascii="Times New Roman" w:hAnsi="Times New Roman"/>
                <w:color w:val="000000"/>
                <w:sz w:val="20"/>
              </w:rPr>
              <w:t> </w:t>
            </w:r>
            <w:r>
              <w:rPr>
                <w:rFonts w:ascii="Times New Roman" w:hAnsi="Times New Roman"/>
                <w:color w:val="000000"/>
                <w:sz w:val="16"/>
              </w:rPr>
              <w:t>million related to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Unrealized losses on interest rate derivative contracts, net of related taxes of $2.6</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Amount reclassified from accumulated other comprehensive income into earnings, net of related taxes of $1.1</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August 2,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83,205,672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2,300,269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(20,170,656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(2,553,026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1,446,817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used for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purchased as part of publicly announced program, inclusive of $0.5</w:t>
            </w:r>
            <w:r>
              <w:rPr>
                <w:rFonts w:ascii="Times New Roman" w:hAnsi="Times New Roman"/>
                <w:color w:val="000000"/>
                <w:sz w:val="20"/>
              </w:rPr>
              <w:t> </w:t>
            </w:r>
            <w:r>
              <w:rPr>
                <w:rFonts w:ascii="Times New Roman" w:hAnsi="Times New Roman"/>
                <w:color w:val="000000"/>
                <w:sz w:val="16"/>
              </w:rPr>
              <w:t>million related to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Unrealized gains on interest rate derivative contracts, net of related taxes of $0.1</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Amount reclassified from accumulated other comprehensive income into earnings, net of related taxes of $1.2</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November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83,320,487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2,342,978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1,787,471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(20,393,481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(2,616,798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1,527,509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1691" w:type="dxa"/>
        <w:jc w:val="left"/>
        <w:tblInd w:w="0" w:type="dxa"/>
        <w:tblLayout w:type="fixed"/>
        <w:tblCellMar>
          <w:top w:w="28" w:type="dxa"/>
          <w:left w:w="28" w:type="dxa"/>
          <w:bottom w:w="28" w:type="dxa"/>
          <w:right w:w="28" w:type="dxa"/>
        </w:tblCellMar>
      </w:tblPr>
      <w:tblGrid>
        <w:gridCol w:w="1171"/>
        <w:gridCol w:w="146"/>
        <w:gridCol w:w="146"/>
        <w:gridCol w:w="916"/>
        <w:gridCol w:w="146"/>
        <w:gridCol w:w="146"/>
        <w:gridCol w:w="228"/>
        <w:gridCol w:w="403"/>
        <w:gridCol w:w="146"/>
        <w:gridCol w:w="146"/>
        <w:gridCol w:w="196"/>
        <w:gridCol w:w="826"/>
        <w:gridCol w:w="146"/>
        <w:gridCol w:w="146"/>
        <w:gridCol w:w="196"/>
        <w:gridCol w:w="826"/>
        <w:gridCol w:w="146"/>
        <w:gridCol w:w="146"/>
        <w:gridCol w:w="269"/>
        <w:gridCol w:w="827"/>
        <w:gridCol w:w="166"/>
        <w:gridCol w:w="146"/>
        <w:gridCol w:w="146"/>
        <w:gridCol w:w="976"/>
        <w:gridCol w:w="166"/>
        <w:gridCol w:w="146"/>
        <w:gridCol w:w="196"/>
        <w:gridCol w:w="886"/>
        <w:gridCol w:w="166"/>
        <w:gridCol w:w="14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3"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5"/>
              </w:rPr>
            </w:pPr>
            <w:r>
              <w:rPr>
                <w:rFonts w:ascii="Times New Roman" w:hAnsi="Times New Roman"/>
                <w:b/>
                <w:i/>
                <w:color w:val="000000"/>
                <w:sz w:val="15"/>
              </w:rPr>
              <w:t>(in thousands, except share data)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February 3,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82,399,577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(18,435,206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(2,139,029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996,932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used for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purchased as part of publicly announced program, inclusive of $0.4</w:t>
            </w:r>
            <w:r>
              <w:rPr>
                <w:rFonts w:ascii="Times New Roman" w:hAnsi="Times New Roman"/>
                <w:color w:val="000000"/>
                <w:sz w:val="20"/>
              </w:rPr>
              <w:t> </w:t>
            </w:r>
            <w:r>
              <w:rPr>
                <w:rFonts w:ascii="Times New Roman" w:hAnsi="Times New Roman"/>
                <w:color w:val="000000"/>
                <w:sz w:val="16"/>
              </w:rPr>
              <w:t>million related to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Unrealized gains on interest rate derivative contracts, net of related taxes of $2.8</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Amount reclassified from accumulated other comprehensive income into earnings, net of related taxes of $1.2</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May 4,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82,636,872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2,145,935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1,062,578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7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(18,810,851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8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(2,215,020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1,031,426</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used for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purchased as part of publicly announced program, inclusive of $0.5</w:t>
            </w:r>
            <w:r>
              <w:rPr>
                <w:rFonts w:ascii="Times New Roman" w:hAnsi="Times New Roman"/>
                <w:color w:val="000000"/>
                <w:sz w:val="20"/>
              </w:rPr>
              <w:t> </w:t>
            </w:r>
            <w:r>
              <w:rPr>
                <w:rFonts w:ascii="Times New Roman" w:hAnsi="Times New Roman"/>
                <w:color w:val="000000"/>
                <w:sz w:val="16"/>
              </w:rPr>
              <w:t>million related to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Unrealized gains on interest rate derivative contracts, net of related taxes of $3.3</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Amount reclassified from accumulated other comprehensive income into earnings, net of related taxes of $1.2</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August 3,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82,746,507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(19,084,149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(2,277,657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1,070,337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used for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Shares purchased as part of publicly announced program, inclusive of $0.5</w:t>
            </w:r>
            <w:r>
              <w:rPr>
                <w:rFonts w:ascii="Times New Roman" w:hAnsi="Times New Roman"/>
                <w:color w:val="000000"/>
                <w:sz w:val="20"/>
              </w:rPr>
              <w:t> </w:t>
            </w:r>
            <w:r>
              <w:rPr>
                <w:rFonts w:ascii="Times New Roman" w:hAnsi="Times New Roman"/>
                <w:color w:val="000000"/>
                <w:sz w:val="16"/>
              </w:rPr>
              <w:t>million related to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Unrealized gains on interest rate derivative contracts, net of related taxes of $5.8</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Amount reclassified from accumulated other comprehensive income into earnings, net of related taxes of $1.3</w:t>
            </w:r>
            <w:r>
              <w:rPr>
                <w:rFonts w:ascii="Times New Roman" w:hAnsi="Times New Roman"/>
                <w:color w:val="000000"/>
                <w:sz w:val="20"/>
              </w:rPr>
              <w:t> </w:t>
            </w:r>
            <w:r>
              <w:rPr>
                <w:rFonts w:ascii="Times New Roman" w:hAnsi="Times New Roman"/>
                <w:color w:val="000000"/>
                <w:sz w:val="16"/>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November 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82,781,089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2,216,224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(19,300,085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(2,334,640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1,146,487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Lease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leases primarily consist of stores, distribution facilities and office space under operating and finance leases that will expire principally during the next 30 years. The leases typically include renewal options at five-year intervals and escalation clauses. Lease renewals are only included in the lease liability to the extent that they are reasonably assured of being exercised. The Company’s leases typically provide for contingent rentals based on a percentage of gross sales. Contingent rentals are not included in the lease liability, and they are recognized as variable lease cost when incurred.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schedule of the Company’s future lease payments:</w:t>
      </w:r>
    </w:p>
    <w:tbl>
      <w:tblPr>
        <w:tblW w:w="6869" w:type="dxa"/>
        <w:jc w:val="left"/>
        <w:tblInd w:w="0" w:type="dxa"/>
        <w:tblLayout w:type="fixed"/>
        <w:tblCellMar>
          <w:top w:w="28" w:type="dxa"/>
          <w:left w:w="28" w:type="dxa"/>
          <w:bottom w:w="28" w:type="dxa"/>
          <w:right w:w="28" w:type="dxa"/>
        </w:tblCellMar>
      </w:tblPr>
      <w:tblGrid>
        <w:gridCol w:w="3901"/>
        <w:gridCol w:w="146"/>
        <w:gridCol w:w="211"/>
        <w:gridCol w:w="991"/>
        <w:gridCol w:w="271"/>
        <w:gridCol w:w="146"/>
        <w:gridCol w:w="211"/>
        <w:gridCol w:w="676"/>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700,539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660,332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2,272,388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5,045,054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(1,135,723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3,909,331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 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3,504,001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above schedule excludes approximately $382.4 million for 69 stores the Company has committed to open or relocate but has not yet taken possession of the space. The discount rates used in valuing the Company’s leases are not readily determinable, and are based on the Company’s incremental borrowing rate on a fully collateralized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is a schedule of net lease costs for the periods indicated:</w:t>
      </w:r>
    </w:p>
    <w:tbl>
      <w:tblPr>
        <w:tblW w:w="10205" w:type="dxa"/>
        <w:jc w:val="left"/>
        <w:tblInd w:w="0" w:type="dxa"/>
        <w:tblLayout w:type="fixed"/>
        <w:tblCellMar>
          <w:top w:w="28" w:type="dxa"/>
          <w:left w:w="28" w:type="dxa"/>
          <w:bottom w:w="28" w:type="dxa"/>
          <w:right w:w="28" w:type="dxa"/>
        </w:tblCellMar>
      </w:tblPr>
      <w:tblGrid>
        <w:gridCol w:w="3548"/>
        <w:gridCol w:w="146"/>
        <w:gridCol w:w="274"/>
        <w:gridCol w:w="1016"/>
        <w:gridCol w:w="166"/>
        <w:gridCol w:w="146"/>
        <w:gridCol w:w="274"/>
        <w:gridCol w:w="1016"/>
        <w:gridCol w:w="166"/>
        <w:gridCol w:w="146"/>
        <w:gridCol w:w="274"/>
        <w:gridCol w:w="1016"/>
        <w:gridCol w:w="166"/>
        <w:gridCol w:w="146"/>
        <w:gridCol w:w="274"/>
        <w:gridCol w:w="1016"/>
        <w:gridCol w:w="415"/>
      </w:tblGrid>
      <w:tr>
        <w:trPr/>
        <w:tc>
          <w:tcPr>
            <w:tcW w:w="3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5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 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finance lease asset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466,239</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186,204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655,546</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impairment on sale and leaseback transaction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8,210</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 rental income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rent expense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659,782</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Included in the line item “Depreciation and amortization” in the Company’s Condensed Consolidated Statements of Income.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sz w:val="24"/>
        </w:rPr>
      </w:pPr>
      <w:r>
        <w:rPr>
          <w:rFonts w:ascii="Times New Roman" w:hAnsi="Times New Roman"/>
          <w:color w:val="000000"/>
          <w:sz w:val="20"/>
        </w:rPr>
        <w:t>Included in the line item “Interest expense” in the Company’s Condensed Consolidated Statements of Income.</w:t>
      </w:r>
      <w:r>
        <w:rPr>
          <w:rFonts w:ascii="Times New Roman" w:hAnsi="Times New Roman"/>
          <w:color w:val="000000"/>
          <w:sz w:val="24"/>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Included in the line item “Selling, general and administrative expenses” in the Company’s Condensed Consolidated Statements of Income. Variable lease cost is primarily comprised of real estate taxes, common area maintenance, insurance and percentage rent.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Gain included in line item “Other income - net” and impairment included in the line item "Impairment charges - long-lived assets" in the Company’s Condensed Consolidated Statements of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sz w:val="24"/>
        </w:rPr>
      </w:pPr>
      <w:r>
        <w:rPr>
          <w:rFonts w:ascii="Times New Roman" w:hAnsi="Times New Roman"/>
          <w:color w:val="000000"/>
          <w:sz w:val="20"/>
        </w:rPr>
        <w:t>Included in the line item “Other revenue” in the Company’s Condensed Consolidated Statements of Income.</w:t>
      </w:r>
      <w:r>
        <w:rPr>
          <w:rFonts w:ascii="Times New Roman" w:hAnsi="Times New Roman"/>
          <w:color w:val="000000"/>
          <w:sz w:val="24"/>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Excludes an immaterial amount of short-term lease cost.</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Supplemental cash flow disclosures related to leases are as follows:</w:t>
      </w:r>
    </w:p>
    <w:tbl>
      <w:tblPr>
        <w:tblW w:w="9655" w:type="dxa"/>
        <w:jc w:val="left"/>
        <w:tblInd w:w="0" w:type="dxa"/>
        <w:tblLayout w:type="fixed"/>
        <w:tblCellMar>
          <w:top w:w="28" w:type="dxa"/>
          <w:left w:w="28" w:type="dxa"/>
          <w:bottom w:w="28" w:type="dxa"/>
          <w:right w:w="28" w:type="dxa"/>
        </w:tblCellMar>
      </w:tblPr>
      <w:tblGrid>
        <w:gridCol w:w="5946"/>
        <w:gridCol w:w="146"/>
        <w:gridCol w:w="306"/>
        <w:gridCol w:w="1134"/>
        <w:gridCol w:w="146"/>
        <w:gridCol w:w="146"/>
        <w:gridCol w:w="306"/>
        <w:gridCol w:w="1134"/>
        <w:gridCol w:w="391"/>
      </w:tblGrid>
      <w:tr>
        <w:trPr/>
        <w:tc>
          <w:tcPr>
            <w:tcW w:w="5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 arising from operating lease liabilities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471,192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 for the principal portion of finance lease liabilities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payments for the interest portion of finance lease liabilities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Included within operating activities in the Company’s Condensed Consolidated Statements of Cash Flows.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Included within financing activities in the Company’s Condensed Consolidated Statements of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Long 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 term debt consists of:</w:t>
      </w:r>
    </w:p>
    <w:tbl>
      <w:tblPr>
        <w:tblW w:w="10205" w:type="dxa"/>
        <w:jc w:val="left"/>
        <w:tblInd w:w="0" w:type="dxa"/>
        <w:tblLayout w:type="fixed"/>
        <w:tblCellMar>
          <w:top w:w="28" w:type="dxa"/>
          <w:left w:w="28" w:type="dxa"/>
          <w:bottom w:w="28" w:type="dxa"/>
          <w:right w:w="28" w:type="dxa"/>
        </w:tblCellMar>
      </w:tblPr>
      <w:tblGrid>
        <w:gridCol w:w="5798"/>
        <w:gridCol w:w="146"/>
        <w:gridCol w:w="211"/>
        <w:gridCol w:w="931"/>
        <w:gridCol w:w="166"/>
        <w:gridCol w:w="146"/>
        <w:gridCol w:w="211"/>
        <w:gridCol w:w="931"/>
        <w:gridCol w:w="166"/>
        <w:gridCol w:w="146"/>
        <w:gridCol w:w="211"/>
        <w:gridCol w:w="931"/>
        <w:gridCol w:w="211"/>
      </w:tblGrid>
      <w:tr>
        <w:trPr/>
        <w:tc>
          <w:tcPr>
            <w:tcW w:w="5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facility, adjusted SOFR (with a floor of 0.00%) plus 1.75%, matures on September 24,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1,241,737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2.25%, matured on April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1.25%, matures on December 15,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senior secured revolving facility, SOFR plus spread based on average outstanding balance, matures on July 25,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 net of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1,542,712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Term Loan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Credit Agreement (as amended, supplemented and otherwise modified, the Term Loan Facility) that provides for term loans in an aggregate principal amount as of November 1, 2025 of $1,735.0 million maturing on September 24,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24, 2024, the Company entered into an amendment to the Term Loan Facility, which among other things, (i) refinanced the outstanding $933.0 million principal amount of Term B-6 Loans with Term B-7 Loans in an aggregate principal amount of $1,250.0 million, which includes incremental term loans in an aggregate principal amount of $317.0 million, (ii) extended the maturity date from June 24, 2028 to September 24, 2031, and (iii) reduced the interest rate margins applicable to the Company’s term loan facility from 1.00% to 0.75%, in the case of prime rate loans, and from 2.00% to 1.75%, in the case of SOFR loans, with a 0.00% SOFR floor, and removed the SOFR adjustment. The Term B-7 Loans were issued with an original issue discount of 99.5.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11, 2025, the Company entered into an amendment to the Term Loan Facility, which among other things, incurred $500.0 million of incremental term loans under the Term Loan Credit Agreement as additional Term B-7 Loans. The incremental term loans were issued with an original issue discount of 99.0 and are otherwise on terms identical to the existing Term B-7 Loans and are fungible with the existing Term B-7 Loans.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 Facility is collateralized by a first lien on BCFWC’s and each guarantor’s equity interests, equipment, intellectual property, and certain favorable leases and real estate, and certain related assets and proceeds thereof (subject to certain exceptions), and a second lien on BCFWC’s and each guarantor’s other assets and proceeds thereof (subject to certain exceptions).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November 1, 2025 and November 2, 2024, the interest rate related to the Term Loan Facility was 5.7% and 6.4%, respectively.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2025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16, 2020, the Company issued its 2025 Convertible Notes, which matured on April 15, 2025. The 2025 Convertible Notes were general unsecured obligations of the Company and bore interest at a rate of 2.25% per year, payable semi-annually in cash, in arrears, on April 15 and October 15 of each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maturity, holders of the 2025 Convertible Notes submitted conversion notices with respect to approximately $155.5 million aggregate principal amount of the 2025 Convertible Notes. On the conversion settlement date, the Company paid to the converting holders the aggregate principal amount of 2025 Convertible Notes subject to conversion, and issued and delivered to such holders 57,149 shares of common stock, in respect of the remainder of its conversion obligation in excess of such aggregate principal amount. At maturity, the Company paid in cash the principal balance and related accrued and unpaid interest on the 2025 Convertible Notes not previously converted. There was no resulting debt extinguishment charge from this transaction.</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12, 2023, the Company closed the issuance of approximately $297.1 million aggregate principal amount of its 1.25% Convertible Senior Notes due 2027 (2027 Convertible Notes) pursuant to separate, privately negotiated exchange and subscription agreements with a limited number of holders of its 2025 Convertible Notes and certain investors, in each case pursuant to exemptions from registration under the Securities Act of 1933. An aggregate of up to 1,422,568 shares of common stock may be issued upon conversion of the 2027 Convertible Notes, which number is subject to adjustment up to an aggregate of 1,911,372 shares following certain corporate events that occur prior to the maturity date or if the Company issues a notice of redemption, and which is also subject to certain anti-dilution adjustments.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2027 Convertible Notes bear interest at a rate of 1.25% per year, payable semi-annually in arrears on June 15 and December 15 of each year. The 2027 Convertible Notes will mature on December 15, 2027, unless earlier converted, redeemed or repurchased.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close of business on the business day immediately preceding September 15, 2027, the 2027 Convertible Notes will be convertible at the option of the holders only upon the occurrence of certain events and during certain periods. Thereafter, the 2027 Convertible Notes will be convertible at the option of the holders at any time until the close of business on the second scheduled trading day immediately preceding the maturity date. The 2027 Convertible Notes have an initial conversion rate of 4.8560 shares per $1,000 principal amount of 2027 Convertible Notes (equivalent to an initial conversion price of approximately $205.93 per share of the Company’s common stock), subject to adjustment if certain events occur. The initial conversion price represents a conversion premium of approximately 32.50% over $155.42 per share, the last reported sale price of the Company’s common stock on September 7, 2023 on The New York Stock Exchange. Upon conversion, the Company will pay cash for the aggregate principal amount of 2027 Convertible Notes being converted, and pay (and deliver, if applicable) cash, shares of the Company’s common stock or a combination thereof, at its election, in respect of the remainder (if any) of the Company’s conversion obligation in excess of such aggregate principal amount. The Company will not be able to redeem the 2027 Convertible Notes prior to December 20, 2025. On or after December 20, 2025 and prior to the 21st scheduled trading day immediately preceding December 15, 2027, the Company will be able to redeem for cash all or any portion of the 2027 Convertible Notes, at its option, if the last reported sale price of the Company’s common stock is equal to or greater than 130% of the conversion price for a specified period of time, at a redemption price equal to 100% of the aggregate principal amount of the 2027 Convertible Notes to be redeemed, plus accrued and unpaid interest, if any, to, but excluding, the redemption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subject to certain conditions, holders of the 2027 Convertible Notes may require the Company to repurchase for cash all or any portion of their 2027 New Convertible Notes. The fundamental change repurchase price will be 100% of the aggregate principal amount of the 2027 Convertible Notes to be repurchased plus any accrued and unpaid interest to, but excluding, the fundamental change repurchase date. The effective interest rate is 1.7%.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ABL Line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Second Amended and Restated Credit Agreement (as amended, supplemented and otherwise modified, the ABL Line of Credit) that provides for $1,000.0 million of revolving commitments (subject to a borrowing base limitation) maturing on July 25, 2030, and, subject to the satisfaction of certain conditions, BCFWC can increase the aggregate amount of commitments up to an amount not to exceed the sum of (i) the greater of (x) $300.0 million and (y) the amount by which the Borrowing Base exceeds the aggregate Commitments, plus (iii) the amount of all permanent reductions in commitments after July 25, 2025. The interest rate margin applicable under the ABL Line of Credit is 1.125% to 1.375% in the case of a daily SOFR rate or a term SOFR rate, and 0.125% to 0.375% in the case of a prime rate, depending on the average daily availability of the lesser of (a) the total commitments or (b) the borrowing base. The ABL Line of Credit is collateralized by a first priority lien on BCFWC’s and each guarantor's inventory, receivables, bank accounts, and certain related assets and proceeds thereof (subject to certain exceptions), and a second priority lien on BCFWC’s and each guarantor's other assets and proceeds thereof (other than real estate and subject to certain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25, 2025, the Company entered into an amendment to the ABL Line of Credit in order to, among other things, (i) increase the aggregate principal amount of the commitments from $900.0 million to $1,000.0 million and (ii) extend the maturity date of the commitments and loans from December 22, 2026 to July 25,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November 1, 2025, the Company had $947.9 million available under the ABL Line of Credit. Average borrowings during the nine month period ended November 1, 2025 amounted to $26.9 million at an average interest rate of 5.5%. There were no borrowings under the ABL Line of Credit during three month period ended November 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November 2, 2024, the Company had $847.5 million available under the ABL Line of Credit. There were no borrowings under the ABL Line of Credit during the three and nine month periods ended November 2, 2024.</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Derivative Instruments and Hedging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derivatives and hedging activities in accordance with ASC 815, “Derivatives and Hedging” (ASC 815). As required by ASC 815, the Company records all derivatives on the balance sheet at fair value and adjusts to market on a quarterly basis. In addition, to comply with the provisions of ASC 820, “Fair Value Measurements” (ASC 820), credit valuation adjustments, which consider the 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 In accordance with ASC 820, the Company made an accounting policy election to measure the credit risk of its derivative financial instruments that are subject to master netting agreements on a net basis by counterparty portfolio. The Company classifies its derivative valuations in Level 2 of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2024, the Company terminated the previous $450.0 million interest rate swap, and entered into a new interest rate swap in the notional amount of $500.0 million with a blended interest rate of 2.83%. On this same date, the Company also entered into a new interest rate swap for $300.0 million with an interest rate of 3.37%. These interest rate swap agreements are designated as cash flow hedges.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12, 2025, the Company entered into an interest rate swap agreement with a notional amount of $200.0 million and a fixed interest rate of 3.76%. On the same date, the Company also entered into an interest rate swap agreement with a notional amount of $100.0 million and a fixed interest rate of 3.73%. These interest rate swap agreements are designated as cash flow hedges.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 Hedges of 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November 1, 2025, the Company had the following outstanding interest rate derivatives that were designated as cash flow hedges of interest rate risk:</w:t>
      </w:r>
    </w:p>
    <w:p>
      <w:pPr>
        <w:pStyle w:val="TextBody"/>
        <w:bidi w:val="0"/>
        <w:spacing w:before="120" w:after="283"/>
        <w:jc w:val="left"/>
        <w:rPr/>
      </w:pPr>
      <w:r>
        <w:rPr/>
        <w:t> </w:t>
      </w:r>
    </w:p>
    <w:tbl>
      <w:tblPr>
        <w:tblW w:w="8689" w:type="dxa"/>
        <w:jc w:val="left"/>
        <w:tblInd w:w="0" w:type="dxa"/>
        <w:tblLayout w:type="fixed"/>
        <w:tblCellMar>
          <w:top w:w="28" w:type="dxa"/>
          <w:left w:w="28" w:type="dxa"/>
          <w:bottom w:w="28" w:type="dxa"/>
          <w:right w:w="28" w:type="dxa"/>
        </w:tblCellMar>
      </w:tblPr>
      <w:tblGrid>
        <w:gridCol w:w="2296"/>
        <w:gridCol w:w="146"/>
        <w:gridCol w:w="961"/>
        <w:gridCol w:w="146"/>
        <w:gridCol w:w="1591"/>
        <w:gridCol w:w="146"/>
        <w:gridCol w:w="1486"/>
        <w:gridCol w:w="146"/>
        <w:gridCol w:w="177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 Rate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Notional Aggregate</w:t>
            </w:r>
            <w:r>
              <w:rPr>
                <w:rFonts w:ascii="Times New Roman" w:hAnsi="Times New Roman"/>
                <w:color w:val="000000"/>
                <w:sz w:val="16"/>
              </w:rPr>
              <w:t xml:space="preserve"> </w:t>
            </w:r>
            <w:r>
              <w:rPr>
                <w:rFonts w:ascii="sans-serif" w:hAnsi="sans-serif"/>
                <w:b/>
                <w:color w:val="000000"/>
                <w:sz w:val="16"/>
              </w:rPr>
              <w:br/>
            </w: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Swap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2.83% - 3.76%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24, 2031</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Tabular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presents the fair value of the Company’s derivative financial instruments on a gross basis as well as their classification on the Company’s 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91"/>
        <w:gridCol w:w="146"/>
        <w:gridCol w:w="1197"/>
        <w:gridCol w:w="146"/>
        <w:gridCol w:w="211"/>
        <w:gridCol w:w="676"/>
        <w:gridCol w:w="146"/>
        <w:gridCol w:w="146"/>
        <w:gridCol w:w="1197"/>
        <w:gridCol w:w="146"/>
        <w:gridCol w:w="211"/>
        <w:gridCol w:w="676"/>
        <w:gridCol w:w="146"/>
        <w:gridCol w:w="146"/>
        <w:gridCol w:w="1197"/>
        <w:gridCol w:w="146"/>
        <w:gridCol w:w="211"/>
        <w:gridCol w:w="676"/>
        <w:gridCol w:w="194"/>
      </w:tblGrid>
      <w:tr>
        <w:trPr/>
        <w:tc>
          <w:tcPr>
            <w:tcW w:w="2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Values of Derivative Instruments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liabilities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liabilities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liabilities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the unrealized gains and losses deferred to accumulated other comprehensive income resulting from the Company’s derivative financial instruments for each of the reporting periods.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73"/>
        <w:gridCol w:w="146"/>
        <w:gridCol w:w="477"/>
        <w:gridCol w:w="957"/>
        <w:gridCol w:w="166"/>
        <w:gridCol w:w="146"/>
        <w:gridCol w:w="340"/>
        <w:gridCol w:w="1093"/>
        <w:gridCol w:w="166"/>
        <w:gridCol w:w="146"/>
        <w:gridCol w:w="319"/>
        <w:gridCol w:w="1115"/>
        <w:gridCol w:w="166"/>
        <w:gridCol w:w="146"/>
        <w:gridCol w:w="340"/>
        <w:gridCol w:w="1093"/>
        <w:gridCol w:w="216"/>
      </w:tblGrid>
      <w:tr>
        <w:trPr/>
        <w:tc>
          <w:tcPr>
            <w:tcW w:w="3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 Rate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 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(5,338</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(losses),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14,593</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about the reclassification of gains and losses from accumulated other comprehensive income into earnings related to the Company’s derivative instruments for each of the reporting periods.</w:t>
      </w:r>
    </w:p>
    <w:p>
      <w:pPr>
        <w:pStyle w:val="TextBody"/>
        <w:bidi w:val="0"/>
        <w:jc w:val="left"/>
        <w:rPr/>
      </w:pPr>
      <w:r>
        <w:rPr/>
        <w:t> </w:t>
      </w:r>
    </w:p>
    <w:tbl>
      <w:tblPr>
        <w:tblW w:w="9844" w:type="dxa"/>
        <w:jc w:val="left"/>
        <w:tblInd w:w="0" w:type="dxa"/>
        <w:tblLayout w:type="fixed"/>
        <w:tblCellMar>
          <w:top w:w="28" w:type="dxa"/>
          <w:left w:w="28" w:type="dxa"/>
          <w:bottom w:w="28" w:type="dxa"/>
          <w:right w:w="28" w:type="dxa"/>
        </w:tblCellMar>
      </w:tblPr>
      <w:tblGrid>
        <w:gridCol w:w="2791"/>
        <w:gridCol w:w="146"/>
        <w:gridCol w:w="360"/>
        <w:gridCol w:w="1080"/>
        <w:gridCol w:w="166"/>
        <w:gridCol w:w="146"/>
        <w:gridCol w:w="360"/>
        <w:gridCol w:w="1080"/>
        <w:gridCol w:w="166"/>
        <w:gridCol w:w="146"/>
        <w:gridCol w:w="321"/>
        <w:gridCol w:w="1119"/>
        <w:gridCol w:w="166"/>
        <w:gridCol w:w="146"/>
        <w:gridCol w:w="321"/>
        <w:gridCol w:w="1119"/>
        <w:gridCol w:w="21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Component of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reclassification into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estimates that approximately $9.5 million will be reclassified from accumulated other comprehensive income as a reduction to interest expense during the next twelve months.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fair value measurements in accordance with ASC 820, which defines fair value, establishes a framework for measurement and expands disclosure about fair value measurements. ASC 820 defines fair value as the price that would be received to sell an asset or paid to transfer a liability in an orderly transaction between market participants at the measurement date (exit price), and classifies the inputs used to measure fair value into the following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Quoted prices for identical assets or liabilities in active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Pricing inputs that are unobservable for the assets and liabilities and include situations where there is little, if any, market activity for the assets and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inputs into the determination of fair value require significant management judgment or estimation.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amounts of cash equivalents, accounts receivable and accounts payable approximate fair value due to the short-term nature of these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5, “Derivative Instruments and Hedging Activities,” for further discussion regarding the fair value of the Company’s interest rate swap contracts.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Financial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values of the Company’s financial assets and the hierarchy of the level of inputs as of November 1, 2025, February 1, 2025 and November 2, 2024 are summarized below: </w:t>
      </w:r>
    </w:p>
    <w:tbl>
      <w:tblPr>
        <w:tblW w:w="5899" w:type="dxa"/>
        <w:jc w:val="left"/>
        <w:tblInd w:w="0" w:type="dxa"/>
        <w:tblLayout w:type="fixed"/>
        <w:tblCellMar>
          <w:top w:w="28" w:type="dxa"/>
          <w:left w:w="28" w:type="dxa"/>
          <w:bottom w:w="28" w:type="dxa"/>
          <w:right w:w="28" w:type="dxa"/>
        </w:tblCellMar>
      </w:tblPr>
      <w:tblGrid>
        <w:gridCol w:w="1716"/>
        <w:gridCol w:w="146"/>
        <w:gridCol w:w="220"/>
        <w:gridCol w:w="815"/>
        <w:gridCol w:w="146"/>
        <w:gridCol w:w="146"/>
        <w:gridCol w:w="211"/>
        <w:gridCol w:w="781"/>
        <w:gridCol w:w="146"/>
        <w:gridCol w:w="146"/>
        <w:gridCol w:w="220"/>
        <w:gridCol w:w="815"/>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481,491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Long-lived assets are measured at fair value on a non-recurring basis for purposes of calculating impairment using the fair value hierarchy of ASC 820. The fair value of the Company’s long-lived assets is calculated using a discounted cash-flow model that used level 3 inputs. In calculating future cash flows, the Company makes estimates regarding future operating results and market rent rates, based on its experience and knowledge of market factors in which the retail location is located.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on long-lived assets were $3.8 million during the third quarter of Fiscal 2025, primarily related to one owned store that is expected to sell below net carrying value. Impairment charges on long-lived assets were $3.0 million during the third quarter of Fiscal 2024, related to stores that relocated and closed before the end of the respective lease-end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on long-lived assets were $5.9 million during the nine month period ended November 1, 2025, primarily related to two owned stores that are expected to sell below net carrying value as well as stores with unrecoverable assets. Impairment charges on long-lived assets were $11.3 million during the nine month period ended November 2, 2024, primarily related to a sale-leaseback transaction at one owned store sold below net carrying value and stores relocated and closed before the end of the respective lease-end dates. During the nine month period ended November 1, 2025 and the nine month period ended November 2, 2024, the assets impaired had a remaining carrying value after impairments of $31.3 million and $61.0 million, respectively.</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Financial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values of the Company’s financial liabilities are summarized below:</w:t>
      </w:r>
    </w:p>
    <w:tbl>
      <w:tblPr>
        <w:tblW w:w="10205" w:type="dxa"/>
        <w:jc w:val="left"/>
        <w:tblInd w:w="0" w:type="dxa"/>
        <w:tblLayout w:type="fixed"/>
        <w:tblCellMar>
          <w:top w:w="28" w:type="dxa"/>
          <w:left w:w="28" w:type="dxa"/>
          <w:bottom w:w="28" w:type="dxa"/>
          <w:right w:w="28" w:type="dxa"/>
        </w:tblCellMar>
      </w:tblPr>
      <w:tblGrid>
        <w:gridCol w:w="1556"/>
        <w:gridCol w:w="146"/>
        <w:gridCol w:w="211"/>
        <w:gridCol w:w="931"/>
        <w:gridCol w:w="146"/>
        <w:gridCol w:w="146"/>
        <w:gridCol w:w="211"/>
        <w:gridCol w:w="931"/>
        <w:gridCol w:w="146"/>
        <w:gridCol w:w="146"/>
        <w:gridCol w:w="211"/>
        <w:gridCol w:w="931"/>
        <w:gridCol w:w="146"/>
        <w:gridCol w:w="146"/>
        <w:gridCol w:w="211"/>
        <w:gridCol w:w="931"/>
        <w:gridCol w:w="146"/>
        <w:gridCol w:w="146"/>
        <w:gridCol w:w="211"/>
        <w:gridCol w:w="931"/>
        <w:gridCol w:w="146"/>
        <w:gridCol w:w="146"/>
        <w:gridCol w:w="211"/>
        <w:gridCol w:w="931"/>
        <w:gridCol w:w="191"/>
      </w:tblGrid>
      <w:tr>
        <w:trPr/>
        <w:tc>
          <w:tcPr>
            <w:tcW w:w="1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1,249,219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Line of Credit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2,032,056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2,158,309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1,826,996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the Company has any outstanding borrowings under the ABL Line of Credit, the fair value would approximate its reported value, because the interest rate is variable and reflects current market rates, due to its short term 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above excludes finance lease obligations, debt discount and deferred debt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presented herein are based on pertinent information available to management as of the respective period end dates. The estimated fair values of the Company’s debt are classified as Level 2 in the fair value hierarchy, and are based on current market quotes received from inactive markets.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$33.3 million during the third quarter of Fiscal 2025 compared with $27.4 million during the third quarter of Fiscal 2024. The effective tax rate for the third quarter of Fiscal 2025 was 24.1% compared with 23.2% during the third quarter of Fiscal 2024. The increase in income tax expense is due to higher pre-tax income. The lower tax rate in the prior period was primarily attributable to a favorable adjustment related to adopting the foreign tax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$98.5 million during the nine month period ended November 1, 2025 compared with $84.5 million during the nine month period ended November 2, 2024. The effective tax rate for the nine month period ended November 1, 2025 was 24.7% compared with 25.8% during the nine month period ended November 2, 2024. The increase in income tax expense is due to higher pre-tax income. The lower effective tax rate is primarily driven by the tax benefit from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the One Big Beautiful Bill Act (“OBBBA”) was enacted, extending certain provisions of the 2017 Tax Cuts and Jobs Act, including federal bonus depreciation and deductions related to domestic research and development expenditures. OBBBA had no material impact on the Company's Condensed Consolidated Statements of Income for the three and nine-month periods ended November 1, 2025. The act resulted in a reclassification of certain tax liabilities from current to deferred liabilities on the Company's Condensed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deferred taxes are as follows:</w:t>
      </w:r>
    </w:p>
    <w:tbl>
      <w:tblPr>
        <w:tblW w:w="6099" w:type="dxa"/>
        <w:jc w:val="left"/>
        <w:tblInd w:w="0" w:type="dxa"/>
        <w:tblLayout w:type="fixed"/>
        <w:tblCellMar>
          <w:top w:w="28" w:type="dxa"/>
          <w:left w:w="28" w:type="dxa"/>
          <w:bottom w:w="28" w:type="dxa"/>
          <w:right w:w="28" w:type="dxa"/>
        </w:tblCellMar>
      </w:tblPr>
      <w:tblGrid>
        <w:gridCol w:w="2116"/>
        <w:gridCol w:w="146"/>
        <w:gridCol w:w="220"/>
        <w:gridCol w:w="815"/>
        <w:gridCol w:w="146"/>
        <w:gridCol w:w="146"/>
        <w:gridCol w:w="211"/>
        <w:gridCol w:w="781"/>
        <w:gridCol w:w="146"/>
        <w:gridCol w:w="146"/>
        <w:gridCol w:w="220"/>
        <w:gridCol w:w="815"/>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deferred tax assets relate to Puerto Rico deferred balances that have a future net benefit for tax purposes. Net deferred tax liabilities primarily relate to intangible assets and depreciation expense where the Company has a future obligation for tax purposes.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November 1, 2025, the Company had a deferred tax asset related to net operating losses of $4.3 million, inclusive of $3.9 million related to state net operating losses that expire at various dates between 2026 and 2040, as well as $0.4 million related to Puerto Rico net operating losses set to expire by the end of Fiscal 2025 if not utilized.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November 1, 2025, the Company has tax credit carry-forwards totaling $8.6 million, inclusive of $7.4 million in foreign tax credits which will begin to expire in Fiscal 2033 and $1.2 million of state tax credit carry-forwards which will begin to expire at the end of Fiscal 2025 if not utilized.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November 1, 2025, February 1, 2025 and November 2, 2024, valuation allowances totaled $9.2 million, $8.9 million and $7.2 million, respectively. These allowances relate to state and Puerto Rico net operating losses, as well as state and foreign tax credit carry-forwards. The Company believes it is more likely than not that this portion of the deferred tax assets will not be realized.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Capital Stock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treasury stock under the cost method.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Shares Used to Satisfy Tax Withholding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 period ended November 1, 2025, the Company acquired 110,782 shares of common stock from employees for approximately $26.2 million to satisfy their minimum statutory tax withholdings related to the vesting of restricted stock unit awards, which was recorded in the line item “Treasury stock, at cost” on the Company’s Condensed Consolidated Balance Sheets, and the line item “Purchase of treasury shares” on the Company’s Condensed Consolidated Statements of Cash Flows.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the Company's Board of Directors authorized the repurchase of up to $500.0 million of common stock, which expired on August 15,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2025, the Company's Board of Directors authorized the repurchase of up to an additional $500.0 million of common stock, which is authorized to be executed through May 20, 2027.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 period ended November 1, 2025, the Company repurchased 761,731 shares of common stock for $192.0 million under its repurchase programs, which was recorded in the line item “Treasury stock, at cost” on the Company’s Condensed Consolidated Balance Sheets, and the line item “Purchase of treasury shares” on the Company’s Condensed Consolidated Statements of Cash Flows. As of November 1, 2025, the Company had $444.5 million remaining under its share repurchase authorizations.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per share is calculated by dividing net income by the weighted-average number of common shares outstanding. Diluted net income per share is calculated by dividing net income by the weighted-average number of common shares and potentially dilutive securities outstanding during the period using the treasury stock method for the Company’s stock option and restricted stock unit awards, and the if-converted method for the Convertible Notes. The following table presents the computation of basic and diluted net income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08"/>
        <w:gridCol w:w="146"/>
        <w:gridCol w:w="218"/>
        <w:gridCol w:w="808"/>
        <w:gridCol w:w="146"/>
        <w:gridCol w:w="146"/>
        <w:gridCol w:w="238"/>
        <w:gridCol w:w="766"/>
        <w:gridCol w:w="146"/>
        <w:gridCol w:w="146"/>
        <w:gridCol w:w="218"/>
        <w:gridCol w:w="808"/>
        <w:gridCol w:w="146"/>
        <w:gridCol w:w="146"/>
        <w:gridCol w:w="218"/>
        <w:gridCol w:w="808"/>
        <w:gridCol w:w="393"/>
      </w:tblGrid>
      <w:tr>
        <w:trPr/>
        <w:tc>
          <w:tcPr>
            <w:tcW w:w="4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 except per share data)</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Basic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242,871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242,871</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for basic and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63,723</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 exercise of stock options and 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 conversion of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64,395</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0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Approximately 179,000 and 182,000 shares of the Company’s stock-based compensation grants were excluded from diluted net income per share for the three and nine month periods ended November 1, 2025, respectively, since their effect was anti-dilutive.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Approximately 199,000 and 685,000 shares related to the Company’s stock-based compensation grants were excluded from diluted net income per share for the three and nine month periods ended November 2, 2024, respectively, since their effect was anti-dilutive.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Stock 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20, 2025, the Company’s stockholders approved an amendment to the Company's 2022 Omnibus Incentive Plan to, among other things, increase the number of shares of Company common stock subject to the plan by 3,100,000.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November 1, 2025, there were 6,048,880 shares of common stock available for issuance under the 2022 Omnibus Incentive Plan.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Non-cash stock compensation expense is as follows:</w:t>
      </w:r>
    </w:p>
    <w:tbl>
      <w:tblPr>
        <w:tblW w:w="8324" w:type="dxa"/>
        <w:jc w:val="left"/>
        <w:tblInd w:w="0" w:type="dxa"/>
        <w:tblLayout w:type="fixed"/>
        <w:tblCellMar>
          <w:top w:w="28" w:type="dxa"/>
          <w:left w:w="28" w:type="dxa"/>
          <w:bottom w:w="28" w:type="dxa"/>
          <w:right w:w="28" w:type="dxa"/>
        </w:tblCellMar>
      </w:tblPr>
      <w:tblGrid>
        <w:gridCol w:w="2971"/>
        <w:gridCol w:w="146"/>
        <w:gridCol w:w="246"/>
        <w:gridCol w:w="789"/>
        <w:gridCol w:w="146"/>
        <w:gridCol w:w="146"/>
        <w:gridCol w:w="246"/>
        <w:gridCol w:w="789"/>
        <w:gridCol w:w="146"/>
        <w:gridCol w:w="146"/>
        <w:gridCol w:w="246"/>
        <w:gridCol w:w="789"/>
        <w:gridCol w:w="146"/>
        <w:gridCol w:w="146"/>
        <w:gridCol w:w="246"/>
        <w:gridCol w:w="789"/>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 of Non-Cash Stock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 grants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grants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 grants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69,296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the line item “Selling, general and administrative expenses” in the Company’s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presented in the table above exclude taxes. For the three and nine month periods ended November 1, 2025, the tax benefit related to the Company’s non-cash stock compensation was approximately $4.9 million and $15.0 million, respectively. For the three and nine month periods ended November 2, 2024, the tax benefit related to the Company’s non-cash stock compensation was approximately $4.4 million and $12.3 million,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 transactions during the nine month period ended November 1, 2025 are summarized as follows:</w:t>
      </w:r>
    </w:p>
    <w:tbl>
      <w:tblPr>
        <w:tblW w:w="6189" w:type="dxa"/>
        <w:jc w:val="left"/>
        <w:tblInd w:w="0" w:type="dxa"/>
        <w:tblLayout w:type="fixed"/>
        <w:tblCellMar>
          <w:top w:w="28" w:type="dxa"/>
          <w:left w:w="28" w:type="dxa"/>
          <w:bottom w:w="28" w:type="dxa"/>
          <w:right w:w="28" w:type="dxa"/>
        </w:tblCellMar>
      </w:tblPr>
      <w:tblGrid>
        <w:gridCol w:w="3376"/>
        <w:gridCol w:w="146"/>
        <w:gridCol w:w="146"/>
        <w:gridCol w:w="931"/>
        <w:gridCol w:w="166"/>
        <w:gridCol w:w="146"/>
        <w:gridCol w:w="211"/>
        <w:gridCol w:w="676"/>
        <w:gridCol w:w="3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November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Options exercised during the nine month period ended November 1, 2025 had a total intrinsic value of $15.0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information about the stock options vested and expected to vest during the contractual term of such options as of November 1, 2025:</w:t>
      </w:r>
    </w:p>
    <w:tbl>
      <w:tblPr>
        <w:tblW w:w="8174"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285"/>
        <w:gridCol w:w="706"/>
        <w:gridCol w:w="146"/>
        <w:gridCol w:w="146"/>
        <w:gridCol w:w="211"/>
        <w:gridCol w:w="676"/>
        <w:gridCol w:w="146"/>
        <w:gridCol w:w="146"/>
        <w:gridCol w:w="259"/>
        <w:gridCol w:w="70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w:t>
              <w:br/>
              <w:t xml:space="preserve">Value </w:t>
              <w:b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each stock option granted during the nine month period ended November 1, 2025 was estimated using the Black Scholes option pricing model using the following assumptions on a weighted average basis:</w:t>
      </w:r>
    </w:p>
    <w:tbl>
      <w:tblPr>
        <w:tblW w:w="5114" w:type="dxa"/>
        <w:jc w:val="left"/>
        <w:tblInd w:w="0" w:type="dxa"/>
        <w:tblLayout w:type="fixed"/>
        <w:tblCellMar>
          <w:top w:w="28" w:type="dxa"/>
          <w:left w:w="28" w:type="dxa"/>
          <w:bottom w:w="28" w:type="dxa"/>
          <w:right w:w="28" w:type="dxa"/>
        </w:tblCellMar>
      </w:tblPr>
      <w:tblGrid>
        <w:gridCol w:w="3196"/>
        <w:gridCol w:w="146"/>
        <w:gridCol w:w="211"/>
        <w:gridCol w:w="156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42.3%</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of options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106.01</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expected dividend yield was based on the Company’s expectation of not paying dividends in the near term. To evaluate its volatility factor, the Company uses the historical volatility of its stock price over the expected life of the options. The risk free interest rate was based on the U.S. Treasury rates for U.S. Treasury zero-coupon bonds with maturities similar to those of the expected term of the awards being valued. The expected life of the options was estimated using historical exercise rates.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Restricted stock unit transactions during the nine month period ended November 1, 2025 are summarized as follows:</w:t>
      </w:r>
    </w:p>
    <w:tbl>
      <w:tblPr>
        <w:tblW w:w="7112" w:type="dxa"/>
        <w:jc w:val="left"/>
        <w:tblInd w:w="0" w:type="dxa"/>
        <w:tblLayout w:type="fixed"/>
        <w:tblCellMar>
          <w:top w:w="28" w:type="dxa"/>
          <w:left w:w="28" w:type="dxa"/>
          <w:bottom w:w="28" w:type="dxa"/>
          <w:right w:w="28" w:type="dxa"/>
        </w:tblCellMar>
      </w:tblPr>
      <w:tblGrid>
        <w:gridCol w:w="4261"/>
        <w:gridCol w:w="146"/>
        <w:gridCol w:w="146"/>
        <w:gridCol w:w="841"/>
        <w:gridCol w:w="166"/>
        <w:gridCol w:w="146"/>
        <w:gridCol w:w="289"/>
        <w:gridCol w:w="92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w:t>
              <w:br/>
              <w:t>Value Per</w:t>
              <w:br/>
              <w:t>Award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November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units vested during the nine month period ended November 1, 2025 had a total intrinsic value of $51.7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of each share of restricted stock granted during the nine month period ended November 1, 2025 was based upon the closing price of the Company’s common stock on the grant date.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Performance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grants performance-based restricted stock units to its senior executives. Vesting of the performance stock units are based on continued service and the achievement of specified pre-established adjusted net income per share growth over a three-year performance period, as applicable for each grant. Based on the Company’s achievement of these goals, each award may be earned up to 200% of the target award. In the event that actual performance is below threshold, no award will be made. Compensation costs recognized on the performance stock units are adjusted, as applicable, for performance above or below the target specified in the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 stock unit transactions during the nine month period ended November 1, 2025 are summarized as follows:</w:t>
      </w:r>
    </w:p>
    <w:p>
      <w:pPr>
        <w:pStyle w:val="TextBody"/>
        <w:bidi w:val="0"/>
        <w:spacing w:before="120" w:after="283"/>
        <w:jc w:val="left"/>
        <w:rPr/>
      </w:pPr>
      <w:r>
        <w:rPr/>
        <w:t> </w:t>
      </w:r>
    </w:p>
    <w:tbl>
      <w:tblPr>
        <w:tblW w:w="7052" w:type="dxa"/>
        <w:jc w:val="left"/>
        <w:tblInd w:w="0" w:type="dxa"/>
        <w:tblLayout w:type="fixed"/>
        <w:tblCellMar>
          <w:top w:w="28" w:type="dxa"/>
          <w:left w:w="28" w:type="dxa"/>
          <w:bottom w:w="28" w:type="dxa"/>
          <w:right w:w="28" w:type="dxa"/>
        </w:tblCellMar>
      </w:tblPr>
      <w:tblGrid>
        <w:gridCol w:w="4261"/>
        <w:gridCol w:w="146"/>
        <w:gridCol w:w="146"/>
        <w:gridCol w:w="781"/>
        <w:gridCol w:w="166"/>
        <w:gridCol w:w="146"/>
        <w:gridCol w:w="289"/>
        <w:gridCol w:w="92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w:t>
              <w:br/>
              <w:t>Value Per</w:t>
              <w:br/>
              <w:t>Award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November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Performance-based stock awards vested during the nine month period ended November 1, 2025 had a total intrinsic value of $23.3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Commitments and Contingencies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course of business, the Company is party to class or collective actions alleging violations of federal and state wage and hour and other labor statutes, representative claims under the California Private Attorneys’ General Act and various other lawsuits and regulatory proceedings from time to time including, among others, commercial, product, employee, customer, intellectual property,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privacy and other claims. Actions against us are in various procedural stages. Many of these proceedings raise factual and legal issues and are subject to uncertainties. While no assurance can be given as to the ultimate outcome of these matters, the Company believes that the final resolution of these actions will not have a material adverse effect on the Company’s results of operations, financial position, liquidity or capital resources.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Letters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letters of credit arrangements with various banks in the aggregate amount of $52.1 million, $52.5 million and $52.5 million as of November 1, 2025, February 1, 2025 and November 2, 2024, respectively. Among these arrangements, as of November 1, 2025, February 1, 2025 and November 2, 2024, the Company had letters of credit outstanding in the amount of $51.8 million, $51.9 million and $51.9 million, respectively, guaranteeing performance under various lease agreements, insurance contracts, and utility agreements. In addition, the Company had outstanding letters of credit arrangements in the amounts of $0.3 million, $0.6 million and $0.6 million as of November 1, 2025, February 1, 2025 and November 2, 2024, respectively, related to certain merchandising agreements. Based on the terms of the agreement governing the ABL Line of Credit, the Company had the ability to enter into letters of credit up to $147.9 million, $147.5 million and $160.0 million as of November 1, 2025, February 1, 2025 and November 2, 2024,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Purchase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$1,724.7 million of purchase commitments related to goods that were not received as of November 1, 2025.</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spacing w:before="240" w:after="283"/>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summarizes the significant factors affecting our condensed consolidated operating results, financial condition, liquidity and cash flows as of and for the periods presented below. The following discussion and analysis should be read in conjunction with the Condensed Consolidated Financial Statements and notes thereto included elsewhere in this report and the Consolidated Financial Statements and notes thereto in our Annual Report on Form 10-K for the fiscal year ended February 1, 2025 (Fiscal 2024 10-K).</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 addition to historical information, this discussion and analysis contains forward-looking statements based on current expectations that involve risks, uncertainties and assumptions, such as our plans, objectives, expectations and intentions. Our actual results or other events may differ materially from those anticipated in these forward-looking statements due to various factors, including those discussed under the section of this Item 2 entitled “Safe Harbor Statement.”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Introduction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nationally recognized off-price retailer of high-quality, branded merchandise at everyday low prices. We opened our first store in Burlington, New Jersey in 1972, selling primarily coats and outerwear. Since then, we have expanded our store base to 1,211 stores as of November 1, 2025 in 46 states, Washington D.C. and Puerto Rico. We have diversified our product categories by offering an extensive selection of in-season, high-quality branded merchandise at up to 60% off other retailers’ prices, including: fashion-focused women’s apparel, menswear, youth apparel, baby, beauty, footwear, accessories, home, toys, gifts and coats.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Fiscal Year</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Fiscal 2025 is defined as the 52-week year ended January 31, 2026. Fiscal 2024 is defined as the 52-week year ending February 1, 2025. The first, second, and third quarters of Fiscal 2025 and Fiscal 2024 each consist of 13 weeks.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Store Openings, Closings, and Relocations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 period ended November 1, 2025, we opened 129 new stores, inclusive of 18 relocations, and permanently closed eight stores, exclusive of the aforementioned relocations, bringing our store count as of November 1, 2025 to 1,211 stores.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Ongoing Initiatives for Fiscal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focus on a number of ongoing initiatives aimed at increasing our overall profitability. These initiatives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Driving Comparable Store Sales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strive to increase comparable store sales through the following initiatives: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More Effectively Chasing the Sales Trend. </w:t>
      </w:r>
      <w:r>
        <w:rPr>
          <w:rFonts w:ascii="Times New Roman" w:hAnsi="Times New Roman"/>
          <w:color w:val="000000"/>
          <w:sz w:val="20"/>
        </w:rPr>
        <w:t>We plan sales using conservative comparable store sales growth, holding and controlling liquidity, closely analyzing the sales trend by business, and remaining ready to chase that trend. We believe that these actions will also allow us to take greater advantage of great opportunistic buys.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Operating with Leaner Inventories.</w:t>
      </w:r>
      <w:r>
        <w:rPr>
          <w:color w:val="000000"/>
        </w:rPr>
        <w:t xml:space="preserve"> </w:t>
      </w:r>
      <w:r>
        <w:rPr>
          <w:rFonts w:ascii="Times New Roman" w:hAnsi="Times New Roman"/>
          <w:color w:val="000000"/>
          <w:sz w:val="20"/>
        </w:rPr>
        <w:t>We are planning to carry less inventory in our stores going forward compared to historical levels, which we believe should result in the customer finding a higher mix of fresh receipts and great merchandise values. We believe that this should drive faster turns and lower markdowns, while simultaneously improving our customers’ shopping experience.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Investment in Merchandising Capabilities. </w:t>
      </w:r>
      <w:r>
        <w:rPr>
          <w:rFonts w:ascii="Times New Roman" w:hAnsi="Times New Roman"/>
          <w:color w:val="000000"/>
          <w:sz w:val="20"/>
        </w:rPr>
        <w:t xml:space="preserve">We plan to continue investing in training and coaching, improved tools and reporting, incremental headcount, especially in growing or under-developed businesses, and other forms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merchant support. We believe that these investments should improve our ability to strengthen vendor relationships, source great merchandise buys, more accurately assess value, and better forecast and chase the sales trend.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Enhancing Existing Categories and Introducing New Categories.</w:t>
      </w:r>
      <w:r>
        <w:rPr>
          <w:color w:val="000000"/>
        </w:rPr>
        <w:t xml:space="preserve"> </w:t>
      </w:r>
      <w:r>
        <w:rPr>
          <w:rFonts w:ascii="Times New Roman" w:hAnsi="Times New Roman"/>
          <w:color w:val="000000"/>
          <w:sz w:val="20"/>
        </w:rPr>
        <w:t>We have opportunities to expand our offerings in certain existing categories, such as ladies’ and junior apparel, beauty, and home merchandise, and maintain the flexibility to introduce new categories as we expand our merchandising capabilities.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Expanding and Enhancing Our Retail Store Base.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expand and enhance our retail store base through the following initiatives: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Adhering to a Market Focused and Financially Disciplined Real Estate Strategy.</w:t>
      </w:r>
      <w:r>
        <w:rPr>
          <w:color w:val="000000"/>
        </w:rPr>
        <w:t xml:space="preserve"> </w:t>
      </w:r>
      <w:r>
        <w:rPr>
          <w:rFonts w:ascii="Times New Roman" w:hAnsi="Times New Roman"/>
          <w:color w:val="000000"/>
          <w:sz w:val="20"/>
        </w:rPr>
        <w:t>We have grown our store base consistently since our founding in 1972. We believe there is significant opportunity to expand our retail store base in the United States. As a result of our smaller store prototype, we have identified numerous market opportunities that we believe will allow us to operate 2,000 stores over the long term. We expect to average about 100 net new stores per year, for a total of 500 net new stores over the five-year period from Fiscal 2024 through Fiscal 2028.</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Enhancing the Store Experience.</w:t>
      </w:r>
      <w:r>
        <w:rPr>
          <w:color w:val="000000"/>
        </w:rPr>
        <w:t xml:space="preserve"> </w:t>
      </w:r>
      <w:r>
        <w:rPr>
          <w:rFonts w:ascii="Times New Roman" w:hAnsi="Times New Roman"/>
          <w:color w:val="000000"/>
          <w:sz w:val="20"/>
        </w:rPr>
        <w:t>We continue to invest in select store relocations and downsizes to improve the customer experience, taking into consideration the age, size, sales, and location of a store. Relocations provide an opportunity, upon lease expirations, to right-size our stores, improve our competitive positioning, incorporate our new prototype store designs and reduce occupancy costs. Downsizes provide an opportunity to right-size our stores, within our existing space, improve co-tenancy, incorporate our new store designs and reduce occupancy costs.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Enhancing Operating Margins.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increase our operating margins through the following initiatives: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Improving Operational Flexibility. </w:t>
      </w:r>
      <w:r>
        <w:rPr>
          <w:rFonts w:ascii="Times New Roman" w:hAnsi="Times New Roman"/>
          <w:color w:val="000000"/>
          <w:sz w:val="20"/>
        </w:rPr>
        <w:t>Our store and supply chain teams must continue to respond to the sales chase, enhancing their ability at flexing up and down based on trends, and allowing us to maximize leverage on sales.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Optimizing Markdowns.</w:t>
      </w:r>
      <w:r>
        <w:rPr>
          <w:color w:val="000000"/>
        </w:rPr>
        <w:t xml:space="preserve"> </w:t>
      </w:r>
      <w:r>
        <w:rPr>
          <w:rFonts w:ascii="Times New Roman" w:hAnsi="Times New Roman"/>
          <w:color w:val="000000"/>
          <w:sz w:val="20"/>
        </w:rPr>
        <w:t>We believe that our markdown system allows us to maximize sales and gross margin dollars based on forward-looking sales forecasts, sell-through targets and exit dates. Additionally, as we plan to carry less inventory in our stores compared to historical levels, we expect to drive faster turns, which should reduce the amount of markdowns taken compared to historical levels.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Optimizing the Supply Chain.</w:t>
      </w:r>
      <w:r>
        <w:rPr>
          <w:color w:val="000000"/>
        </w:rPr>
        <w:t xml:space="preserve"> </w:t>
      </w:r>
      <w:r>
        <w:rPr>
          <w:rFonts w:ascii="Times New Roman" w:hAnsi="Times New Roman"/>
          <w:color w:val="000000"/>
          <w:sz w:val="24"/>
        </w:rPr>
        <w:t>O</w:t>
      </w:r>
      <w:r>
        <w:rPr>
          <w:rFonts w:ascii="Times New Roman" w:hAnsi="Times New Roman"/>
          <w:color w:val="000000"/>
          <w:sz w:val="20"/>
        </w:rPr>
        <w:t>ur transportation initiatives have led to lower freight costs compared to recent levels, and we believe our efficiency and labor productivity initiatives will continue to result in lower supply chain costs over the next several years. We also believe there are longer-term supply chain opportunities through investments in automation and new purpose built processing buildings, and owning (rather than leasing) a larger portion of our distribution center network going forward.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Challenging Expenses to Drive Operating Leverage. </w:t>
      </w:r>
      <w:r>
        <w:rPr>
          <w:rFonts w:ascii="Times New Roman" w:hAnsi="Times New Roman"/>
          <w:color w:val="000000"/>
          <w:sz w:val="20"/>
        </w:rPr>
        <w:t>We believe sales growth will drive fixed cost operating leverage. In addition, by more conservatively planning our comparable store sales growth, we are forcing even tighter expense control throughout all areas of our business. We believe that this should put us in a strong position to drive favorable operating leverage on any sales ahead of the plan. Additionally, we plan to continue challenging the processes and operating norms throughout the organization with the belief that this will lead to incremental efficiency improvements and savings.</w:t>
      </w:r>
    </w:p>
    <w:p>
      <w:pPr>
        <w:pStyle w:val="TextBody"/>
        <w:bidi w:val="0"/>
        <w:spacing w:before="360" w:after="283"/>
        <w:jc w:val="left"/>
        <w:rPr>
          <w:rFonts w:ascii="Times New Roman" w:hAnsi="Times New Roman"/>
          <w:sz w:val="20"/>
        </w:rPr>
      </w:pPr>
      <w:r>
        <w:rPr>
          <w:rFonts w:ascii="Times New Roman" w:hAnsi="Times New Roman"/>
          <w:b/>
          <w:i/>
          <w:color w:val="000000"/>
          <w:sz w:val="20"/>
        </w:rPr>
        <w:t>Uncertainties and Challenges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strive to increase profitability, there are uncertainties and challenges that we face that could have a material impact on our revenues or income. Some of these uncertainties and challenges are summarized below. For a further discussion, please refer to the description under the heading “Risk Factors” in the Fiscal 2024 10-K and in Part II, Item 1A below.</w:t>
      </w:r>
    </w:p>
    <w:p>
      <w:pPr>
        <w:pStyle w:val="TextBody"/>
        <w:bidi w:val="0"/>
        <w:spacing w:before="240" w:after="283"/>
        <w:jc w:val="left"/>
        <w:rPr>
          <w:rFonts w:ascii="Times New Roman" w:hAnsi="Times New Roman"/>
          <w:sz w:val="20"/>
        </w:rPr>
      </w:pPr>
      <w:r>
        <w:rPr>
          <w:rFonts w:ascii="Times New Roman" w:hAnsi="Times New Roman"/>
          <w:i/>
          <w:color w:val="000000"/>
          <w:sz w:val="20"/>
        </w:rPr>
        <w:t>General Economic Conditions.</w:t>
      </w:r>
      <w:r>
        <w:rPr>
          <w:rFonts w:ascii="Times New Roman" w:hAnsi="Times New Roman"/>
          <w:color w:val="000000"/>
          <w:sz w:val="20"/>
        </w:rPr>
        <w:t xml:space="preserve"> There remains a high level of uncertainty in the current macroeconomic and geopolitical environments, and prolonged inflationary pressures continue to negatively impact the discretionary spending of the low-income shopper, our core customer. In addition to inflation, consumer spending habits, including spending for the merchandise that we sell, are affected by, among other things, prevailing global economic conditions, the costs of basic necessities and other goods, levels of employment, salaries and wage rates, prevailing interest rates, reductions in government benefits and lower tax refunds, housing costs, energy costs, commodities pricing, income tax rates and policies, immigration policies, consumer confidence and consumer perception of economic conditions. In addition, consumer purchasing patterns are generally influenced by consumers’ disposable income, credit availability and debt levels.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broad, protracted slowdown or downturn in the U.S. economy, an extended period of high unemployment or inflation rates, an uncertain domestic or global economic outlook or a financial crisis could adversely affect consumer spending habits resulting in lower net sales and profits than expected on a quarterly or annual basis. Conversely, if inflation declines, it could benefit our core customers who have been impacted by higher cost of living, and if economic growth slows, it could cause moderate and higher-income shoppers to become more value conscious. Either of these developments, if they occur, would be expected to improve our business. Consumer confidence is also affected by the domestic and international political situation. Our financial condition and operations could be impacted by changes in government regulations, initiatives or programs in areas including, but not limited to, trade and tariffs, taxes, healthcare, and immigration. In addition, trade and tariff regulations have had and are expected to continue to have an indirect impact on consumer prices. We will continue to monitor changes in tariff policy and the impact of these changes on our industry and the economy and seek to adjust to these changes as efficiently as possible. The outbreak or escalation of war, or the occurrence of terrorist acts or other hostilities in or affecting the U.S., or public health issues such as pandemics or epidemics, could lead to a decrease in spending by consumers. In addition, natural disasters, public health issues, industrial accidents and acts of war or conflicts in various parts of the world (such as the conflict in Ukraine or the conflict in the Middle East), could have the effect of disrupting supplies and raising prices globally which, in turn, may have adverse effects on the world and U.S. economies and lead to a downturn in consumer confidence and spending.</w:t>
      </w:r>
    </w:p>
    <w:p>
      <w:pPr>
        <w:pStyle w:val="TextBody"/>
        <w:bidi w:val="0"/>
        <w:spacing w:before="240" w:after="283"/>
        <w:jc w:val="left"/>
        <w:rPr>
          <w:rFonts w:ascii="Times New Roman" w:hAnsi="Times New Roman"/>
          <w:sz w:val="20"/>
        </w:rPr>
      </w:pPr>
      <w:r>
        <w:rPr>
          <w:rFonts w:ascii="Times New Roman" w:hAnsi="Times New Roman"/>
          <w:i/>
          <w:color w:val="000000"/>
          <w:sz w:val="20"/>
        </w:rPr>
        <w:t>Seasonality of Sales and Weather Conditions</w:t>
      </w:r>
      <w:r>
        <w:rPr>
          <w:rFonts w:ascii="Times New Roman" w:hAnsi="Times New Roman"/>
          <w:color w:val="000000"/>
          <w:sz w:val="20"/>
        </w:rPr>
        <w:t>. Our business, like that of most retailers, is subject to seasonal influences. In the second half of the year, which includes the back-to-school and holiday seasons, we generally realize a higher level of sales and net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Weather continues to be a contributing factor to the sale of our merchandise. Generally, our sales are higher if the weather is cold during the Fall and warm during the early Spring. Sales of cold weather clothing are generally increased by early cold weather during the Fall, while sales of warm weather clothing are generally increased by early warm weather conditions in the Spring. Although we have diversified our product offerings, we believe traffic to our stores is still driven, in part, by weather patterns.</w:t>
      </w:r>
    </w:p>
    <w:p>
      <w:pPr>
        <w:pStyle w:val="TextBody"/>
        <w:bidi w:val="0"/>
        <w:spacing w:before="240" w:after="283"/>
        <w:jc w:val="left"/>
        <w:rPr>
          <w:rFonts w:ascii="Times New Roman" w:hAnsi="Times New Roman"/>
          <w:sz w:val="20"/>
        </w:rPr>
      </w:pPr>
      <w:r>
        <w:rPr>
          <w:rFonts w:ascii="Times New Roman" w:hAnsi="Times New Roman"/>
          <w:i/>
          <w:color w:val="000000"/>
          <w:sz w:val="20"/>
        </w:rPr>
        <w:t>Competition and Margin Pressure.</w:t>
      </w:r>
      <w:r>
        <w:rPr>
          <w:rFonts w:ascii="Times New Roman" w:hAnsi="Times New Roman"/>
          <w:color w:val="000000"/>
          <w:sz w:val="20"/>
        </w:rPr>
        <w:t xml:space="preserve"> We believe that in order to remain competitive with retailers, including off-price retailers and discount stores, we must continue to offer brand-name merchandise at a discount to prices offered by other retailers as well as an assortment of merchandise that is appealing to our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retail apparel and home furnishings markets are highly fragmented and competitive. We compete for business with department stores, off-price retailers, internet retailers, specialty stores,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retail industry continues to face increased pressure on margins as overall challenging retail conditions have led consumers to be more value conscious. Additionally, lower-to-moderate income shoppers continue to face economic pressure due to higher cost of living. Our strategy to chase the sales trend allows us the flexibility to purchase less pre-season merchandise with the balance purchased in-season and opportunistically. It also provides us with the flexibility to shift purchases between suppliers and categories. We believe that this enables us to obtain better terms with our suppliers, which we expect will help offset any rising costs of goods.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Performance and Non-GAAP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numerous factors in assessing our performance. Key performance and non-GAAP measures used by management include net income, Adjusted Net Income, Adjusted EBITDA, Adjusted EBIT, comparable store sales, gross margin, inventory, and liquidity.</w:t>
      </w:r>
    </w:p>
    <w:p>
      <w:pPr>
        <w:pStyle w:val="TextBody"/>
        <w:bidi w:val="0"/>
        <w:spacing w:before="120" w:after="283"/>
        <w:jc w:val="left"/>
        <w:rPr>
          <w:rFonts w:ascii="Times New Roman" w:hAnsi="Times New Roman"/>
          <w:sz w:val="20"/>
        </w:rPr>
      </w:pPr>
      <w:r>
        <w:rPr>
          <w:rFonts w:ascii="Times New Roman" w:hAnsi="Times New Roman"/>
          <w:i/>
          <w:color w:val="000000"/>
          <w:sz w:val="20"/>
        </w:rPr>
        <w:t>Net income</w:t>
      </w:r>
      <w:r>
        <w:rPr>
          <w:rFonts w:ascii="Times New Roman" w:hAnsi="Times New Roman"/>
          <w:color w:val="000000"/>
          <w:sz w:val="20"/>
        </w:rPr>
        <w:t>. We earned net income of $104.8 million during the three month period ended November 1, 2025 compared with net income of $90.6 million during the three month period ended November 2, 2024. We earned net income of $299.8 million during the nine month period ended November 1, 2025 compared with a net income of $242.9 million during the nine month period ended November 2, 2024. These increases were primarily driven by higher sales, as well as increased gross margin rate. Refer to the section below entitled “Results of Operations” for further explanation.</w:t>
      </w:r>
    </w:p>
    <w:p>
      <w:pPr>
        <w:pStyle w:val="TextBody"/>
        <w:bidi w:val="0"/>
        <w:spacing w:before="240" w:after="283"/>
        <w:jc w:val="left"/>
        <w:rPr>
          <w:rFonts w:ascii="Times New Roman" w:hAnsi="Times New Roman"/>
          <w:sz w:val="20"/>
        </w:rPr>
      </w:pPr>
      <w:r>
        <w:rPr>
          <w:rFonts w:ascii="Times New Roman" w:hAnsi="Times New Roman"/>
          <w:i/>
          <w:color w:val="000000"/>
          <w:sz w:val="20"/>
        </w:rPr>
        <w:t>Adjusted Net Income, Adjusted EBITDA and Adjusted EBIT</w:t>
      </w:r>
      <w:r>
        <w:rPr>
          <w:rFonts w:ascii="Times New Roman" w:hAnsi="Times New Roman"/>
          <w:color w:val="000000"/>
          <w:sz w:val="20"/>
        </w:rPr>
        <w:t>: Adjusted Net Income, Adjusted EBITDA and Adjusted EBIT are non-GAAP financial measures of our performance.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Adjusted Net Income as net income, exclusive of the following items, if applicable: (i) net favorable lease costs; (ii) loss on extinguishment of debt; (iii) costs related to debt amendments; (iv) impairment charges; (v) amounts related to certain litigation matters; and (vi) other unusual or non-recurring expenses, losses, charges or gains, all of which are tax effected to arrive at Adjusted Net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Adjusted EBITDA as net income, exclusive of the following items, if applicable: (i) interest expense; (ii) interest income; (iii) loss on extinguishment of debt; (iv) costs related to debt amendments; (v) income tax expense; (vi) depreciation and amortization; (vii) net favorable lease costs; (viii) impairment charges; (ix) amounts related to certain litigation matters; and (x) other unusual or non-recurring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Adjusted EBIT as net income, exclusive of the following items, if applicable: (i) interest expense; (ii) interest income; (iii) loss on extinguishment of debt; (iv) costs related to debt amendments; (v) income tax expense; (vi) impairment charges; (vii) net favorable lease costs; (viii) amounts related to certain litigation matters; and (ix) other unusual or non-recurring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present Adjusted Net Income, Adjusted EBITDA and Adjusted EBIT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what we consider to be our core operating results are useful supplemental measures that assist investors and management in evaluating our ability to generate earnings and leverage sales, and to more readily compare core operating results between past and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these non-GAAP measures provide investors helpful information with respect to our operations and financial condition. Other companies in the retail industry may calculate these non-GAAP measures differently such that our calculation may not be directly comparable.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Net Income has limitations as an analytical tool, and should not be considered either in isolation or as a substitute for net income or other data prepared in accordance with GAAP. Among other limitations, Adjusted Net Income does not reflect the following items, net of their tax effect: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on extinguishment of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debt amendments;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on long-lived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charged for certain litigation matters;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unusual, non-recurring or extraordinary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November 1, 2025, Adjusted Net Income increased $7.6 million to $107.5 million and increased $47.6 million to $311.8 million, respectively, compared to the same periods in the prior year. These increases were primarily driven by higher sales, as well as increased gross margin rate. Refer to the section below entitled “Results of Operations” for further explanation.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our reconciliation of net income to Adjusted Net Income for the three and nine months ended November 1, 2025 compared with the three and nine months ended November 2, 2024:</w:t>
      </w:r>
    </w:p>
    <w:tbl>
      <w:tblPr>
        <w:tblW w:w="10205" w:type="dxa"/>
        <w:jc w:val="left"/>
        <w:tblInd w:w="0" w:type="dxa"/>
        <w:tblLayout w:type="fixed"/>
        <w:tblCellMar>
          <w:top w:w="28" w:type="dxa"/>
          <w:left w:w="28" w:type="dxa"/>
          <w:bottom w:w="28" w:type="dxa"/>
          <w:right w:w="28" w:type="dxa"/>
        </w:tblCellMar>
      </w:tblPr>
      <w:tblGrid>
        <w:gridCol w:w="3913"/>
        <w:gridCol w:w="246"/>
        <w:gridCol w:w="217"/>
        <w:gridCol w:w="807"/>
        <w:gridCol w:w="266"/>
        <w:gridCol w:w="246"/>
        <w:gridCol w:w="238"/>
        <w:gridCol w:w="763"/>
        <w:gridCol w:w="286"/>
        <w:gridCol w:w="246"/>
        <w:gridCol w:w="217"/>
        <w:gridCol w:w="807"/>
        <w:gridCol w:w="266"/>
        <w:gridCol w:w="246"/>
        <w:gridCol w:w="217"/>
        <w:gridCol w:w="807"/>
        <w:gridCol w:w="417"/>
      </w:tblGrid>
      <w:tr>
        <w:trPr/>
        <w:tc>
          <w:tcPr>
            <w:tcW w:w="39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i/>
                <w:color w:val="000000"/>
                <w:sz w:val="16"/>
              </w:rPr>
              <w:t>(in</w:t>
            </w:r>
            <w:r>
              <w:rPr>
                <w:rFonts w:ascii="Times New Roman" w:hAnsi="Times New Roman"/>
                <w:color w:val="000000"/>
                <w:sz w:val="16"/>
              </w:rPr>
              <w:t xml:space="preserve"> </w:t>
            </w:r>
            <w:r>
              <w:rPr>
                <w:rFonts w:ascii="Times New Roman" w:hAnsi="Times New Roman"/>
                <w:b/>
                <w:i/>
                <w:color w:val="000000"/>
                <w:sz w:val="16"/>
              </w:rPr>
              <w:t>thousands)</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left w:val="single" w:sz="4" w:space="0" w:color="FFFFFF"/>
            </w:tcBorders>
            <w:shd w:fill="FFFFFF" w:val="clear"/>
            <w:tcMar>
              <w:top w:w="0" w:type="dxa"/>
              <w:bottom w:w="0" w:type="dxa"/>
              <w:right w:w="0" w:type="dxa"/>
            </w:tcMar>
            <w:vAlign w:val="center"/>
          </w:tcPr>
          <w:p>
            <w:pPr>
              <w:pStyle w:val="TableContents"/>
              <w:bidi w:val="0"/>
              <w:spacing w:before="0" w:after="283"/>
              <w:jc w:val="left"/>
              <w:rPr/>
            </w:pPr>
            <w:r>
              <w:rPr/>
              <w:t> </w:t>
            </w:r>
          </w:p>
        </w:tc>
        <w:tc>
          <w:tcPr>
            <w:tcW w:w="25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90,597</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299,767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242,871</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favorable lease costs (a)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8,959</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 (b)</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 (c)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4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matters (d)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4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(7,379</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99,895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311,797</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264,195</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 represent the non-cash expense associated with favorable and unfavorable leases that were recorded as a result of purchase accounting related to the April 13, 2006 Bain Capital acquisition of Burlington Coat Factory Warehouse Corporation (the Merger Transaction). These expenses are recorded in the line item “Selling, general and administrative expenses” in our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Fiscal 2024 amounts relate to the partial write-off of the original issue discount and deferred debt costs related to the September 2024 extension and upsize of the Term Loan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Fiscal 2025 amount relates to the settlement of the 2025 Convertible Notes during the first quarter of Fiscal 2025. Fiscal 2024 amounts relate to the September 2024 extension and upsizing of the Term Loan Facility in the third quarter of Fiscal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Relates to the final settlements and amounts charged for certain litigation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effect is calculated based on the effective tax rates (before discrete items) for the respective periods, adjusted for the tax effect for the impact of the reconciling items listed in the table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 and Adjusted EBITDA have limitations as analytical tools, and should not be considered either in isolation or as a substitute for net income or other data prepared in accordance with GAAP. Among other limitations, Adjusted EBIT does not reflect: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interest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on extinguishment of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debt amendments;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on long-lived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charged for certain litigation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unusual, non-recurring or extraordinary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is further adjusted for depreciation and amortization. Although depreciation and amortization are non-cash charges, the assets being depreciated and amortized will likely have to be replaced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November 1, 2025, Adjusted EBIT increased $14.6 million to $155.9 million and increased $67.2 million to $453.1 million, respectively, compared to the same periods in the prior year. During the three and nine months ended November 1, 2025, Adjusted EBITDA increased $26.4 million to $255.2 million and increased $97.0 million to $739.0 million, respectively, compared to the same periods in the prior year. These increases were primarily driven by higher sales, as well as increased gross margin rate. Refer to the section below entitled “Results of Operations” for further explanation.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our reconciliation of net income to Adjusted EBIT and Adjusted EBITDA for the three and nine months ended November 1, 2025 compared with the three and nine months ended November 2,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6"/>
        <w:gridCol w:w="246"/>
        <w:gridCol w:w="216"/>
        <w:gridCol w:w="800"/>
        <w:gridCol w:w="166"/>
        <w:gridCol w:w="246"/>
        <w:gridCol w:w="216"/>
        <w:gridCol w:w="800"/>
        <w:gridCol w:w="246"/>
        <w:gridCol w:w="246"/>
        <w:gridCol w:w="216"/>
        <w:gridCol w:w="800"/>
        <w:gridCol w:w="246"/>
        <w:gridCol w:w="246"/>
        <w:gridCol w:w="216"/>
        <w:gridCol w:w="800"/>
        <w:gridCol w:w="413"/>
      </w:tblGrid>
      <w:tr>
        <w:trPr/>
        <w:tc>
          <w:tcPr>
            <w:tcW w:w="40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EBIT and 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90,597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299,767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242,871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favorable lease costs (a)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 (b)</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 (c)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matters (d)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98,487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453,117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385,896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285,876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256,094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228,786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738,993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641,990</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 represent the non-cash expense associated with favorable and unfavorable leases that were recorded as a result of purchase accounting related to the Merger Transaction. These expenses are recorded in the line item “Selling, general and administrative expenses” in our Condensed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Fiscal 2024 amounts relate to the partial write-off of the original issue discount and deferred debt costs related to the September 2024 extension and upsize of the Term Loan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Fiscal 2025 amount relates to the settlement of the 2025 Convertible Notes during the first quarter of Fiscal 2025. Fiscal 2024 amounts relate to the September 2024 extension and upsizing of the Term Loan Facility in the third quarter of Fiscal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Relates to the final settlements and amounts charged for certain litigation matters.</w:t>
      </w:r>
    </w:p>
    <w:p>
      <w:pPr>
        <w:pStyle w:val="TextBody"/>
        <w:bidi w:val="0"/>
        <w:spacing w:before="240" w:after="283"/>
        <w:jc w:val="left"/>
        <w:rPr>
          <w:rFonts w:ascii="Times New Roman" w:hAnsi="Times New Roman"/>
          <w:sz w:val="20"/>
        </w:rPr>
      </w:pPr>
      <w:r>
        <w:rPr>
          <w:rFonts w:ascii="Times New Roman" w:hAnsi="Times New Roman"/>
          <w:i/>
          <w:color w:val="000000"/>
          <w:sz w:val="20"/>
        </w:rPr>
        <w:t>Comparable Store Sales.</w:t>
      </w:r>
      <w:r>
        <w:rPr>
          <w:rFonts w:ascii="Times New Roman" w:hAnsi="Times New Roman"/>
          <w:color w:val="000000"/>
          <w:sz w:val="20"/>
        </w:rPr>
        <w:t xml:space="preserve"> Comparable store sales measure performance of a store during the current reporting period against the performance of the same store in the corresponding period of a prior year. The method of calculating comparable store sales varies across the retail industry. As a result, our definition of comparable store sales may differ from other retailers.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comparable store sales as merchandise sales of those stores commencing on the first day of the fiscal month one year after the end of their grand opening activities, which normally conclude within the first two months of operations. If a store is closed for seven or more days during a month, our policy is to remove that store from our calculation of comparable store sales for any such month, as well as during the month(s) of their grand re-opening activities. The change in our comparable store sales was as follows:</w:t>
      </w:r>
    </w:p>
    <w:tbl>
      <w:tblPr>
        <w:tblW w:w="5080" w:type="dxa"/>
        <w:jc w:val="left"/>
        <w:tblInd w:w="0" w:type="dxa"/>
        <w:tblLayout w:type="fixed"/>
        <w:tblCellMar>
          <w:top w:w="28" w:type="dxa"/>
          <w:left w:w="28" w:type="dxa"/>
          <w:bottom w:w="28" w:type="dxa"/>
          <w:right w:w="28" w:type="dxa"/>
        </w:tblCellMar>
      </w:tblPr>
      <w:tblGrid>
        <w:gridCol w:w="1621"/>
        <w:gridCol w:w="146"/>
        <w:gridCol w:w="1606"/>
        <w:gridCol w:w="146"/>
        <w:gridCol w:w="1561"/>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factors affect comparable store sales, including, but not limited to,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pStyle w:val="TextBody"/>
        <w:bidi w:val="0"/>
        <w:spacing w:before="240" w:after="283"/>
        <w:jc w:val="left"/>
        <w:rPr>
          <w:rFonts w:ascii="Times New Roman" w:hAnsi="Times New Roman"/>
          <w:sz w:val="20"/>
        </w:rPr>
      </w:pPr>
      <w:r>
        <w:rPr>
          <w:rFonts w:ascii="Times New Roman" w:hAnsi="Times New Roman"/>
          <w:i/>
          <w:color w:val="000000"/>
          <w:sz w:val="20"/>
        </w:rPr>
        <w:t>Gross Margin.</w:t>
      </w:r>
      <w:r>
        <w:rPr>
          <w:rFonts w:ascii="Times New Roman" w:hAnsi="Times New Roman"/>
          <w:color w:val="000000"/>
          <w:sz w:val="20"/>
        </w:rPr>
        <w:t xml:space="preserve"> Gross margin is the difference between net sales and the cost of sales. Our cost of sales and gross margin may not be comparable to those of other entities, since some entities may include all of the costs related to their buying and distribution functions, certain store-related costs and other costs, in cost of sales. We include certain of these costs in the line items “Selling, general and administrative expenses” and “Depreciation and amortization” in our Condensed Consolidated Statements of Income. We include in our “Cost of sales” line item all costs of merchandise (net of purchase discounts and certain vendor allowances), inbound freight, distribution center outbound freight and certain merchandise acquisition costs, primarily commissions and import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margin as a percentage of net sales increased to 44.2% during the three month period ended November 1, 2025, compared with 43.9% during the three month period ended November 2, 2024. Gross margin as a percentage of net sales increased to 43.9% during the nine months ended November 1, 2025, compared with 43.4% during the nine months ended November 2, 2024. These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improvements were driven primarily by lower freight costs and higher merchandise margin. Product sourcing costs, which are included in selling, general and administrative expenses, improved 40 basis points and 10 basis points as a percentage of net sales during the three and nine month periods ended November 1, 2025, respectively, compared with the three and nine month periods ended November 2, 2024.</w:t>
      </w:r>
    </w:p>
    <w:p>
      <w:pPr>
        <w:pStyle w:val="TextBody"/>
        <w:bidi w:val="0"/>
        <w:spacing w:before="120" w:after="283"/>
        <w:jc w:val="left"/>
        <w:rPr>
          <w:rFonts w:ascii="Times New Roman" w:hAnsi="Times New Roman"/>
          <w:sz w:val="20"/>
        </w:rPr>
      </w:pPr>
      <w:r>
        <w:rPr>
          <w:rFonts w:ascii="Times New Roman" w:hAnsi="Times New Roman"/>
          <w:i/>
          <w:color w:val="000000"/>
          <w:sz w:val="20"/>
        </w:rPr>
        <w:t>Inventory.</w:t>
      </w:r>
      <w:r>
        <w:rPr>
          <w:rFonts w:ascii="Times New Roman" w:hAnsi="Times New Roman"/>
          <w:color w:val="000000"/>
          <w:sz w:val="20"/>
        </w:rPr>
        <w:t xml:space="preserve"> Inventory at November 1, 2025 increased to $1,658.4 million compared with $1,440.7 million at November 2, 2024. The increase was attributable primarily to an increase in reserve inventory and 108 net new stores opened since the end of the third quarter of Fiscal 2024. Comparable store inventories decreased 2% compared to the third quarter of Fiscal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Reserve inventory includes all inventory that is being stored for release either later in the season, or in a subsequent season. We intend to use our reserve merchandise to effectively chase sales trends. Reserve inventory was 35% of total inventory at the end of the third quarter of Fiscal 2025 compared to 32% at the end of the third quarter of Fiscal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w:t>
      </w:r>
    </w:p>
    <w:p>
      <w:pPr>
        <w:pStyle w:val="TextBody"/>
        <w:bidi w:val="0"/>
        <w:spacing w:before="240" w:after="283"/>
        <w:jc w:val="left"/>
        <w:rPr>
          <w:rFonts w:ascii="Times New Roman" w:hAnsi="Times New Roman"/>
          <w:sz w:val="20"/>
        </w:rPr>
      </w:pPr>
      <w:r>
        <w:rPr>
          <w:rFonts w:ascii="Times New Roman" w:hAnsi="Times New Roman"/>
          <w:i/>
          <w:color w:val="000000"/>
          <w:sz w:val="20"/>
        </w:rPr>
        <w:t>Liquidity.</w:t>
      </w:r>
      <w:r>
        <w:rPr>
          <w:rFonts w:ascii="Times New Roman" w:hAnsi="Times New Roman"/>
          <w:color w:val="000000"/>
          <w:sz w:val="20"/>
        </w:rPr>
        <w:t xml:space="preserve"> Liquidity measures our ability to generate cash. Management measures liquidity through cash flow, which is the measure of cash generated from or used in operating, financing, and investing activities. Cash and cash equivalents decreased $410.6 million during the nine months ended November 1, 2025, compared with a decrease of $67.6 million during the nine months ended November 2, 2024. Refer to the section below entitled “Liquidity and Capital Resources” for further explanation.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items in the Condensed Consolidated Statements of Income as a percentage of net sales for the three and nine months ended November 1, 2025 and the three and nine months ended November 2, 2024.</w:t>
      </w:r>
    </w:p>
    <w:p>
      <w:pPr>
        <w:pStyle w:val="TextBody"/>
        <w:bidi w:val="0"/>
        <w:spacing w:before="120" w:after="283"/>
        <w:jc w:val="left"/>
        <w:rPr/>
      </w:pPr>
      <w:r>
        <w:rPr/>
        <w:t> </w:t>
      </w:r>
    </w:p>
    <w:tbl>
      <w:tblPr>
        <w:tblW w:w="9664" w:type="dxa"/>
        <w:jc w:val="left"/>
        <w:tblInd w:w="0" w:type="dxa"/>
        <w:tblLayout w:type="fixed"/>
        <w:tblCellMar>
          <w:top w:w="28" w:type="dxa"/>
          <w:left w:w="28" w:type="dxa"/>
          <w:bottom w:w="28" w:type="dxa"/>
          <w:right w:w="28" w:type="dxa"/>
        </w:tblCellMar>
      </w:tblPr>
      <w:tblGrid>
        <w:gridCol w:w="3736"/>
        <w:gridCol w:w="146"/>
        <w:gridCol w:w="210"/>
        <w:gridCol w:w="825"/>
        <w:gridCol w:w="271"/>
        <w:gridCol w:w="146"/>
        <w:gridCol w:w="210"/>
        <w:gridCol w:w="825"/>
        <w:gridCol w:w="271"/>
        <w:gridCol w:w="146"/>
        <w:gridCol w:w="210"/>
        <w:gridCol w:w="825"/>
        <w:gridCol w:w="271"/>
        <w:gridCol w:w="146"/>
        <w:gridCol w:w="210"/>
        <w:gridCol w:w="825"/>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Sales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related to debt amendments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Three Month Period Ended November 1, 2025 Compared With the Three Month Period Ended November 2,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Net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improved $179.8 million, or 7.1%, to $2,706.0 million during the third quarter of Fiscal 2025, primarily driven by net sales from our 108 net new stores opened since the end of the third quarter of Fiscal 2024 as well as an increase of 1% in comparable stores sales during the three month period ended November 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as a percentage of net sales decreased to 55.8% during the third quarter of Fiscal 2025, compared to 56.1% during the third quarter of Fiscal 2024. This improvement was driven primarily by lower freight costs and higher merchandise margin. On a dollar basis, cost of sales increased $91.7 million, or 6.5%, primarily driven by our overall increase in sales.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as a percentage of net sales decreased to 35.0% during the third quarter of Fiscal 2025, compared to 35.4% during the third quarter of Fiscal 2024. The decrease was primarily driven by leverage on product sourcing costs and store payroll, partially offset by deleverage on occupancy and corporate costs. On a dollar basis, selling, general and administrative expenses increased by $54.4 million, or 6.1%, to $947.5 million during the third quarter of Fiscal 2025. The increase was primarily driven by our 108 net new stores opened since the end of the third quarter of Fiscal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third quarter of Fiscal 2025, the Company incurred costs related to leases acquired through bankruptcy proceedings. The acquisition of these leases resulted in $10.9 million of pre-opening costs that are recorded in the line item, “Selling, general and administrative expenses” in our Condensed Consolidated Statements of Income during the third quarter of Fiscal 2025. There were none of these costs incurred during the third quarter of Fiscal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amounted to $99.3 million during the third quarter of Fiscal 2025 compared with $87.5 million during the third quarter of Fiscal 2024. The increase in depreciation and amortization expense was primarily driven by new and non-comparable stores.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charges –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on long-lived assets were $3.8 million during the third quarter of Fiscal 2025, primarily related to one owned store expected to sell below net carrying value. Impairment charges on long-lived assets were $3.0 million during the third quarter of Fiscal 2024, related to stores that relocated and closed before the end of the respective lease-end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recoverability assessment related to these store-level assets requires various judgments and estimates, including estimates related to future revenues, gross margin rates, store expenses and other assumptions. We base these estimates upon our past and expected future performance. We believe our estimates are appropriate in light of current market conditions. However, future impairment charges could be required if we do not achieve our current revenue or cash flow projections for each store. Refer to Note 6, “Fair Value Measurements,” for further discussion regarding impairment charges.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decreased $2.0 million during the third quarter of Fiscal 2025 to $4.9 million, compared to the same period in the prior year. The decreases are primarily driven by lower average cash balances as well as decreased interest rates.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$1.4 million during the third quarter of Fiscal 2025 to $19.2 million, compared to the same period in the prior year. Increases related to the upsize of the Term Loan Facility were partially offset by increased capitalized interest as a result of the ongoing construction of a distribution center. Additionally, the Company paid down the 2025 Convertible Notes during the first quarter of Fiscal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average interest rate on the Term Loan Facility was 6.0% and 7.0% for the third quarter of Fiscal 2025 and the third quarter of Fiscal 2024, respectively. The average balance on the Term Loan Facility, excluding the original issue discount, was $1,737.8 million and $1,068.6 million for the third quarter of Fiscal 2025 and the third quarter of Fiscal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borrowings under the ABL Line of Credit during the third quarter of Fiscal 2025 and Fiscal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$33.3 million during the third quarter of Fiscal 2025 compared with income tax expense of $27.4 million during the third quarter of Fiscal 2024. The effective tax rate for the third quarter of Fiscal 2025 was 24.1% compared with 23.2% during the third quarter of Fiscal 2024. The increase in income tax expense is due to higher pre-tax income. The lower tax rate in the prior period was primarily attributable to a favorable adjustment related to adopting the foreign tax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end of each interim period we are required to determine the best estimate of our annual effective tax rate and then apply that rate in providing for income taxes on a current year-to-date (interim period) basis. Use of this methodology during the third quarter of Fiscal 2025 resulted in an annual effective income tax rate of approximately 26% (before discrete items) as our best estimate.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 xml:space="preserve">Net income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earned net income of $104.8 million for the third quarter of Fiscal 2025 compared with $90.6 million for the third quarter of Fiscal 2024. This increase was primarily driven by higher sales, as well as increased gross margin rate. Net income included $8.2 million, net of income taxes, for the third quarter of Fiscal 2025 related to the bankruptcy acquired leases. There were no such costs during the third quarter of Fiscal 2024.</w:t>
      </w:r>
    </w:p>
    <w:p>
      <w:pPr>
        <w:pStyle w:val="TextBody"/>
        <w:bidi w:val="0"/>
        <w:spacing w:before="160" w:after="283"/>
        <w:jc w:val="left"/>
        <w:rPr>
          <w:rFonts w:ascii="Times New Roman" w:hAnsi="Times New Roman"/>
          <w:b/>
          <w:color w:val="000000"/>
          <w:sz w:val="20"/>
          <w:u w:val="single"/>
        </w:rPr>
      </w:pPr>
      <w:r>
        <w:rPr>
          <w:rFonts w:ascii="Times New Roman" w:hAnsi="Times New Roman"/>
          <w:b/>
          <w:color w:val="000000"/>
          <w:sz w:val="20"/>
          <w:u w:val="single"/>
        </w:rPr>
        <w:t>Nine Month Period Ended November 1, 2025 Compared With the Nine Month Period Ended November 2,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Net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improved $562.4 million, or 7.7%, to $7,907.1 million during the nine month period ended November 1, 2025, primarily driven by the net sales of 108 net new stores opened since the end of the third quarter of Fiscal 2024, as well as an increase of 2% in comparable stores sales during the nine month period ended November 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sales as a percentage of net sales decreased to 56.1% during the nine month period ended November 1, 2025, compared to 56.6% during the nine month period ended November 2, 2024. This improvement was driven primarily by lower freight costs and higher merchandise margin. On a dollar basis, cost of sales increased $277.6 million, or 6.7%, primarily driven by our overall increase in sales.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as a percentage of net sales decreased to 35.0% during the nine month period ended November 1, 2025, compared to 35.2% during the nine month period ended November 2, 2024. The decrease was primarily driven by leverage in store payroll costs and product sourcing costs, partially offset by deleverage in occupancy. On a dollar basis, selling, general and administrative expenses increased by $183.2 million, or 7.1%, to $2,765.5 million during the nine month period ended November 1, 2025. The increase was primarily driven by our 108 net new stores opened since the end of the third quarter of Fiscal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 periods ended November 1, 2025 and November 2, 2024, the Company incurred costs related to leases acquired through bankruptcy proceedings. The acquisition of these leases resulted in $27.5 million and $9.4 million of pre-opening costs that are recorded in the line item, “Selling, general and administrative expenses” in our Condensed Consolidated Statements of Income during the nine month periods ended November 1, 2025 and November 2, 2024,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Depreciation and amortization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amounted to $285.9 million during the nine month period ended November 1, 2025 compared with $256.1 million during the nine month period ended November 2, 2024. The increase in depreciation and amortization expense was primarily driven by new and non-comparable stores, as well as capital expenditures related to investments in our supply chain infrastructure.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charges –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on long-lived assets were $5.9 million during the nine month period ended November 1, 2025, primarily related to two owned stores expected to sell below net carrying value as well as stores with unrecoverable assets. Impairment charges on long-lived assets were $11.3 million during the nine month period ended November 2, 2024, primarily related to a sale-leaseback transaction at one owned store sold below net carrying value and stores relocated and closed before the end of the respective lease-end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recoverability assessment related to these store-level assets requires various judgments and estimates, including estimates related to future revenues, gross margin rates, store expenses and other assumptions. We base these estimates upon our past and expected future performance. We believe our estimates are appropriate in light of current market conditions. However, future impairment charges could be required if we do not achieve our current revenue or cash flow projections for each store. Refer to Note 6, “Fair Value Measurements,” for further discussion regarding impairment charges.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decreased $7.4 million during the nine month period ended November 1, 2025 to $13.7 million, compared to the same period in the prior year. The decreases are primarily driven by lower average cash balances as well as decreased interest rates.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$1.4 million during the nine month period ended November 1, 2025 to $52.4 million, compared to the same period in the prior year. Increases related to the upsize of the Term Loan Facility were partially offset by increased capitalized interest as a result of the ongoing construction of a distribution center. Additionally, the Company paid down the 2025 Convertible Notes during the first quarter of Fiscal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average interest rate on the Term Loan Facility was 6.1% and 7.3% for the nine month period ended November 1, 2025 and the nine month period ended November 2, 2024, respectively. The average balance on the Term Loan Facility, excluding the original issue discount, was $1,503.8 million and $979.7 million for the nine month period ended November 1, 2025 and the nine month period ended November 2,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average interest rate on the ABL Line of Credit was 5.5% for the nine month period ended November 1, 2025. The average balance on the ABL Line of Credit was $26.9 million for the nine month period ended November 1, 2025. There were no borrowings under the ABL Line of Credit during the nine month period ended November 2,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$98.5 million during the nine month period ended November 1, 2025 compared with income tax expense of $84.5 million during the nine month period ended November 2, 2024. The effective tax rate for the nine month period ended November 1, 2025 was 24.7% compared with 25.8% during the nine month period ended November 2, 2024. The increase in income tax expense is due to higher pre-tax income. The lower effective tax rate is primarily driven by the tax benefit from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end of each interim period we are required to determine the best estimate of our annual effective tax rate and then apply that rate in providing for income taxes on a current year-to-date (interim period) basis. Use of this methodology during the nine month period ended November 1, 2025 resulted in an annual effective income tax rate of approximately 26% (before discrete items) as our best estimate.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 xml:space="preserve">Net income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earned net income of $299.8 million for the nine month period ended November 1, 2025 compared with $242.9 million for the nine month period ended November 2, 2024. This increase was primarily driven by higher sales, as well as increased gross margin rate. Net income included $20.5 million and $6.8 million of expense, net of income taxes, for the first nine months of Fiscal 2025 and Fiscal 2024, respectively, related to the bankruptcy acquired leases.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Liquidity and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satisfy interest payment and future principal payment obligations on our outstanding debt will depend largely on our future performance which, in turn, is subject to prevailing economic conditions and to financial, business and other factors beyond our control. If we do not have sufficient cash flow to service interest payment and future principal payment obligations on our outstanding indebtedness and if we cannot borrow or obtain equity financing to satisfy those obligations, our business and results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operations will be materially adversely affected. We cannot be assured that any replacement borrowing or equity financing could be successfully completed on terms similar to our current financing agreements,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cash generated from operations, along with our existing cash and our ABL Line of Credit, will be sufficient to fund our expected cash flow requirements and planned capital expenditures for at least the next twelve months as well as the foreseeable future. However, there can be no assurance that we would be able to offset declines in our comparable store sales with savings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market conditions warrant, we may, from time to time, repurchase our outstanding debt securities in the open market, in privately negotiated transactions, by tender offer, by exchange transaction or otherwise. Such repurchases, if any, will depend on prevailing market conditions, our liquidity and other factors and may be commenced or suspended at any time. The amounts involved and total consideration paid may be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evaluate options to opportunistically increase, refinance or extend our debt. Our assessment will be based on our capital needs for, among other things, facility purchases, capital improvements and expenditures. No assurance can be given that we will enter into such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 for the Nine Month Period Ended November 1, 2025 Compared With the Nine Month Period Ended November 2,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used $410.6 million of cash during the nine month period ended November 1, 2025 compared with a use of $67.6 million during the nine month period ended November 2,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operating activities amounted to $293.9 million during the nine month period ended November 1, 2025, compared with $320.2 million during the nine month period ended November 2, 2024. The decrease in our operating cash flows was primarily driven by the impact of changes in working capital, partially offset by improved sales and gross margin.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$837.8 million during the nine month period ended November 1, 2025 compared with $535.9 million during the nine month period ended November 2, 2024. This change was primarily the result of the timing of spend related to investments in our supply chain infrastructure, as well as the timing of new store construction.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$133.3 million during the nine month period ended November 1, 2025 compared with $148.1 million during the nine month period ended November 2, 2024. This change was primarily driven by the settlement of the 2025 Convertible Notes during the first quarter of Fiscal 2025 and an increase in treasury stock repurchases, partially offset by net proceeds related to the upsize of the Term Loan Facility during the second quarter of Fiscal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working capital also impact our cash flows. Working capital equals current assets minus current liabilities. We had working capital at November 1, 2025 of $458.8 million compared with $389.0 million at November 2, 2024. The increase in working capital was primarily due to increased inventory and decreased current maturities of long term debt related to the settlement of the 2025 Convertible Notes, partially offset by a lower cash balance. We had working capital at February 1, 2025 of $356.3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nine month period ended November 1, 2025, capital expenditures, net of $31.1 million of landlord allowances, amounted to $835.2 million (inclusive of accrued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we will spend approximately $950 million, net of approximately $55 million of landlord allowances, in capital expenditures during Fiscal 2025, including approximately $445 million, net of the previously mentioned landlord allowances, for store expenditures (new stores, relocations, downsizes and other store expenditures). In addition, we estimate that we will spend approximately $415 million to support our supply chain initiatives, with the remaining capital used to support our information technology and other business initiatives.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our Board of Directors authorized the repurchase of up to $500.0 million of common stock, which expired on August 15,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2025, our Board of Directors authorized the repurchase of up to an additional $500.0 million of common stock, which is authorized to be executed through May 20, 2027.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 period ended November 1, 2025, we repurchased 761,731 shares of common stock for $192.0 million under these repurchase programs. As of November 1, 2025, we had $444.5 million remaining under our share repurchase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authorized to repurchase shares of our outstanding common stock from time to time on the open market or in privately negotiated transactions under our repurchase program. The timing and amount of stock repurchases will depend on a variety of factors, including the market conditions as well as corporate and regulatory considerations. Our share repurchase program may be suspended, modified or discontinued at any time, and we have no obligation to repurchase any amount of our common stock under the program.</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and intend to continue to, retain all available funds and any future earnings to fund all of the Company's capital expenditures, business initiatives, and to support any potential opportunistic capital structure initiatives. Therefore, at this time, we do not anticipate paying cash dividends in the near term. Our ability to pay dividends on our common stock will be limited by restrictions on the ability of our subsidiaries to pay dividends or make distributions under the terms of current and any future agreements governing our indebtedness. Any future determination to pay dividends will be at the discretion of our Board of Directors, subject to compliance with covenants in our current and future agreements governing our indebtedness, and will depend upon our results of operations, financial condition, capital requirements and other factors that our Board of Directors deems relevant.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since we are a holding company, substantially all of the assets shown on our Condensed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Operational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nine month period ended November 1, 2025, we opened 129 new stores, inclusive of 18 relocations, and closed eight stores, exclusive of the aforementioned relocations, bringing our store count as of November 1, 2025 to 1,211 stores.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and Hedging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November 1, 2025, our obligations, inclusive of original issue discount, include $1,723.3 million under our Term Loan Facility, $297.1 million of our 2027 Convertible Notes and no outstanding borrowings on our ABL Line of Credit. Our debt obligations also include $23.3 million of finance lease obligations as of November 1,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Term Loan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Credit Agreement (as amended, supplemented and otherwise modified, the Term Loan Facility) that provides for term loans in an aggregate principal amount as of November 1, 2025 of $1,735.0 million maturing on September 24,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24, 2024, we entered into an amendment to the Term Loan Facility dated as of February 24, 2011 (the "Amendment"), which among other things, (i) refinanced the outstanding $933.0 million principal amount of Term B-6 Loans with Term B-7 Loans in an aggregate principal amount of $1,250.0 million, which includes incremental term loans in an aggregate principal amount of $317.0 million, (ii) extended the maturity date from June 24, 2028 to September 24, 2031, and (iii) reduced the interest rate margins applicable to our term loan facility from 1.00% to 0.75%, in the case of prime rate loans, and from 2.00% to 1.75%, in the case of SOFR loans, with a 0.00% SOFR floor, and removed the SOFR adjustment. The Term B-7 Loans were issued with an original issue discount of 99.5.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11, 2025, we entered into an amendment to the Term Loan Facility, which among other things, incurred $500.0 million of incremental term loans under the Term Loan Credit Agreement as additional Term B-7 Loans. The incremental term loans were issued with an original issue discount of 99.0 and are otherwise on terms identical to the existing Term B-7 Loans and are fungible with the existing Term B-7 Loans.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November 1, 2025, our borrowing rate related to the Term Loan Facility was 5.7%.</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ABL Line of Credit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Second Amended and Restated Credit Agreement (as amended, supplemented and otherwise modified, the ABL Line of Credit) that provides for $1,000.0 million of revolving commitments (subject to a borrowing base limitation) maturing on July 25, 2030, and, subject to the satisfaction of certain conditions, BCFWC can increase the aggregate amount of commitments up to an amount not to exceed the sum of (i) the greater of (x) $300.0 million and (y) the amount by which the Borrowing Base exceeds the aggregate Commitments, plus (iii) the amount of all permanent reductions in commitments after July 25, 2025. The interest rate margin applicable under the ABL Line of Credit is 1.125% to 1.375% in the case of a daily SOFR rate or a term SOFR rate, and 0.125% to 0.375% in the case of a prime rate, depending on the average daily availability of the lesser of (a) the total commitments or (b) the borrowing base. The ABL Line of Credit is collateralized by a first priority lien on BCFWC’s and each guarantor's inventory, receivables, bank accounts, and certain related assets and proceeds thereof (subject to certain exceptions), and a second priority lien on BCFWC’s and each guarantor's other assets and proceeds thereof (other than real estate and subject to certain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25, 2025, we entered into an amendment to the ABL Line of Credit in order to, among other things, (i) increase the aggregate principal amount of the commitments from $900.0 million to $1,000.0 million and (ii) extend the maturity date of the commitments and loans from December 22, 2026 to July 25,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November 1, 2025, we had $947.9 million available under the ABL Line of Credit. Average borrowings during the nine month period ended November 1, 2025 amounted to $26.9 million at an average interest rate of 5.5%.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2025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16, 2020, we issued 2025 Convertible Notes, which matured on April 15, 2025. The 2025 Convertible Notes were general unsecured obligations of the Company and bore interest at a rate of 2.25% per year, payable semi-annually in cash, in arrears, on April 15 and October 15 of each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maturity, holders of the 2025 Convertible Notes submitted conversion notices with respect to approximately $155.5 million aggregate principal amount of the 2025 Convertible Notes. On the conversion settlement date, the Company paid to the converting holders the aggregate principal amount of 2025 Convertible Notes subject to conversion, and issued and delivered to such holders 57,149 shares of common stock, in respect of the remainder of its conversion obligation in excess of such aggregate principal amount. At maturity, the Company paid in cash the principal balance and related accrued and unpaid interest on the 2025 Convertible Notes not previously converted. There was no resulting debt extinguishment charge from this transaction.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12, 2023, we closed the issuance of approximately $297.1 million aggregate principal amount of our 2027 Convertible Notes pursuant to separate, privately negotiated exchange and subscription agreements with a limited number of holders of our 2025 Convertible Notes and certain investors, in each case pursuant to exemptions from registration under the Securities Act of 1933. An aggregate of up to 1,422,568 shares of common stock may be issued upon conversion of the 2027 Convertible Notes, which number is subject to adjustment up to an aggregate of 1,911,372 shares following certain corporate events that occur prior to the maturity date or if we issue a notice of redemption, and which is also subject to certain anti-dilution adjustments.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2027 Convertible Notes bear interest at a rate of 1.25% per year, payable semi-annually in arrears on June 15 and December 15 of each year. The 2027 Convertible Notes will mature on December 15, 2027, unless earlier converted, redeemed or repurchased.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close of business on the business day immediately preceding September 15, 2027, the 2027 Convertible Notes will be convertible at the option of the holders only upon the occurrence of certain events and during certain periods. Thereafter, the 2027 Convertible Notes will be convertible at the option of the holders at any time until the close of business on the second scheduled trading day immediately preceding the maturity date. The 2027 Convertible Notes have an initial conversion rate of 4.8560 shares per $1,000 principal amount of 2027 Convertible Notes (equivalent to an initial conversion price of approximately $205.93 per share of our common stock), subject to adjustment if certain events occur. The initial conversion price represents a conversion premium of approximately 32.50% over $155.42 per share, the last reported sale price of our common stock on September 7, 2023 on The New York Stock Exchange. Upon conversion, we will pay cash up to the aggregate principal amount of 2027 Convertible Notes being converted, and pay (and deliver, if applicable) cash, shares of our common stock or a combination thereof, at its election, in respect of the remainder (if any) of our conversion obligation in excess of such aggregate principal amount. We will not be able to redeem the 2027 Convertible Notes prior to December 20, 2025. On or after December 20, 2025 and prior to the 21st scheduled trading day immediately preceding December 15, 2027, we will be able to redeem for cash all or any portion of the 2027 Convertible Notes, at its option, if the last reported sale price of our common stock is equal to or greater than 130% of the conversion price for a specified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 of time, at a redemption price equal to 100% of the aggregate principal amount of the 2027 Convertible Notes to be redeemed, plus accrued and unpaid interest, if any, to, but excluding, the redemption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undergo a fundamental change, subject to certain conditions, holders of the 2027 Convertible Notes may require us to repurchase for cash all or any portion of our 2027 New Convertible Notes. The fundamental change repurchase price will be 100% of the aggregate principal amount of the 2027 Convertible Notes to be repurchased plus any accrued and unpaid interest to, but excluding, the fundamental change repurchase date.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Fiscal 2025, we entered into a $200.0 million interest rate swap agreement with a fixed interest rate of 3.76%. On the same date, we also entered into a $100.0 million interest rate swap agreement with a fixed interest rate of 3.73%.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total, we have interest rate swaps which hedge $1,100.0 million of variable rate exposure under our Term Loan Facility. The interest rate swaps are designated as cash flow hedges and expire on September 24, 2031. Refer to Note 5, “Derivative Instruments and Hedging Activities,” for further discussion regarding our derivative transactions.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Certain Information Concerning 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had $1,724.7 million of purchase commitments related to goods that were not received as of November 1, 2025, and had $5,045.1 million of future minimum lease payments under operating leases as of November 1, 2025. Other than the items disclosed here, and in the "Debt and Hedging" section above, there were no other significant changes regarding our obligations to make future payments under current contracts from those included in our Fiscal 2024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Condensed Consolidated Financial Statements requires management to make estimates and assumptions that affect (i) the reported amounts of assets and liabilities; (ii) the disclosure of contingent assets and liabilities at the date of the Condensed Consolidated Financial Statements; and (iii) the reported amounts of revenues and expenses during the reporting period. On an ongoing basis, management evaluates its estimates and judgments, including those related to revenue recognition, inventories, long-lived assets, intangible assets, goodwill, insurance reserves, leases and income taxes. Historical experience and various other factors that are believed to be reasonable under the circumstances form the basis for making estimates and judgments about the carrying values of assets and liabilities that are not readily apparent from other sources. Actual results may differ from these estimates under different assumptions or conditions. As events continue to evolve and additional information becomes available, our estimates may change materially in future periods. A critical accounting estimate meets two criteria: (1) it requires assumptions about highly uncertain matters and (2) there would be a material effect on the Condensed Consolidated Financial Statements from either using a different, although reasonable, amount within the range of the estimate in the current period or from reasonably likely period-to-period changes in the estimate.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policies and estimates are consistent with those disclosed in Note 1, “Summary of Significant Accounting Policies,” to the audited Consolidated Financial Statements, included in Part II, Item 8 of the Fiscal 2024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Safe Harbor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that are based on current expectations, estimates, forecasts and projections about us, the industry in which we operate and other matters, as well as management’s beliefs and assumptions and other statements regarding matters that are not historical facts. For example, when we use words such as “projects,” “expects,” “anticipates,” “intends,” “plans,” “believes,” “seeks,” “estimates,” “should,” “would,” “could,” “will,” “opportunity,” “potential” or “may,” variations of such words or other words that convey uncertainty of future events or outcomes, we are making forward-looking statements within the meaning of Section 27A of the Securities Act of 1933, as amended, and Section 21E of the Securities Exchange Act of 1934, as amended (Exchange Act). Such statements may include, but are not limited to, future impacts of current macroeconomic conditions, proposed store openings and closings, proposed capital expenditures, ongoing strategic initiatives and the intended results of those initiatives, future performance or results, the effect of the adoption of recent accounting pronouncements on our condensed consolidated financial position, results of operations and cash flows, and the outcome of contingencies such as legal proceedings. Our forward-looking statements are subject to risks and uncertainties. Actual events or results may differ materially from the results anticipated in these forward-looking statements as a result of a variety of factors. While it is impossible to identify all such factors,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factors that could cause actual events or results to differ materially from those we expected include: general economic conditions, such as inflation, and the domestic and international political situation and the related impact on consumer confidence and spending; competitive factors, including the scale and potential consolidation of some of our competitors, rise of e-commerce spending, pricing and promotional activities of major competitors, and an increase in competition within the markets in which we compete; seasonal fluctuations in our net sales, operating income and inventory levels; the reduction in traffic to, or the closing of, the other destination retailers in the shopping areas where our stores are located; our ability to identify changing consumer preferences and demand; our ability to meet evolving regulatory requirements and stakeholder expectations regarding our environmental, social or governance matters; extreme and/or unseasonable weather conditions caused by climate change or otherwise adversely impacting demand; effects of public health crises, epidemics or pandemics; our ability to sustain our growth plans or successfully implement our long-range strategic plans; our ability to execute our opportunistic buying and inventory management process; our ability to optimize our existing stores or maintain favorable lease terms; the availability, selection and purchasing of attractive brand name merchandise on favorable terms; our ability to attract, train and retain quality employees and temporary personnel in sufficient numbers; labor costs and our ability to manage a large workforce; the solvency of parties with whom we do business and their willingness to perform their obligations to us; import risks, including tax and trade policies, tariffs and government regulations; disruption in our distribution network; our ability to protect our information systems against service interruption, misappropriation of data, breaches of security, or other cyber-related attacks; risks related to the methods of payment we accept; the success of our advertising and marketing programs in generating sufficient levels of customer traffic and awareness; damage to our corporate reputation or brand; impact of potential loss of executives or other key personnel; our ability to comply with existing and changing laws, rules, regulations and local codes; lack of or insufficient insurance coverage; issues with merchandise safety and shrinkage; our ability to comply with increasingly rigorous privacy and data security regulations; impact of legal and regulatory proceedings relating to us; use of social media by us or by third parties at our direction in violation of applicable laws and regulations; our ability to generate sufficient cash to fund our operations and service our debt obligations; our ability to comply with covenants in our debt agreements; the consequences of the possible conversion of our convertible notes; our reliance on dividends, distributions and other payments, advance and transfers of funds from our subsidiaries to meet our obligations; the volatility of our stock price; the impact of the anti-takeover provisions in our governing documents; impact of potential shareholder activism and other risks discussed from time to time in our filings with the Securities and Exchange Commission (SEC), including those under the heading “Risk Factors” in the Fiscal 2024 10-K, under the heading “Risk Factors” in Part II, Item 1A in our Quarterly Reports on Form 10-Q for the quarterly periods ended May 3, 2025 and August 2, 2025, and as further updated under the heading “Risk Factors” in Part II, Item 1A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these factors are beyond our ability to predict or control.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undertake no obligation to publicly update or revise any forward-looking statements, whether as a result of new information, future events or otherwise, except as required by law, even if experience or future changes make it clear that any projected results expressed or implied in such statements will not be realized. If we do update one or more forward-looking statements, no inference should be made that we will make additional updates with respect to those or other forward-looking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“Summary of Significant Accounting Policies,” to our Condensed Consolidated Financial Statements in Part I, Item 1 for a discussion of recent accounting pronouncements and their impact on our Condensed Consolidated Financial Statements.</w:t>
      </w:r>
    </w:p>
    <w:p>
      <w:pPr>
        <w:pStyle w:val="TextBody"/>
        <w:bidi w:val="0"/>
        <w:spacing w:before="36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 xml:space="preserve">Item 3. Quantitative and Qualitative Disclosures About Market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material changes to our quantitative and qualitative disclosures about market risk from those included in the Fiscal 2024 10-K (as supplemented by our Quarterly Report on Form 10-Q for the quarter ended August 2,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Exchange Act, as of the last day of the fiscal period covered by this report, November 1, 2025.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November 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November 1, 2025, there were no changes in our internal control over financial reporting that have materially affected, or are reasonably likely to materially affect, our internal control over financial reporting.</w:t>
      </w:r>
    </w:p>
    <w:p>
      <w:pPr>
        <w:pStyle w:val="TextBody"/>
        <w:bidi w:val="0"/>
        <w:spacing w:before="240" w:after="283"/>
        <w:jc w:val="left"/>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course of business, the Company is party to class or collective actions alleging violations of federal and state wage and hour and other labor statutes, representative claims under the California Private Attorneys’ General Act and various other lawsuits and regulatory proceedings from time to time including, among others, commercial, product, employee, customer, intellectual property, privacy and other claims. Actions against us are in various procedural stages. Many of these proceedings raise factual and legal issues and are subject to uncertainties. Refer to Note 11, "Commitments and Contingencies," to our Condensed Consolidated Financial Statements for further detail.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factors discussed under Item 1A, "Risk Factors" and elsewhere in the Fiscal 2024 Form 10-K. These risks and uncertainties could materially and adversely affect our business, consolidated financial condition, results of operations, or cash flows. Our operations could also be affected by additional factors that are not presently known to us or by factors that we currently do not consider material to our business. There have been no material changes in the risk factors discussed in the Fiscal 2024 Form 10-K except as set forth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factor set forth in the Fiscal 2024 Form 10-K under the heading “A downturn in general economic conditions or consumer spending or inflationary conditions could adversely affect our business” is replaced in its entirety with the new risk factor set forth below:</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 downturn in general economic conditions or consumer spending or inflationary conditions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 spending levels and shopping behaviors are affected by various economic conditions, which can affect our business or the retail industry generally as a result. These factors include, among other things, prevailing global economic conditions, inflation (including the costs of basic necessities and other goods), levels of employment, salaries and wage rates, prevailing interest rates, housing costs, energy costs, commodities pricing, income tax rates and policies, immigration policies (including enforcement practices, particularly in regions with a relatively high concentration of Hispanic customers, which is an important demographic group within our customer base), consumer confidence and consumer perception of economic conditions. In addition, consumer purchasing patterns may be influenced by consumers’ disposable income, credit availability and debt levels. Slowdown in the U.S. economy, an uncertain global economic outlook, interest rate volatility, or a credit crisis could adversely affect consumer spending habits, resulting in lower net sales and profits than expected on a quarterly or annual basis. Consumer confidence is also affected by the domestic and international political situation and periods of social unrest. The occurrence of terrorist acts or other hostilities in or affecting the U.S. could lead to a decrease in spending by consumers. In addition, natural disasters, industrial accidents, acts of war or global international conflicts (such as the conflict in Ukraine or the conflict in the Middle East), and public health issues (such as pandemics or epidemics) have in the past and may in the future have the effect of disrupting supplies and raising prices globally which, in turn, may have adverse effects on the world and U.S. economies and lead to a downturn in consumer confidence and spending. Certain of these risks, such as risks arising from economic volatility, have been enhanced in 2025 in light of the recent change in trade and tariff policies. General uncertainty regarding the overall future political and economic environment and adverse economic changes could reduce consumer confidence and could negatively affect our operating results. We cannot predict when macroeconomic uncertainty may arise, whether or when such circumstances may improve or worsen or what impact such circumstances could have on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Recent actions by the U.S., including the imposition of significant tariffs on imports from certain countries, have heightened uncertainty in the global trade environment. These tariffs, along with potential retaliatory measures by other countries, may increase inflationary pressure and raise the costs of our merchandise.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be able to offset inflationary pressure and other fluctuations in costs in the future, or that consumer behavior or our business, operations, liquidity, and/or financial results, will not be negatively affected by continued inflation in the future. We may not be able to adequately increase our prices over time to offset increased costs, whether due to inflation, tariffs or otherwise. Any decreases in consumer discretionary spending could result in a decrease in store traffic and same store sales, all of which could negatively affect the Company’s business, operations, liquidity, financial results and/or stock price, particularly if consumer spending levels are depressed for a prolonged period of time.</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 factor set forth in the Fiscal 2024 Form 10-K under the heading “Many of our vendors produce merchandise overseas, and our business is exposed to the risk of foreign and domestic operations and international tax policies and trade relations” is replaced in its entirety with the new risk factor set forth below:</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Many of our vendors produce merchandise overseas, and our business is exposed to the risk of foreign and domestic operations and international tax and tariff policies and trade relations.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any manufacturing facilities. As a result, we are dependent upon the timely receipt of quality merchandise from vendors, many of which produce merchandise overseas. Factors which affect overseas production could affect our vendors and, in turn, our ability to obtain inventory and the price levels at which they may be obtained. Factors that cause an increase in merchandise costs or a decrease in supply could lead to generally lower sales and gross margins in the retail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or labor instability in countries where vendors are located or at foreign ports which could result in lengthy shipment delays, which, particularly if timed ahead of the Fall and Winter peak selling periods, could materially and adversely affect our ability to stock inventory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the operations of domestic ports through which we import our merchandise, including labor disputes involving work slowdowns, lockouts or strikes, which could require us and/or our vendors to ship merchandise to alternative ports in the United States or through the use of more expensive means, and shipping to alternative ports in the United States could result in increased lead times and transportation costs; disruptions at ports through which we import our goods could also result in unanticipated inventory shortages;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or military conflict, which could cause a delay in the transportation of our products to us and an increase in transportation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heightened terrorism security concerns, which could subject imported goods to additional, more frequent or more thorough inspections, leading to delays in deliveries or impoundment of goods for extended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disease epidemics, pandemics, outbreaks and other health-related concerns, which could result in closed factories, reduced workforces, scarcity of raw materials and scrutiny or embargoing of goods produced in affected areas;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and industrial accidents, which could have the effect of curtailing production and disrupting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labor and production costs in goods-producing countries, which would result in an increase in our inventory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migration and development of manufacturers, which can affect where our products are or will be produced;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 in our vendors’ local currency against the dollar, which may increase our cost of goods sold;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import duties, tariffs, taxes, charges, quotas, loss of “most favored nation” trading status with the United States for a particular foreign country, trade restrictions (including the United States imposing antidumping or countervailing duty orders, safeguards, remedies or compensation and retaliation due to illegal foreign trade practices) and other barriers to trade.</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foregoing factors, or a combination thereof,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the past few years, uncertainty has increased with respect to tax and trade policies, tariffs and government regulations affecting trade between the U.S. and other countries. Although we source the majority of our merchandise from third party vendors located in the U.S., the production of that merchandise occurs primarily overseas. As a result, we have been impacted by the volatility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effective tariffs, including new tariffs that have commenced in 2025, retaliatory tariffs and other restrictions on trade that have resulted and may result in the future. We can provide no assurance that any strategies we implement to mitigate the impact of such tariffs or other trade actions will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major developments in tax policy or trade relations, such as the disallowance of tax deductions for imported merchandise or the imposition of additional unilateral tariffs on imported products, could increase the cost of products purchased from suppliers in such countries or restrict the importation of products from such countries. It remains unclear how tax or trade policies, tariffs or trade relations may change in the future, and additional changes in turn could have a material adverse effect on our business, results of operations and liquidity.</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Purchases of Equity Securities by the Issuer and Affiliated Purchasers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regarding our purchases of common stock during the three fiscal months ended November 1, 2025:</w:t>
      </w:r>
    </w:p>
    <w:tbl>
      <w:tblPr>
        <w:tblW w:w="9524" w:type="dxa"/>
        <w:jc w:val="left"/>
        <w:tblInd w:w="0" w:type="dxa"/>
        <w:tblLayout w:type="fixed"/>
        <w:tblCellMar>
          <w:top w:w="28" w:type="dxa"/>
          <w:left w:w="28" w:type="dxa"/>
          <w:bottom w:w="28" w:type="dxa"/>
          <w:right w:w="28" w:type="dxa"/>
        </w:tblCellMar>
      </w:tblPr>
      <w:tblGrid>
        <w:gridCol w:w="3661"/>
        <w:gridCol w:w="146"/>
        <w:gridCol w:w="177"/>
        <w:gridCol w:w="948"/>
        <w:gridCol w:w="146"/>
        <w:gridCol w:w="146"/>
        <w:gridCol w:w="271"/>
        <w:gridCol w:w="869"/>
        <w:gridCol w:w="146"/>
        <w:gridCol w:w="146"/>
        <w:gridCol w:w="198"/>
        <w:gridCol w:w="1062"/>
        <w:gridCol w:w="146"/>
        <w:gridCol w:w="146"/>
        <w:gridCol w:w="238"/>
        <w:gridCol w:w="887"/>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Month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w:t>
              <w:br/>
              <w:t>Share(1)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 as</w:t>
              <w:br/>
              <w:t>Part of Publicly</w:t>
              <w:br/>
              <w:t>Announced</w:t>
              <w:br/>
              <w:t>Plans or</w:t>
              <w:br/>
              <w:t>Programs(2)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br/>
              <w:t>Dollar Value</w:t>
              <w:br/>
              <w:t>of Shares</w:t>
              <w:br/>
              <w:t>That May Yet</w:t>
              <w:br/>
              <w:t>Be Purchased</w:t>
              <w:br/>
              <w:t>Under the</w:t>
              <w:br/>
              <w:t>Plans or</w:t>
              <w:br/>
              <w:t xml:space="preserve">Programs </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 2025 through August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31, 2025 through October 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5, 2025 through November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commissions for the shares repurchased under our publicly announced share repurchase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On August 15, 2023, our Board of Directors authorized the repurchase of up to $500.0 million of common stock, which expired on August 15, 2025. During the second quarter of Fiscal 2025, the Company's Board of Directors authorized the repurchase of up to an additional $500.0 million of common stock, which is authorized to be executed through May 20, 2027. For a further discussion of our share repurchase programs, see “Part I, Item 2. Management’s Discussion and Analysis of Financial Condition and Results of Operations—Liquidity and Capital Resources—Share Repurchase Program.”</w:t>
        <w:br/>
      </w:r>
      <w:r>
        <w:rPr>
          <w:color w:val="000000"/>
        </w:rPr>
        <w:t>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 xml:space="preserve">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three-month period ended November 1, 2025, no director or officer of the Company adopted, modified or terminated a “Rule 10b5-1 trading arrangement” or “non-Rule 10b5-1 trading arrangement,” as each term is defined in Item 408 of Regulation S-K.</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35"/>
        <w:gridCol w:w="7618"/>
        <w:gridCol w:w="692"/>
        <w:gridCol w:w="1060"/>
      </w:tblGrid>
      <w:tr>
        <w:trPr/>
        <w:tc>
          <w:tcPr>
            <w:tcW w:w="835" w:type="dxa"/>
            <w:tcBorders/>
            <w:vAlign w:val="center"/>
          </w:tcPr>
          <w:p>
            <w:pPr>
              <w:pStyle w:val="TableContents"/>
              <w:bidi w:val="0"/>
              <w:spacing w:before="0" w:after="283"/>
              <w:jc w:val="left"/>
              <w:rPr>
                <w:sz w:val="4"/>
                <w:szCs w:val="4"/>
              </w:rPr>
            </w:pPr>
            <w:r>
              <w:rPr>
                <w:sz w:val="4"/>
                <w:szCs w:val="4"/>
              </w:rPr>
            </w:r>
          </w:p>
        </w:tc>
        <w:tc>
          <w:tcPr>
            <w:tcW w:w="761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835" w:type="dxa"/>
            <w:tcBorders>
              <w:top w:val="single" w:sz="12" w:space="0" w:color="000000"/>
              <w:left w:val="single" w:sz="12" w:space="0" w:color="000000"/>
              <w:right w:val="single" w:sz="12" w:space="0" w:color="000000"/>
            </w:tcBorders>
            <w:tcMar>
              <w:bottom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7618" w:type="dxa"/>
            <w:tcBorders>
              <w:top w:val="single" w:sz="12" w:space="0" w:color="000000"/>
              <w:right w:val="single" w:sz="4" w:space="0" w:color="000000"/>
            </w:tcBorders>
            <w:tcMar>
              <w:left w:w="0" w:type="dxa"/>
              <w:bottom w:w="0" w:type="dxa"/>
            </w:tcMar>
            <w:vAlign w:val="center"/>
          </w:tcPr>
          <w:p>
            <w:pPr>
              <w:pStyle w:val="TableContents"/>
              <w:bidi w:val="0"/>
              <w:spacing w:before="0" w:after="283"/>
              <w:jc w:val="center"/>
              <w:rPr/>
            </w:pPr>
            <w:r>
              <w:rPr/>
              <w:t> </w:t>
            </w:r>
          </w:p>
        </w:tc>
        <w:tc>
          <w:tcPr>
            <w:tcW w:w="1752" w:type="dxa"/>
            <w:gridSpan w:val="2"/>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7618"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692"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06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35" w:type="dxa"/>
            <w:tcBorders>
              <w:left w:val="single" w:sz="12" w:space="0" w:color="000000"/>
              <w:bottom w:val="single" w:sz="4" w:space="0" w:color="000000"/>
              <w:right w:val="single" w:sz="12"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761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hyperlink w:anchor="burl-ex31_1.htm">
              <w:r>
                <w:rPr>
                  <w:rStyle w:val="InternetLink"/>
                  <w:rFonts w:ascii="Times New Roman" w:hAnsi="Times New Roman"/>
                  <w:color w:val="0000FF"/>
                  <w:sz w:val="20"/>
                  <w:u w:val="single"/>
                </w:rPr>
                <w:t>Certification of Principal Executive Officer required by Rule 13a-14(a) or Rule 15d-14(a) of the Securities Exchange Act of 1934, as adopted pursuant to Section 302 of the Sarbanes-Oxley Act of 2002.</w:t>
              </w:r>
            </w:hyperlink>
          </w:p>
        </w:tc>
        <w:tc>
          <w:tcPr>
            <w:tcW w:w="6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r>
              <w:rPr/>
              <w:t> </w:t>
            </w:r>
          </w:p>
        </w:tc>
        <w:tc>
          <w:tcPr>
            <w:tcW w:w="1060" w:type="dxa"/>
            <w:tcBorders>
              <w:bottom w:val="single" w:sz="4"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8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7618"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pPr>
            <w:hyperlink w:anchor="burl-ex31_2.htm">
              <w:r>
                <w:rPr>
                  <w:rStyle w:val="InternetLink"/>
                  <w:rFonts w:ascii="Times New Roman" w:hAnsi="Times New Roman"/>
                  <w:color w:val="0000FF"/>
                  <w:sz w:val="20"/>
                  <w:u w:val="single"/>
                </w:rPr>
                <w:t>Certification of Principal Financial Officer required by Rule 13a-14(a) or Rule 15d-14(a) of the Securities Exchange Act of 1934, as adopted pursuant to Section 302 of the Sarbanes-Oxley Act of 2002.</w:t>
              </w:r>
            </w:hyperlink>
          </w:p>
        </w:tc>
        <w:tc>
          <w:tcPr>
            <w:tcW w:w="692"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6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5" w:type="dxa"/>
            <w:tcBorders>
              <w:left w:val="single" w:sz="12" w:space="0" w:color="000000"/>
              <w:bottom w:val="single" w:sz="4" w:space="0" w:color="000000"/>
              <w:right w:val="single" w:sz="12"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7618"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pPr>
            <w:hyperlink w:anchor="burl-ex32_1.htm">
              <w:r>
                <w:rPr>
                  <w:rStyle w:val="InternetLink"/>
                  <w:rFonts w:ascii="Times New Roman" w:hAnsi="Times New Roman"/>
                  <w:color w:val="0000FF"/>
                  <w:sz w:val="20"/>
                  <w:u w:val="single"/>
                </w:rPr>
                <w:t>Certification of Principal Executive Officer pursuant to 18 U.S.C. 1350, as adopted pursuant to Section 906 of the Sarbanes-Oxley Act of 2002.</w:t>
              </w:r>
            </w:hyperlink>
          </w:p>
        </w:tc>
        <w:tc>
          <w:tcPr>
            <w:tcW w:w="6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60" w:type="dxa"/>
            <w:tcBorders>
              <w:bottom w:val="single" w:sz="4"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7618"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pPr>
            <w:hyperlink w:anchor="burl-ex32_2.htm">
              <w:r>
                <w:rPr>
                  <w:rStyle w:val="InternetLink"/>
                  <w:rFonts w:ascii="Times New Roman" w:hAnsi="Times New Roman"/>
                  <w:color w:val="0000FF"/>
                  <w:sz w:val="20"/>
                  <w:u w:val="single"/>
                </w:rPr>
                <w:t>Certification of Principal Financial Officer pursuant to 18 U.S.C. 1350, as adopted pursuant to Section 906 of the Sarbanes-Oxley Act of 2002.</w:t>
              </w:r>
            </w:hyperlink>
          </w:p>
        </w:tc>
        <w:tc>
          <w:tcPr>
            <w:tcW w:w="692" w:type="dxa"/>
            <w:tcBorders>
              <w:bottom w:val="single" w:sz="12"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6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5"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7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Interactive Data File, because its XBRL tags are embedded within the Inline XBRL document.</w:t>
            </w:r>
          </w:p>
        </w:tc>
        <w:tc>
          <w:tcPr>
            <w:tcW w:w="6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60"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5"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7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6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60"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5"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7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6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60"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5"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7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6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60"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5"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7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6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c>
          <w:tcPr>
            <w:tcW w:w="1060"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835" w:type="dxa"/>
            <w:tcBorders>
              <w:left w:val="single" w:sz="12"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76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6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060" w:type="dxa"/>
            <w:tcBorders>
              <w:bottom w:val="single" w:sz="8"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r>
        <w:trPr/>
        <w:tc>
          <w:tcPr>
            <w:tcW w:w="835" w:type="dxa"/>
            <w:tcBorders>
              <w:left w:val="single" w:sz="12" w:space="0" w:color="000000"/>
              <w:bottom w:val="single" w:sz="12"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618" w:type="dxa"/>
            <w:tcBorders>
              <w:bottom w:val="single" w:sz="12" w:space="0" w:color="000000"/>
              <w:right w:val="single" w:sz="8"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692" w:type="dxa"/>
            <w:tcBorders>
              <w:bottom w:val="single" w:sz="12"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060"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or furnished herewith.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BURLINGTON STORES, INC.</w:t>
            </w:r>
          </w:p>
        </w:tc>
      </w:tr>
      <w:tr>
        <w:trPr/>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O’Sullivan</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Michael O’Sullivan</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Kristin Wolfe</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Kristin Wolfe</w:t>
            </w:r>
          </w:p>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November 25,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bookmarkStart w:id="21" w:name="burl-ex31_1.htm"/>
      <w:bookmarkStart w:id="22" w:name="ksburlex31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O’Sullivan,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Burlington Stores,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25, 2025</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burl-ex31_2.htm"/>
      <w:bookmarkStart w:id="24" w:name="ksburlex31_2"/>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Kristin Wolfe,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Burlington Stores,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25, 2025</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burl-ex32_1.htm"/>
      <w:bookmarkStart w:id="26" w:name="ksburlex32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Burlington Stores, Inc. (the “Company”) on Form 10-Q for the fiscal quarter ended November 1, 2025, as filed with the Securities and Exchange Commission on the date hereof (the “Report”), I, Michael O’Sullivan, Chief Executive Officer of the Company, certify, pursuant to 18 U.S.C. §1350, as adopted pursuant to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position and results of operations of the Company.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25, 2025</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burl-ex32_2.htm"/>
      <w:bookmarkStart w:id="28" w:name="ksburlex32_2"/>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Burlington Stores, Inc. (the “Company”) on Form 10-Q for the fiscal quarter ended November 1, 2025, as filed with the Securities and Exchange Commission on the date hereof (the “Report”), I, Kristin Wolfe, Chief Financial Officer of the Company, certify, pursuant to 18 U.S.C. §1350, as adopted pursuant to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position and results of operations of the Company.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25, 2025</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23061</Words>
  <Characters>126316</Characters>
  <CharactersWithSpaces>151364</CharactersWithSpaces>
  <Paragraphs>7242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