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ind w:left="560" w:hanging="539"/>
        <w:spacing w:after="0"/>
        <w:tabs>
          <w:tab w:leader="none" w:pos="560"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17" w:lineRule="exact"/>
        <w:rPr>
          <w:rFonts w:ascii="MS PGothic" w:cs="MS PGothic" w:eastAsia="MS PGothic" w:hAnsi="MS PGothic"/>
          <w:sz w:val="36"/>
          <w:szCs w:val="36"/>
          <w:color w:val="auto"/>
          <w:highlight w:val="black"/>
          <w:vertAlign w:val="superscript"/>
        </w:rPr>
      </w:pPr>
    </w:p>
    <w:p>
      <w:pPr>
        <w:ind w:left="4160"/>
        <w:spacing w:after="0"/>
        <w:rPr>
          <w:rFonts w:ascii="MS PGothic" w:cs="MS PGothic" w:eastAsia="MS PGothic" w:hAnsi="MS PGothic"/>
          <w:sz w:val="36"/>
          <w:szCs w:val="36"/>
          <w:color w:val="auto"/>
          <w:highlight w:val="black"/>
          <w:vertAlign w:val="superscript"/>
        </w:rPr>
      </w:pPr>
      <w:r>
        <w:rPr>
          <w:rFonts w:ascii="Arial" w:cs="Arial" w:eastAsia="Arial" w:hAnsi="Arial"/>
          <w:sz w:val="16"/>
          <w:szCs w:val="16"/>
          <w:b w:val="1"/>
          <w:bCs w:val="1"/>
          <w:color w:val="auto"/>
        </w:rPr>
        <w:t>For the fiscal year ended January 29, 2022</w:t>
      </w:r>
    </w:p>
    <w:p>
      <w:pPr>
        <w:spacing w:after="0" w:line="14" w:lineRule="exact"/>
        <w:rPr>
          <w:rFonts w:ascii="MS PGothic" w:cs="MS PGothic" w:eastAsia="MS PGothic" w:hAnsi="MS PGothic"/>
          <w:sz w:val="36"/>
          <w:szCs w:val="36"/>
          <w:color w:val="auto"/>
          <w:highlight w:val="black"/>
          <w:vertAlign w:val="superscript"/>
        </w:rPr>
      </w:pPr>
    </w:p>
    <w:p>
      <w:pPr>
        <w:ind w:left="5480"/>
        <w:spacing w:after="0"/>
        <w:rPr>
          <w:rFonts w:ascii="MS PGothic" w:cs="MS PGothic" w:eastAsia="MS PGothic" w:hAnsi="MS PGothic"/>
          <w:sz w:val="36"/>
          <w:szCs w:val="36"/>
          <w:color w:val="auto"/>
          <w:highlight w:val="black"/>
          <w:vertAlign w:val="superscript"/>
        </w:rPr>
      </w:pPr>
      <w:r>
        <w:rPr>
          <w:rFonts w:ascii="Arial" w:cs="Arial" w:eastAsia="Arial" w:hAnsi="Arial"/>
          <w:sz w:val="16"/>
          <w:szCs w:val="16"/>
          <w:b w:val="1"/>
          <w:bCs w:val="1"/>
          <w:color w:val="auto"/>
        </w:rPr>
        <w:t>OR</w:t>
      </w:r>
    </w:p>
    <w:p>
      <w:pPr>
        <w:spacing w:after="0" w:line="41"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5" w:lineRule="exact"/>
        <w:rPr>
          <w:sz w:val="24"/>
          <w:szCs w:val="24"/>
          <w:color w:val="auto"/>
        </w:rPr>
      </w:pPr>
    </w:p>
    <w:p>
      <w:pPr>
        <w:ind w:left="362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-15875</wp:posOffset>
            </wp:positionV>
            <wp:extent cx="51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50165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187325</wp:posOffset>
            </wp:positionV>
            <wp:extent cx="2734310"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43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BURLINGTON STORES, INC.</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7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vMerge w:val="restart"/>
          </w:tcPr>
          <w:p>
            <w:pPr>
              <w:jc w:val="center"/>
              <w:ind w:right="479"/>
              <w:spacing w:after="0"/>
              <w:rPr>
                <w:sz w:val="20"/>
                <w:szCs w:val="20"/>
                <w:color w:val="auto"/>
              </w:rPr>
            </w:pPr>
            <w:r>
              <w:rPr>
                <w:rFonts w:ascii="Arial" w:cs="Arial" w:eastAsia="Arial" w:hAnsi="Arial"/>
                <w:sz w:val="16"/>
                <w:szCs w:val="16"/>
                <w:b w:val="1"/>
                <w:bCs w:val="1"/>
                <w:color w:val="auto"/>
                <w:w w:val="91"/>
              </w:rPr>
              <w:t>Delaware</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2"/>
            <w:vMerge w:val="restart"/>
          </w:tcPr>
          <w:p>
            <w:pPr>
              <w:jc w:val="right"/>
              <w:ind w:right="1679"/>
              <w:spacing w:after="0"/>
              <w:rPr>
                <w:sz w:val="20"/>
                <w:szCs w:val="20"/>
                <w:color w:val="auto"/>
              </w:rPr>
            </w:pPr>
            <w:r>
              <w:rPr>
                <w:rFonts w:ascii="Arial" w:cs="Arial" w:eastAsia="Arial" w:hAnsi="Arial"/>
                <w:sz w:val="16"/>
                <w:szCs w:val="16"/>
                <w:b w:val="1"/>
                <w:bCs w:val="1"/>
                <w:color w:val="auto"/>
              </w:rPr>
              <w:t>80-0895227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2240" w:type="dxa"/>
            <w:vAlign w:val="bottom"/>
            <w:gridSpan w:val="2"/>
          </w:tcPr>
          <w:p>
            <w:pPr>
              <w:jc w:val="center"/>
              <w:ind w:left="329"/>
              <w:spacing w:after="0" w:line="126" w:lineRule="exact"/>
              <w:rPr>
                <w:sz w:val="20"/>
                <w:szCs w:val="20"/>
                <w:color w:val="auto"/>
              </w:rPr>
            </w:pPr>
            <w:r>
              <w:rPr>
                <w:rFonts w:ascii="Arial" w:cs="Arial" w:eastAsia="Arial" w:hAnsi="Arial"/>
                <w:sz w:val="13"/>
                <w:szCs w:val="13"/>
                <w:b w:val="1"/>
                <w:bCs w:val="1"/>
                <w:color w:val="auto"/>
                <w:w w:val="89"/>
              </w:rPr>
              <w:t>(State or Other Jurisdiction of</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gridSpan w:val="3"/>
          </w:tcPr>
          <w:p>
            <w:pPr>
              <w:jc w:val="center"/>
              <w:ind w:right="1460"/>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1500" w:type="dxa"/>
            <w:vAlign w:val="bottom"/>
          </w:tcPr>
          <w:p>
            <w:pPr>
              <w:spacing w:after="0"/>
              <w:rPr>
                <w:sz w:val="14"/>
                <w:szCs w:val="14"/>
                <w:color w:val="auto"/>
              </w:rPr>
            </w:pPr>
          </w:p>
        </w:tc>
        <w:tc>
          <w:tcPr>
            <w:tcW w:w="2240" w:type="dxa"/>
            <w:vAlign w:val="bottom"/>
            <w:gridSpan w:val="2"/>
          </w:tcPr>
          <w:p>
            <w:pPr>
              <w:jc w:val="center"/>
              <w:ind w:left="329"/>
              <w:spacing w:after="0"/>
              <w:rPr>
                <w:sz w:val="20"/>
                <w:szCs w:val="20"/>
                <w:color w:val="auto"/>
              </w:rPr>
            </w:pPr>
            <w:r>
              <w:rPr>
                <w:rFonts w:ascii="Arial" w:cs="Arial" w:eastAsia="Arial" w:hAnsi="Arial"/>
                <w:sz w:val="13"/>
                <w:szCs w:val="13"/>
                <w:b w:val="1"/>
                <w:bCs w:val="1"/>
                <w:color w:val="auto"/>
                <w:w w:val="89"/>
              </w:rPr>
              <w:t>Incorporation or Organization)</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2240" w:type="dxa"/>
            <w:vAlign w:val="bottom"/>
            <w:gridSpan w:val="2"/>
          </w:tcPr>
          <w:p>
            <w:pPr>
              <w:jc w:val="center"/>
              <w:ind w:left="329"/>
              <w:spacing w:after="0"/>
              <w:rPr>
                <w:sz w:val="20"/>
                <w:szCs w:val="20"/>
                <w:color w:val="auto"/>
              </w:rPr>
            </w:pPr>
            <w:r>
              <w:rPr>
                <w:rFonts w:ascii="Arial" w:cs="Arial" w:eastAsia="Arial" w:hAnsi="Arial"/>
                <w:sz w:val="16"/>
                <w:szCs w:val="16"/>
                <w:b w:val="1"/>
                <w:bCs w:val="1"/>
                <w:color w:val="auto"/>
                <w:w w:val="92"/>
              </w:rPr>
              <w:t>2006 Route 130 North</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2"/>
            <w:vMerge w:val="restart"/>
          </w:tcPr>
          <w:p>
            <w:pPr>
              <w:jc w:val="right"/>
              <w:ind w:right="1859"/>
              <w:spacing w:after="0"/>
              <w:rPr>
                <w:sz w:val="20"/>
                <w:szCs w:val="20"/>
                <w:color w:val="auto"/>
              </w:rPr>
            </w:pPr>
            <w:r>
              <w:rPr>
                <w:rFonts w:ascii="Arial" w:cs="Arial" w:eastAsia="Arial" w:hAnsi="Arial"/>
                <w:sz w:val="16"/>
                <w:szCs w:val="16"/>
                <w:b w:val="1"/>
                <w:bCs w:val="1"/>
                <w:color w:val="auto"/>
              </w:rPr>
              <w:t>08016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2240" w:type="dxa"/>
            <w:vAlign w:val="bottom"/>
            <w:gridSpan w:val="2"/>
          </w:tcPr>
          <w:p>
            <w:pPr>
              <w:jc w:val="center"/>
              <w:ind w:left="349"/>
              <w:spacing w:after="0"/>
              <w:rPr>
                <w:sz w:val="20"/>
                <w:szCs w:val="20"/>
                <w:color w:val="auto"/>
              </w:rPr>
            </w:pPr>
            <w:r>
              <w:rPr>
                <w:rFonts w:ascii="Arial" w:cs="Arial" w:eastAsia="Arial" w:hAnsi="Arial"/>
                <w:sz w:val="16"/>
                <w:szCs w:val="16"/>
                <w:b w:val="1"/>
                <w:bCs w:val="1"/>
                <w:color w:val="auto"/>
                <w:w w:val="91"/>
              </w:rPr>
              <w:t>Burlington, New Jersey</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500" w:type="dxa"/>
            <w:vAlign w:val="bottom"/>
          </w:tcPr>
          <w:p>
            <w:pPr>
              <w:spacing w:after="0"/>
              <w:rPr>
                <w:sz w:val="14"/>
                <w:szCs w:val="14"/>
                <w:color w:val="auto"/>
              </w:rPr>
            </w:pPr>
          </w:p>
        </w:tc>
        <w:tc>
          <w:tcPr>
            <w:tcW w:w="5400" w:type="dxa"/>
            <w:vAlign w:val="bottom"/>
            <w:gridSpan w:val="8"/>
          </w:tcPr>
          <w:p>
            <w:pPr>
              <w:jc w:val="center"/>
              <w:ind w:right="276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40" w:type="dxa"/>
            <w:vAlign w:val="bottom"/>
            <w:gridSpan w:val="3"/>
          </w:tcPr>
          <w:p>
            <w:pPr>
              <w:jc w:val="center"/>
              <w:ind w:left="1105"/>
              <w:spacing w:after="0"/>
              <w:rPr>
                <w:sz w:val="20"/>
                <w:szCs w:val="20"/>
                <w:color w:val="auto"/>
              </w:rPr>
            </w:pPr>
            <w:r>
              <w:rPr>
                <w:rFonts w:ascii="Arial" w:cs="Arial" w:eastAsia="Arial" w:hAnsi="Arial"/>
                <w:sz w:val="16"/>
                <w:szCs w:val="16"/>
                <w:b w:val="1"/>
                <w:bCs w:val="1"/>
                <w:color w:val="auto"/>
                <w:w w:val="91"/>
              </w:rPr>
              <w:t>(609) 387-7800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720" w:type="dxa"/>
            <w:vAlign w:val="bottom"/>
            <w:gridSpan w:val="7"/>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20" w:type="dxa"/>
            <w:vAlign w:val="bottom"/>
            <w:gridSpan w:val="9"/>
          </w:tcPr>
          <w:p>
            <w:pPr>
              <w:jc w:val="center"/>
              <w:ind w:left="8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500" w:type="dxa"/>
            <w:vAlign w:val="bottom"/>
          </w:tcPr>
          <w:p>
            <w:pPr>
              <w:spacing w:after="0"/>
              <w:rPr>
                <w:sz w:val="24"/>
                <w:szCs w:val="24"/>
                <w:color w:val="auto"/>
              </w:rPr>
            </w:pPr>
          </w:p>
        </w:tc>
        <w:tc>
          <w:tcPr>
            <w:tcW w:w="2240" w:type="dxa"/>
            <w:vAlign w:val="bottom"/>
            <w:gridSpan w:val="2"/>
          </w:tcPr>
          <w:p>
            <w:pPr>
              <w:jc w:val="center"/>
              <w:ind w:right="1199"/>
              <w:spacing w:after="0"/>
              <w:rPr>
                <w:sz w:val="20"/>
                <w:szCs w:val="20"/>
                <w:color w:val="auto"/>
              </w:rPr>
            </w:pPr>
            <w:r>
              <w:rPr>
                <w:rFonts w:ascii="Arial" w:cs="Arial" w:eastAsia="Arial" w:hAnsi="Arial"/>
                <w:sz w:val="13"/>
                <w:szCs w:val="13"/>
                <w:b w:val="1"/>
                <w:bCs w:val="1"/>
                <w:color w:val="auto"/>
                <w:w w:val="85"/>
              </w:rPr>
              <w:t>Title of each class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4"/>
          </w:tcPr>
          <w:p>
            <w:pPr>
              <w:jc w:val="center"/>
              <w:ind w:right="620"/>
              <w:spacing w:after="0"/>
              <w:rPr>
                <w:sz w:val="20"/>
                <w:szCs w:val="20"/>
                <w:color w:val="auto"/>
              </w:rPr>
            </w:pPr>
            <w:r>
              <w:rPr>
                <w:rFonts w:ascii="Arial" w:cs="Arial" w:eastAsia="Arial" w:hAnsi="Arial"/>
                <w:sz w:val="13"/>
                <w:szCs w:val="13"/>
                <w:b w:val="1"/>
                <w:bCs w:val="1"/>
                <w:color w:val="auto"/>
                <w:w w:val="87"/>
              </w:rPr>
              <w:t>Trading Symbol(s)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3"/>
          </w:tcPr>
          <w:p>
            <w:pPr>
              <w:ind w:left="520"/>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96"/>
        </w:trPr>
        <w:tc>
          <w:tcPr>
            <w:tcW w:w="1500" w:type="dxa"/>
            <w:vAlign w:val="bottom"/>
          </w:tcPr>
          <w:p>
            <w:pPr>
              <w:ind w:left="460"/>
              <w:spacing w:after="0"/>
              <w:rPr>
                <w:sz w:val="20"/>
                <w:szCs w:val="20"/>
                <w:color w:val="auto"/>
              </w:rPr>
            </w:pPr>
            <w:r>
              <w:rPr>
                <w:rFonts w:ascii="Arial" w:cs="Arial" w:eastAsia="Arial" w:hAnsi="Arial"/>
                <w:sz w:val="16"/>
                <w:szCs w:val="16"/>
                <w:b w:val="1"/>
                <w:bCs w:val="1"/>
                <w:color w:val="auto"/>
                <w:w w:val="83"/>
              </w:rPr>
              <w:t>Common Stock,</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par value $</w:t>
            </w:r>
          </w:p>
        </w:tc>
        <w:tc>
          <w:tcPr>
            <w:tcW w:w="1280" w:type="dxa"/>
            <w:vAlign w:val="bottom"/>
          </w:tcPr>
          <w:p>
            <w:pPr>
              <w:spacing w:after="0"/>
              <w:rPr>
                <w:sz w:val="20"/>
                <w:szCs w:val="20"/>
                <w:color w:val="auto"/>
              </w:rPr>
            </w:pPr>
            <w:r>
              <w:rPr>
                <w:rFonts w:ascii="Arial" w:cs="Arial" w:eastAsia="Arial" w:hAnsi="Arial"/>
                <w:sz w:val="16"/>
                <w:szCs w:val="16"/>
                <w:b w:val="1"/>
                <w:bCs w:val="1"/>
                <w:color w:val="auto"/>
              </w:rPr>
              <w:t>0.0001 per share</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BURL</w:t>
            </w:r>
          </w:p>
        </w:tc>
        <w:tc>
          <w:tcPr>
            <w:tcW w:w="6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New York Stock Exchange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20" w:type="dxa"/>
            <w:vAlign w:val="bottom"/>
            <w:gridSpan w:val="9"/>
          </w:tcPr>
          <w:p>
            <w:pPr>
              <w:jc w:val="center"/>
              <w:ind w:left="879"/>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40" w:type="dxa"/>
            <w:vAlign w:val="bottom"/>
            <w:gridSpan w:val="2"/>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0" w:type="dxa"/>
            <w:vAlign w:val="bottom"/>
          </w:tcPr>
          <w:p>
            <w:pPr>
              <w:spacing w:after="0"/>
              <w:rPr>
                <w:sz w:val="19"/>
                <w:szCs w:val="19"/>
                <w:color w:val="auto"/>
              </w:rPr>
            </w:pPr>
          </w:p>
        </w:tc>
        <w:tc>
          <w:tcPr>
            <w:tcW w:w="2880" w:type="dxa"/>
            <w:vAlign w:val="bottom"/>
            <w:gridSpan w:val="3"/>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7"/>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No</w:t>
            </w:r>
          </w:p>
        </w:tc>
        <w:tc>
          <w:tcPr>
            <w:tcW w:w="2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20" w:type="dxa"/>
            <w:vAlign w:val="bottom"/>
          </w:tcPr>
          <w:p>
            <w:pPr>
              <w:ind w:left="140"/>
              <w:spacing w:after="0"/>
              <w:rPr>
                <w:sz w:val="20"/>
                <w:szCs w:val="20"/>
                <w:color w:val="auto"/>
              </w:rPr>
            </w:pPr>
            <w:r>
              <w:rPr>
                <w:rFonts w:ascii="Arial" w:cs="Arial" w:eastAsia="Arial" w:hAnsi="Arial"/>
                <w:sz w:val="14"/>
                <w:szCs w:val="14"/>
                <w:color w:val="auto"/>
                <w:w w:val="89"/>
              </w:rPr>
              <w:t>No</w:t>
            </w:r>
          </w:p>
        </w:tc>
        <w:tc>
          <w:tcPr>
            <w:tcW w:w="2880" w:type="dxa"/>
            <w:vAlign w:val="bottom"/>
            <w:gridSpan w:val="3"/>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w:t>
      </w:r>
    </w:p>
    <w:p>
      <w:pPr>
        <w:spacing w:after="0" w:line="1" w:lineRule="exact"/>
        <w:rPr>
          <w:sz w:val="24"/>
          <w:szCs w:val="24"/>
          <w:color w:val="auto"/>
        </w:rPr>
      </w:pPr>
    </w:p>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1"/>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0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4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160"/>
        <w:spacing w:after="0" w:line="271" w:lineRule="auto"/>
        <w:rPr>
          <w:sz w:val="20"/>
          <w:szCs w:val="20"/>
          <w:color w:val="auto"/>
        </w:rPr>
      </w:pPr>
      <w:r>
        <w:rPr>
          <w:rFonts w:ascii="Arial" w:cs="Arial" w:eastAsia="Arial" w:hAnsi="Arial"/>
          <w:sz w:val="14"/>
          <w:szCs w:val="14"/>
          <w:color w:val="auto"/>
        </w:rPr>
        <w:t>The aggregate market value of the common stock held by non-affiliates of the registrant on July 30, 2021, the last business day of the registrant’s most recently completed second fiscal quarter, was $22,270,802,256. The aggregate market value was computed by reference to the closing price of the common stock on such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26, 2022, there were 66,491,659 shares of common stock of the registrant outstanding.</w:t>
      </w:r>
    </w:p>
    <w:p>
      <w:pPr>
        <w:spacing w:after="0" w:line="65"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Certain provisions of the registrant’s definitive proxy statement for the 2021 Annual Meeting of Stockholders, to be filed within 120 days of the close of the registrant’s 2020 fiscal year, are incorporated by reference in Part III of this Form 10-K to the extent described herein.</w:t>
      </w:r>
    </w:p>
    <w:p>
      <w:pPr>
        <w:spacing w:after="0" w:line="106" w:lineRule="exact"/>
        <w:rPr>
          <w:sz w:val="24"/>
          <w:szCs w:val="24"/>
          <w:color w:val="auto"/>
        </w:rPr>
      </w:pPr>
    </w:p>
    <w:p>
      <w:pPr>
        <w:ind w:left="20"/>
        <w:spacing w:after="0"/>
        <w:tabs>
          <w:tab w:leader="none" w:pos="1440" w:val="left"/>
          <w:tab w:leader="none" w:pos="3780" w:val="left"/>
          <w:tab w:leader="none" w:pos="5140" w:val="left"/>
          <w:tab w:leader="none" w:pos="7480" w:val="left"/>
          <w:tab w:leader="none" w:pos="882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2"/>
          <w:szCs w:val="12"/>
          <w:color w:val="auto"/>
        </w:rPr>
        <w:t>Parsippany, New Jersey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 w:name="page2"/>
    <w:bookmarkEnd w:id="1"/>
    <w:p>
      <w:pPr>
        <w:ind w:left="4380"/>
        <w:spacing w:after="0"/>
        <w:rPr>
          <w:sz w:val="20"/>
          <w:szCs w:val="20"/>
          <w:color w:val="auto"/>
        </w:rPr>
      </w:pPr>
      <w:r>
        <w:rPr>
          <w:rFonts w:ascii="Arial" w:cs="Arial" w:eastAsia="Arial" w:hAnsi="Arial"/>
          <w:sz w:val="18"/>
          <w:szCs w:val="18"/>
          <w:b w:val="1"/>
          <w:bCs w:val="1"/>
          <w:color w:val="auto"/>
        </w:rPr>
        <w:t>BURLINGTON STORES, INC.</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INDEX TO REPORT ON FORM 10-K</w:t>
      </w:r>
    </w:p>
    <w:p>
      <w:pPr>
        <w:spacing w:after="0" w:line="192"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 THE FISCAL YEAR ENDED JANUARY 29, 2022</w:t>
      </w:r>
    </w:p>
    <w:p>
      <w:pPr>
        <w:spacing w:after="0" w:line="221" w:lineRule="exact"/>
        <w:rPr>
          <w:sz w:val="20"/>
          <w:szCs w:val="20"/>
          <w:color w:val="auto"/>
        </w:rPr>
      </w:pPr>
    </w:p>
    <w:p>
      <w:pPr>
        <w:jc w:val="right"/>
        <w:ind w:right="1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15240</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96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20" w:type="dxa"/>
            <w:vAlign w:val="bottom"/>
            <w:tcBorders>
              <w:bottom w:val="single" w:sz="8" w:color="0000EE"/>
            </w:tcBorders>
          </w:tcPr>
          <w:p>
            <w:pPr>
              <w:spacing w:after="0"/>
              <w:rPr>
                <w:sz w:val="24"/>
                <w:szCs w:val="24"/>
                <w:color w:val="auto"/>
              </w:rPr>
            </w:pPr>
          </w:p>
        </w:tc>
        <w:tc>
          <w:tcPr>
            <w:tcW w:w="6640" w:type="dxa"/>
            <w:vAlign w:val="bottom"/>
            <w:gridSpan w:val="24"/>
          </w:tcPr>
          <w:p>
            <w:pPr>
              <w:spacing w:after="0"/>
              <w:rPr>
                <w:sz w:val="24"/>
                <w:szCs w:val="24"/>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1A.</w:t>
            </w:r>
          </w:p>
        </w:tc>
        <w:tc>
          <w:tcPr>
            <w:tcW w:w="7300" w:type="dxa"/>
            <w:vAlign w:val="bottom"/>
            <w:gridSpan w:val="26"/>
          </w:tcPr>
          <w:p>
            <w:pPr>
              <w:spacing w:after="0" w:line="196"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1B.</w:t>
            </w:r>
          </w:p>
        </w:tc>
        <w:tc>
          <w:tcPr>
            <w:tcW w:w="7300" w:type="dxa"/>
            <w:vAlign w:val="bottom"/>
            <w:gridSpan w:val="26"/>
          </w:tcPr>
          <w:p>
            <w:pPr>
              <w:spacing w:after="0" w:line="196" w:lineRule="exact"/>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Properties</w:t>
              </w:r>
            </w:hyperlink>
          </w:p>
        </w:tc>
        <w:tc>
          <w:tcPr>
            <w:tcW w:w="5260" w:type="dxa"/>
            <w:vAlign w:val="bottom"/>
            <w:gridSpan w:val="12"/>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w:anchor="page25">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7"/>
                <w:szCs w:val="17"/>
                <w:color w:val="auto"/>
              </w:rPr>
            </w:pPr>
          </w:p>
        </w:tc>
        <w:tc>
          <w:tcPr>
            <w:tcW w:w="5940" w:type="dxa"/>
            <w:vAlign w:val="bottom"/>
            <w:gridSpan w:val="17"/>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4.</w:t>
            </w:r>
          </w:p>
        </w:tc>
        <w:tc>
          <w:tcPr>
            <w:tcW w:w="7300" w:type="dxa"/>
            <w:vAlign w:val="bottom"/>
            <w:gridSpan w:val="26"/>
          </w:tcPr>
          <w:p>
            <w:pPr>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r>
      <w:tr>
        <w:trPr>
          <w:trHeight w:val="331"/>
        </w:trPr>
        <w:tc>
          <w:tcPr>
            <w:tcW w:w="960" w:type="dxa"/>
            <w:vAlign w:val="bottom"/>
            <w:gridSpan w:val="4"/>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gridSpan w:val="4"/>
          </w:tcPr>
          <w:p>
            <w:pPr>
              <w:spacing w:after="0"/>
              <w:rPr>
                <w:sz w:val="20"/>
                <w:szCs w:val="20"/>
                <w:color w:val="auto"/>
              </w:rPr>
            </w:pPr>
            <w:r>
              <w:rPr>
                <w:rFonts w:ascii="Arial" w:cs="Arial" w:eastAsia="Arial" w:hAnsi="Arial"/>
                <w:sz w:val="18"/>
                <w:szCs w:val="18"/>
                <w:color w:val="auto"/>
              </w:rPr>
              <w:t>Item 5.</w:t>
            </w:r>
          </w:p>
        </w:tc>
        <w:tc>
          <w:tcPr>
            <w:tcW w:w="7300" w:type="dxa"/>
            <w:vAlign w:val="bottom"/>
            <w:gridSpan w:val="26"/>
          </w:tcPr>
          <w:p>
            <w:pPr>
              <w:spacing w:after="0"/>
              <w:rPr>
                <w:rFonts w:ascii="Arial" w:cs="Arial" w:eastAsia="Arial" w:hAnsi="Arial"/>
                <w:sz w:val="18"/>
                <w:szCs w:val="18"/>
                <w:color w:val="0000FF"/>
                <w:w w:val="97"/>
              </w:rPr>
            </w:pPr>
            <w:hyperlink w:anchor="page26">
              <w:r>
                <w:rPr>
                  <w:rFonts w:ascii="Arial" w:cs="Arial" w:eastAsia="Arial" w:hAnsi="Arial"/>
                  <w:sz w:val="18"/>
                  <w:szCs w:val="18"/>
                  <w:color w:val="0000FF"/>
                  <w:w w:val="97"/>
                </w:rPr>
                <w:t>Market for Registrant’s Common Equity, Related Stockholder Matters and Issuer Purchases of</w:t>
              </w:r>
            </w:hyperlink>
          </w:p>
        </w:tc>
      </w:tr>
      <w:tr>
        <w:trPr>
          <w:trHeight w:val="156"/>
        </w:trPr>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26">
              <w:r>
                <w:rPr>
                  <w:rFonts w:ascii="Arial" w:cs="Arial" w:eastAsia="Arial" w:hAnsi="Arial"/>
                  <w:sz w:val="18"/>
                  <w:szCs w:val="18"/>
                  <w:color w:val="0000FF"/>
                  <w:w w:val="90"/>
                </w:rPr>
                <w:t>Equity Securities</w:t>
              </w:r>
            </w:hyperlink>
          </w:p>
        </w:tc>
        <w:tc>
          <w:tcPr>
            <w:tcW w:w="20" w:type="dxa"/>
            <w:vAlign w:val="bottom"/>
            <w:tcBorders>
              <w:top w:val="single" w:sz="8" w:color="0000FF"/>
              <w:bottom w:val="single" w:sz="8" w:color="0000EE"/>
            </w:tcBorders>
          </w:tcPr>
          <w:p>
            <w:pPr>
              <w:spacing w:after="0"/>
              <w:rPr>
                <w:sz w:val="13"/>
                <w:szCs w:val="13"/>
                <w:color w:val="auto"/>
              </w:rPr>
            </w:pPr>
          </w:p>
        </w:tc>
        <w:tc>
          <w:tcPr>
            <w:tcW w:w="5580" w:type="dxa"/>
            <w:vAlign w:val="bottom"/>
            <w:tcBorders>
              <w:top w:val="single" w:sz="8" w:color="0000FF"/>
            </w:tcBorders>
            <w:gridSpan w:val="18"/>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960" w:type="dxa"/>
            <w:vAlign w:val="bottom"/>
            <w:gridSpan w:val="4"/>
          </w:tcPr>
          <w:p>
            <w:pPr>
              <w:spacing w:after="0" w:line="182" w:lineRule="exact"/>
              <w:rPr>
                <w:sz w:val="20"/>
                <w:szCs w:val="20"/>
                <w:color w:val="auto"/>
              </w:rPr>
            </w:pPr>
            <w:r>
              <w:rPr>
                <w:rFonts w:ascii="Arial" w:cs="Arial" w:eastAsia="Arial" w:hAnsi="Arial"/>
                <w:sz w:val="18"/>
                <w:szCs w:val="18"/>
                <w:color w:val="auto"/>
              </w:rPr>
              <w:t>Item 6.</w:t>
            </w:r>
          </w:p>
        </w:tc>
        <w:tc>
          <w:tcPr>
            <w:tcW w:w="1260" w:type="dxa"/>
            <w:vAlign w:val="bottom"/>
            <w:gridSpan w:val="6"/>
          </w:tcPr>
          <w:p>
            <w:pPr>
              <w:spacing w:after="0" w:line="182" w:lineRule="exact"/>
              <w:rPr>
                <w:rFonts w:ascii="Arial" w:cs="Arial" w:eastAsia="Arial" w:hAnsi="Arial"/>
                <w:sz w:val="18"/>
                <w:szCs w:val="18"/>
                <w:color w:val="0000FF"/>
                <w:w w:val="84"/>
              </w:rPr>
            </w:pPr>
            <w:hyperlink w:anchor="page28">
              <w:r>
                <w:rPr>
                  <w:rFonts w:ascii="Arial" w:cs="Arial" w:eastAsia="Arial" w:hAnsi="Arial"/>
                  <w:sz w:val="18"/>
                  <w:szCs w:val="18"/>
                  <w:color w:val="0000FF"/>
                  <w:w w:val="84"/>
                </w:rPr>
                <w:t>Selected Financial</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gridSpan w:val="18"/>
          </w:tcPr>
          <w:p>
            <w:pPr>
              <w:ind w:left="20"/>
              <w:spacing w:after="0" w:line="182" w:lineRule="exact"/>
              <w:rPr>
                <w:rFonts w:ascii="Arial" w:cs="Arial" w:eastAsia="Arial" w:hAnsi="Arial"/>
                <w:sz w:val="18"/>
                <w:szCs w:val="18"/>
                <w:color w:val="0000FF"/>
              </w:rPr>
            </w:pPr>
            <w:hyperlink w:anchor="page28">
              <w:r>
                <w:rPr>
                  <w:rFonts w:ascii="Arial" w:cs="Arial" w:eastAsia="Arial" w:hAnsi="Arial"/>
                  <w:sz w:val="18"/>
                  <w:szCs w:val="18"/>
                  <w:color w:val="0000FF"/>
                </w:rPr>
                <w:t>Data</w:t>
              </w:r>
            </w:hyperlink>
          </w:p>
        </w:tc>
      </w:tr>
      <w:tr>
        <w:trPr>
          <w:trHeight w:val="20"/>
        </w:trPr>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840" w:type="dxa"/>
            <w:vAlign w:val="bottom"/>
            <w:gridSpan w:val="4"/>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Quantitative and Qualitative Disclosures About Market Risk</w:t>
              </w:r>
            </w:hyperlink>
          </w:p>
        </w:tc>
        <w:tc>
          <w:tcPr>
            <w:tcW w:w="2940" w:type="dxa"/>
            <w:vAlign w:val="bottom"/>
            <w:gridSpan w:val="7"/>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8.</w:t>
            </w:r>
          </w:p>
        </w:tc>
        <w:tc>
          <w:tcPr>
            <w:tcW w:w="7300" w:type="dxa"/>
            <w:vAlign w:val="bottom"/>
            <w:gridSpan w:val="26"/>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r>
      <w:tr>
        <w:trPr>
          <w:trHeight w:val="20"/>
        </w:trPr>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9.</w:t>
            </w:r>
          </w:p>
        </w:tc>
        <w:tc>
          <w:tcPr>
            <w:tcW w:w="7300" w:type="dxa"/>
            <w:vAlign w:val="bottom"/>
            <w:gridSpan w:val="26"/>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Changes in and Disagreements With Accountants on Accounting and Financial Disclosure</w:t>
              </w:r>
            </w:hyperlink>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Controls and Procedures</w:t>
              </w:r>
            </w:hyperlink>
          </w:p>
        </w:tc>
        <w:tc>
          <w:tcPr>
            <w:tcW w:w="800" w:type="dxa"/>
            <w:vAlign w:val="bottom"/>
            <w:gridSpan w:val="3"/>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w:anchor="page92">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gridSpan w:val="4"/>
          </w:tcPr>
          <w:p>
            <w:pPr>
              <w:spacing w:after="0"/>
              <w:rPr>
                <w:sz w:val="17"/>
                <w:szCs w:val="17"/>
                <w:color w:val="auto"/>
              </w:rPr>
            </w:pPr>
          </w:p>
        </w:tc>
        <w:tc>
          <w:tcPr>
            <w:tcW w:w="5540" w:type="dxa"/>
            <w:vAlign w:val="bottom"/>
            <w:gridSpan w:val="14"/>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9C.</w:t>
            </w:r>
          </w:p>
        </w:tc>
        <w:tc>
          <w:tcPr>
            <w:tcW w:w="7300" w:type="dxa"/>
            <w:vAlign w:val="bottom"/>
            <w:gridSpan w:val="26"/>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Disclosure Regarding Foreign Jurisdictions that Prevent Inspections</w:t>
              </w:r>
            </w:hyperlink>
          </w:p>
        </w:tc>
      </w:tr>
      <w:tr>
        <w:trPr>
          <w:trHeight w:val="318"/>
        </w:trPr>
        <w:tc>
          <w:tcPr>
            <w:tcW w:w="960" w:type="dxa"/>
            <w:vAlign w:val="bottom"/>
            <w:gridSpan w:val="4"/>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PART III.</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40" w:type="dxa"/>
            <w:vAlign w:val="bottom"/>
            <w:tcBorders>
              <w:left w:val="single" w:sz="8" w:color="0000EE"/>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Directors, Executive Officers and Corporate Governance</w:t>
              </w:r>
            </w:hyperlink>
          </w:p>
        </w:tc>
        <w:tc>
          <w:tcPr>
            <w:tcW w:w="3200" w:type="dxa"/>
            <w:vAlign w:val="bottom"/>
            <w:gridSpan w:val="8"/>
          </w:tcPr>
          <w:p>
            <w:pPr>
              <w:spacing w:after="0"/>
              <w:rPr>
                <w:sz w:val="24"/>
                <w:szCs w:val="24"/>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11.</w:t>
            </w:r>
          </w:p>
        </w:tc>
        <w:tc>
          <w:tcPr>
            <w:tcW w:w="7300" w:type="dxa"/>
            <w:vAlign w:val="bottom"/>
            <w:gridSpan w:val="26"/>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right w:val="single" w:sz="8" w:color="0000FF"/>
            </w:tcBorders>
            <w:gridSpan w:val="10"/>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6"/>
          </w:tcPr>
          <w:p>
            <w:pPr>
              <w:spacing w:after="0" w:line="196"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Security Ownership of Certain Beneficial Owners and Management and Related Stockholder Matters</w:t>
              </w:r>
            </w:hyperlink>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Certain Relationships and Related Transactions, and Director Independence</w:t>
              </w:r>
            </w:hyperlink>
          </w:p>
        </w:tc>
        <w:tc>
          <w:tcPr>
            <w:tcW w:w="20" w:type="dxa"/>
            <w:vAlign w:val="bottom"/>
          </w:tcPr>
          <w:p>
            <w:pPr>
              <w:spacing w:after="0"/>
              <w:rPr>
                <w:sz w:val="17"/>
                <w:szCs w:val="17"/>
                <w:color w:val="auto"/>
              </w:rPr>
            </w:pPr>
          </w:p>
        </w:tc>
      </w:tr>
      <w:tr>
        <w:trPr>
          <w:trHeight w:val="196"/>
        </w:trPr>
        <w:tc>
          <w:tcPr>
            <w:tcW w:w="960" w:type="dxa"/>
            <w:vAlign w:val="bottom"/>
            <w:gridSpan w:val="4"/>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Principal Accountant Fees and Services</w:t>
              </w:r>
            </w:hyperlink>
          </w:p>
        </w:tc>
        <w:tc>
          <w:tcPr>
            <w:tcW w:w="1860" w:type="dxa"/>
            <w:vAlign w:val="bottom"/>
            <w:gridSpan w:val="5"/>
          </w:tcPr>
          <w:p>
            <w:pPr>
              <w:spacing w:after="0"/>
              <w:rPr>
                <w:sz w:val="17"/>
                <w:szCs w:val="17"/>
                <w:color w:val="auto"/>
              </w:rPr>
            </w:pPr>
          </w:p>
        </w:tc>
      </w:tr>
      <w:tr>
        <w:trPr>
          <w:trHeight w:val="331"/>
        </w:trPr>
        <w:tc>
          <w:tcPr>
            <w:tcW w:w="960" w:type="dxa"/>
            <w:vAlign w:val="bottom"/>
            <w:gridSpan w:val="4"/>
          </w:tcPr>
          <w:p>
            <w:pPr>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740" w:type="dxa"/>
            <w:vAlign w:val="bottom"/>
            <w:tcBorders>
              <w:lef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140" w:type="dxa"/>
            <w:vAlign w:val="bottom"/>
            <w:gridSpan w:val="10"/>
          </w:tcPr>
          <w:p>
            <w:pPr>
              <w:spacing w:after="0" w:line="20" w:lineRule="exact"/>
              <w:rPr>
                <w:sz w:val="1"/>
                <w:szCs w:val="1"/>
                <w:color w:val="auto"/>
              </w:rPr>
            </w:pPr>
          </w:p>
        </w:tc>
      </w:tr>
      <w:tr>
        <w:trPr>
          <w:trHeight w:val="318"/>
        </w:trPr>
        <w:tc>
          <w:tcPr>
            <w:tcW w:w="96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Exhibits and Financial Statement Schedules</w:t>
              </w:r>
            </w:hyperlink>
          </w:p>
        </w:tc>
        <w:tc>
          <w:tcPr>
            <w:tcW w:w="4140" w:type="dxa"/>
            <w:vAlign w:val="bottom"/>
            <w:gridSpan w:val="10"/>
          </w:tcPr>
          <w:p>
            <w:pPr>
              <w:spacing w:after="0"/>
              <w:rPr>
                <w:sz w:val="24"/>
                <w:szCs w:val="24"/>
                <w:color w:val="auto"/>
              </w:rPr>
            </w:pPr>
          </w:p>
        </w:tc>
      </w:tr>
      <w:tr>
        <w:trPr>
          <w:trHeight w:val="345"/>
        </w:trPr>
        <w:tc>
          <w:tcPr>
            <w:tcW w:w="96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7300" w:type="dxa"/>
            <w:vAlign w:val="bottom"/>
            <w:gridSpan w:val="26"/>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Form 10-K Summary</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596265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734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jc w:val="right"/>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101</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ectPr>
          <w:pgSz w:w="11900" w:h="16838" w:orient="portrait"/>
          <w:cols w:equalWidth="0" w:num="2">
            <w:col w:w="10220" w:space="720"/>
            <w:col w:w="260"/>
          </w:cols>
          <w:pgMar w:left="340" w:top="32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firstLine="594"/>
        <w:spacing w:after="0" w:line="267" w:lineRule="auto"/>
        <w:rPr>
          <w:sz w:val="20"/>
          <w:szCs w:val="20"/>
          <w:color w:val="auto"/>
        </w:rPr>
      </w:pPr>
      <w:r>
        <w:rPr>
          <w:rFonts w:ascii="Arial" w:cs="Arial" w:eastAsia="Arial" w:hAnsi="Arial"/>
          <w:sz w:val="16"/>
          <w:szCs w:val="16"/>
          <w:color w:val="auto"/>
        </w:rPr>
        <w:t>This Annual Report contains forward-looking statements that are based on current expectations, estimates, forecasts and projections about us, the industry in which we operate and other matters, as well as management’s beliefs and assumptions and other statements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as amended (Securities Act), and Section 21E of the Securities Exchange Act of 1934, as amended (the Exchange Act). These forward-looking statements may relate to such matters as future impacts of the COVID-19 pandemic, our future actions, including expected store openings and closings, ongoing strategic initiatives and the intended results of those initiatives, future performance or results of current and anticipated sales, expenses, interest rates, and results, the effect of the adoption of recent accounting pronouncements and the outcome of contingencies such as legal proceedings. Our forward-looking statements are subject to risks and uncertainties. Actual events or results may differ materially from the events or results anticipated in these forward-looking statements as a result of a variety of factors, including each of the factors discussed in Item 1A, Risk Factors as well as risks and uncertainties discussed elsewhere in this Annual Report. While we believe that our assumptions are reasonable, we caution that it is very difficult to predict the impact of known factors, and it is impossible for us to anticipate all factors that could affect our actual future events or results. In light of these risks and uncertainties, the forward-looking events and circumstances discussed in this Annual Report might not occur.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a nationally recognized off-price retailer of high-quality, branded merchandise at everyday low prices. We opened our first store in Burlington, New Jersey in 1972, selling primarily coats and outerwear. Since then, we have expanded our store base to 840 stores as of January 29, 2022, in 45 states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 recognized manufacturers and other suppliers.</w:t>
      </w:r>
    </w:p>
    <w:p>
      <w:pPr>
        <w:spacing w:after="0" w:line="81" w:lineRule="exact"/>
        <w:rPr>
          <w:sz w:val="20"/>
          <w:szCs w:val="20"/>
          <w:color w:val="auto"/>
        </w:rPr>
      </w:pPr>
    </w:p>
    <w:p>
      <w:pPr>
        <w:jc w:val="both"/>
        <w:ind w:right="340" w:firstLine="509"/>
        <w:spacing w:after="0" w:line="294" w:lineRule="auto"/>
        <w:rPr>
          <w:sz w:val="20"/>
          <w:szCs w:val="20"/>
          <w:color w:val="auto"/>
        </w:rPr>
      </w:pPr>
      <w:r>
        <w:rPr>
          <w:rFonts w:ascii="Arial" w:cs="Arial" w:eastAsia="Arial" w:hAnsi="Arial"/>
          <w:sz w:val="16"/>
          <w:szCs w:val="16"/>
          <w:color w:val="auto"/>
        </w:rPr>
        <w:t>We continue to focus on a number of ongoing initiatives aimed at increasing our overall profitability by driving comparable store sales growth, expanding and enhancing our retail store base, and enhancing operating margins. These initiatives include, but are not limited to, those discussed under “Ongoing Initiatives for Fiscal 2022” in Item 7, Management’s Discussion and Analysis of Financial Condition and Results of Operations.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Annual Report, the terms “Company,” “we,” “us,” or “our” refer to Burlington Stores, Inc. and all of its subsidiaries.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w:t>
      </w:r>
    </w:p>
    <w:p>
      <w:pPr>
        <w:spacing w:after="0" w:line="108"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We define our fiscal year as the 52- or 53-week period ending on the Saturday closest to January 31. This Annual Report covers the 52-week fiscal year ended January 29, 2022 (Fiscal 2021). The fiscal years ended January 30, 2021 (Fiscal 2020) and February 1, 2020 (Fiscal 2019) also consisted of 52 weeks.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6" w:lineRule="exact"/>
        <w:rPr>
          <w:sz w:val="20"/>
          <w:szCs w:val="20"/>
          <w:color w:val="auto"/>
        </w:rPr>
      </w:pPr>
    </w:p>
    <w:p>
      <w:pPr>
        <w:ind w:right="100" w:firstLine="849"/>
        <w:spacing w:after="0" w:line="237" w:lineRule="auto"/>
        <w:rPr>
          <w:sz w:val="20"/>
          <w:szCs w:val="20"/>
          <w:color w:val="auto"/>
        </w:rPr>
      </w:pPr>
      <w:r>
        <w:rPr>
          <w:rFonts w:ascii="Arial" w:cs="Arial" w:eastAsia="Arial" w:hAnsi="Arial"/>
          <w:sz w:val="18"/>
          <w:szCs w:val="18"/>
          <w:color w:val="auto"/>
        </w:rPr>
        <w:t>On March 11, 2020, the World Health Organization declared the novel coronavirus (known as COVID-19) outbreak to be a global pandemic. As a result, we began the temporary closing of some of our stores, and effective March 22, 2020, we made the decision to temporarily close all of our stores, distribution centers (other than processing of received inventory) and corporate offices to combat the rapid spread of COVID-19. We began re-opening stores on May 11, 2020, with the majority of stores, as well as all distribution centers, re-opened by mid-June 2020, and substantially all stores re-opened by the end of the second quarter of Fiscal 2020.</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ind w:firstLine="578"/>
        <w:spacing w:after="0" w:line="241" w:lineRule="auto"/>
        <w:rPr>
          <w:sz w:val="20"/>
          <w:szCs w:val="20"/>
          <w:color w:val="auto"/>
        </w:rPr>
      </w:pPr>
      <w:r>
        <w:rPr>
          <w:rFonts w:ascii="Arial" w:cs="Arial" w:eastAsia="Arial" w:hAnsi="Arial"/>
          <w:sz w:val="18"/>
          <w:szCs w:val="18"/>
          <w:color w:val="auto"/>
        </w:rPr>
        <w:t>In response to the COVID-19 pandemic and the temporary closing of our stores, we provided two weeks of financial support to associates impacted by these store closures and by the shutdown of distribution centers. We temporarily furloughed most store and distribution center associates, as well as some corporate associates, but continued to provide benefits to furloughed associates in accordance with our benefit plans. In addition, we paid 100% of their medical benefit premiums during the period they were furloughed. During the second quarter, we recalled all furloughed associates at our re-opened stores, as well as our corporate and distribution facilities.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order to maintain financial flexibility during these uncertain times, we completed several debt transactions in the first quarter of Fiscal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"Long Term Debt," for further discussion regarding these debt transactions.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we took the following steps to further enhance its financial flexibility:</w:t>
      </w:r>
    </w:p>
    <w:p>
      <w:pPr>
        <w:spacing w:after="0" w:line="212" w:lineRule="exact"/>
        <w:rPr>
          <w:sz w:val="20"/>
          <w:szCs w:val="20"/>
          <w:color w:val="auto"/>
        </w:rPr>
      </w:pPr>
    </w:p>
    <w:p>
      <w:pPr>
        <w:jc w:val="both"/>
        <w:ind w:left="1320" w:right="260" w:hanging="368"/>
        <w:spacing w:after="0" w:line="24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Carefully managed operating expenses, working capital and capital expenditures, including ceasing substantially all buying activities while stores were closed. We subsequently resumed its buying activities, while continuing its conservative approach toward operating expenses and capital expenditures;</w:t>
      </w:r>
    </w:p>
    <w:p>
      <w:pPr>
        <w:spacing w:after="0" w:line="181" w:lineRule="exact"/>
        <w:rPr>
          <w:rFonts w:ascii="Arial" w:cs="Arial" w:eastAsia="Arial" w:hAnsi="Arial"/>
          <w:sz w:val="18"/>
          <w:szCs w:val="18"/>
          <w:color w:val="auto"/>
        </w:rPr>
      </w:pPr>
    </w:p>
    <w:p>
      <w:pPr>
        <w:ind w:left="1320" w:hanging="36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Negotiated rent deferral agreements with landlords, which were substantially complete as of the end of Fiscal 2021;</w:t>
      </w:r>
    </w:p>
    <w:p>
      <w:pPr>
        <w:spacing w:after="0" w:line="211" w:lineRule="exact"/>
        <w:rPr>
          <w:rFonts w:ascii="Arial" w:cs="Arial" w:eastAsia="Arial" w:hAnsi="Arial"/>
          <w:sz w:val="18"/>
          <w:szCs w:val="18"/>
          <w:color w:val="auto"/>
        </w:rPr>
      </w:pPr>
    </w:p>
    <w:p>
      <w:pPr>
        <w:ind w:left="1320" w:hanging="36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Temporarily suspended our share repurchase program, which resumed during the third quarter of Fiscal 2021;</w:t>
      </w:r>
    </w:p>
    <w:p>
      <w:pPr>
        <w:spacing w:after="0" w:line="211" w:lineRule="exact"/>
        <w:rPr>
          <w:rFonts w:ascii="Arial" w:cs="Arial" w:eastAsia="Arial" w:hAnsi="Arial"/>
          <w:sz w:val="18"/>
          <w:szCs w:val="18"/>
          <w:color w:val="auto"/>
        </w:rPr>
      </w:pPr>
    </w:p>
    <w:p>
      <w:pPr>
        <w:ind w:left="1320" w:right="260" w:hanging="368"/>
        <w:spacing w:after="0" w:line="294"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CEO voluntarily agreed to not take a salary; our Board of Directors voluntarily forfeited their cash compensation; our executive leadership team voluntarily agreed to decrease their salary by 50%; and smaller salary reductions were temporarily put in place for all associates through a certain level. This compensation was reinstated once substantially all of our stores re-opened; and</w:t>
      </w:r>
    </w:p>
    <w:p>
      <w:pPr>
        <w:spacing w:after="0" w:line="147" w:lineRule="exact"/>
        <w:rPr>
          <w:rFonts w:ascii="Arial" w:cs="Arial" w:eastAsia="Arial" w:hAnsi="Arial"/>
          <w:sz w:val="16"/>
          <w:szCs w:val="16"/>
          <w:color w:val="auto"/>
        </w:rPr>
      </w:pPr>
    </w:p>
    <w:p>
      <w:pPr>
        <w:ind w:left="1320" w:right="220" w:hanging="368"/>
        <w:spacing w:after="0" w:line="261"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incentive bonus payments related to Fiscal 2019 performance were delayed to the second quarter of Fiscal 2020, and merit pay increases for Fiscal 2020 were delayed to the third quarter of Fiscal 2020.</w:t>
      </w:r>
    </w:p>
    <w:p>
      <w:pPr>
        <w:spacing w:after="0" w:line="171"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Due to the aging of inventory related to the temporary store closures discussed above, as well as the impact of seasonality on the our merchandise, we recognized inventory markdown reserves of $271.9 million during the three month period ended May 2, 2020. These reserves covered markdowns taken during the second quarter of Fiscal 2020. These charges were included in “Cost of sales” on the Consolidated Statement of Income (Loss).</w:t>
      </w:r>
    </w:p>
    <w:p>
      <w:pPr>
        <w:spacing w:after="0" w:line="14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March 27, 2020, the Coronavirus Aid, Relief, and Economic Security Act was signed into law, which provided emergency economic assistance for American workers, families and businesses affected by the COVID-19 pandemic. As a result of amending prior returns to carry back the federal net operating loss generated on the Fiscal 2020 tax return, we expect to obtain a one-time tax refund of $245.5 million, which is included in the line item “Prepaid and other current assets” on our Consolidated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108" w:lineRule="exact"/>
        <w:rPr>
          <w:sz w:val="20"/>
          <w:szCs w:val="20"/>
          <w:color w:val="auto"/>
        </w:rPr>
      </w:pPr>
    </w:p>
    <w:p>
      <w:pPr>
        <w:ind w:right="640" w:firstLine="509"/>
        <w:spacing w:after="0" w:line="291" w:lineRule="auto"/>
        <w:rPr>
          <w:sz w:val="20"/>
          <w:szCs w:val="20"/>
          <w:color w:val="auto"/>
        </w:rPr>
      </w:pPr>
      <w:r>
        <w:rPr>
          <w:rFonts w:ascii="Arial" w:cs="Arial" w:eastAsia="Arial" w:hAnsi="Arial"/>
          <w:sz w:val="17"/>
          <w:szCs w:val="17"/>
          <w:color w:val="auto"/>
        </w:rPr>
        <w:t>Over 99% of our net sales are derived from stores we operate as Burlington Stores. We believe that our customers are attracted to our stores principally by the availability of a large assortment of first-quality, current, brand-name merchandise at everyday low prices.</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Burlington Stores offer customers a complete line of merchandise, including: women’s ready-to-wear apparel, accessories, footwear, menswear, youth apparel, baby, home, coats, beauty, toys and gifts. Our broad selection provides a wide range of apparel, accessories and furnishings for all ages. Our strategy to chase the sales trend allows us the flexibility to purchase less pre-season merchandise with the balance purchased in-season and opportunistically. It also provides us with the flexibility to shift purchases between suppliers and categories. This enables us to obtain better terms with our suppliers, which we expect to help offset any rising costs of goods. Furthermore, we believe the “treasure hunt” nature of the off-price buying experience drives frequent visits to our stores.</w:t>
      </w:r>
    </w:p>
    <w:p>
      <w:pPr>
        <w:spacing w:after="0" w:line="189"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We believe the breadth of our selection and our ability to successfully operate in stores of varying square footage represents a competitive advantage. We believe that, as we continue to reduce our comparable store inventory, we will be able to reduce the square footage of our stores while continuing to maintain our broad assortment.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color w:val="auto"/>
        </w:rPr>
        <w:t>Our store base is geographically diversified with stores located in 45 states and Puerto Rico as set forth below:</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Stores</w:t>
            </w:r>
          </w:p>
        </w:tc>
        <w:tc>
          <w:tcPr>
            <w:tcW w:w="920" w:type="dxa"/>
            <w:vAlign w:val="bottom"/>
          </w:tcPr>
          <w:p>
            <w:pPr>
              <w:spacing w:after="0"/>
              <w:rPr>
                <w:sz w:val="16"/>
                <w:szCs w:val="16"/>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Stores</w:t>
            </w:r>
          </w:p>
        </w:tc>
        <w:tc>
          <w:tcPr>
            <w:tcW w:w="900" w:type="dxa"/>
            <w:vAlign w:val="bottom"/>
          </w:tcPr>
          <w:p>
            <w:pPr>
              <w:spacing w:after="0"/>
              <w:rPr>
                <w:sz w:val="16"/>
                <w:szCs w:val="16"/>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State</w:t>
            </w:r>
          </w:p>
        </w:tc>
        <w:tc>
          <w:tcPr>
            <w:tcW w:w="260" w:type="dxa"/>
            <w:vAlign w:val="bottom"/>
          </w:tcPr>
          <w:p>
            <w:pPr>
              <w:spacing w:after="0"/>
              <w:rPr>
                <w:sz w:val="16"/>
                <w:szCs w:val="16"/>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Stores</w:t>
            </w:r>
          </w:p>
        </w:tc>
      </w:tr>
      <w:tr>
        <w:trPr>
          <w:trHeight w:val="196"/>
        </w:trPr>
        <w:tc>
          <w:tcPr>
            <w:tcW w:w="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AK</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2</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7</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NY</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49</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AL</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7</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MA</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20</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OH</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28</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AR</w:t>
            </w:r>
          </w:p>
        </w:tc>
        <w:tc>
          <w:tcPr>
            <w:tcW w:w="166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79"/>
              </w:rPr>
              <w:t>6</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MD</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19</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OK</w:t>
            </w:r>
          </w:p>
        </w:tc>
        <w:tc>
          <w:tcPr>
            <w:tcW w:w="16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79"/>
              </w:rPr>
              <w:t>8</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AZ</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17</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ME</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3</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OR</w:t>
            </w:r>
          </w:p>
        </w:tc>
        <w:tc>
          <w:tcPr>
            <w:tcW w:w="16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88</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MI</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22</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w:t>
            </w:r>
          </w:p>
        </w:tc>
        <w:tc>
          <w:tcPr>
            <w:tcW w:w="164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89"/>
              </w:rPr>
              <w:t>40</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CO</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13</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MN</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11</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PR</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12</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CT</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14</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MO</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11</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w:t>
            </w:r>
          </w:p>
        </w:tc>
        <w:tc>
          <w:tcPr>
            <w:tcW w:w="16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DE</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3</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MS</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3</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SC</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11</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FL</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80</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NC</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25</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SD</w:t>
            </w:r>
          </w:p>
        </w:tc>
        <w:tc>
          <w:tcPr>
            <w:tcW w:w="16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GA</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26</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ND</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TN</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14</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IA</w:t>
            </w:r>
          </w:p>
        </w:tc>
        <w:tc>
          <w:tcPr>
            <w:tcW w:w="166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79"/>
              </w:rPr>
              <w:t>4</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w:t>
            </w:r>
          </w:p>
        </w:tc>
        <w:tc>
          <w:tcPr>
            <w:tcW w:w="166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79"/>
              </w:rPr>
              <w:t>4</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TX</w:t>
            </w:r>
          </w:p>
        </w:tc>
        <w:tc>
          <w:tcPr>
            <w:tcW w:w="164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89"/>
              </w:rPr>
              <w:t>91</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ID</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2</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NH</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4</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UT</w:t>
            </w:r>
          </w:p>
        </w:tc>
        <w:tc>
          <w:tcPr>
            <w:tcW w:w="16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79"/>
              </w:rPr>
              <w:t>9</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IL</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41</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NJ</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41</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w:t>
            </w:r>
          </w:p>
        </w:tc>
        <w:tc>
          <w:tcPr>
            <w:tcW w:w="164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89"/>
              </w:rPr>
              <w:t>23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IN</w:t>
            </w:r>
          </w:p>
        </w:tc>
        <w:tc>
          <w:tcPr>
            <w:tcW w:w="166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16</w:t>
            </w:r>
          </w:p>
        </w:tc>
        <w:tc>
          <w:tcPr>
            <w:tcW w:w="9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NM</w:t>
            </w:r>
          </w:p>
        </w:tc>
        <w:tc>
          <w:tcPr>
            <w:tcW w:w="166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4</w:t>
            </w:r>
          </w:p>
        </w:tc>
        <w:tc>
          <w:tcPr>
            <w:tcW w:w="90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WA</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15</w:t>
            </w:r>
          </w:p>
        </w:tc>
      </w:tr>
      <w:tr>
        <w:trPr>
          <w:trHeight w:val="203"/>
        </w:trPr>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KS</w:t>
            </w:r>
          </w:p>
        </w:tc>
        <w:tc>
          <w:tcPr>
            <w:tcW w:w="166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79"/>
              </w:rPr>
              <w:t>5</w:t>
            </w: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NV</w:t>
            </w:r>
          </w:p>
        </w:tc>
        <w:tc>
          <w:tcPr>
            <w:tcW w:w="1660" w:type="dxa"/>
            <w:vAlign w:val="bottom"/>
            <w:gridSpan w:val="2"/>
            <w:shd w:val="clear" w:color="auto" w:fill="CFF0FC"/>
          </w:tcPr>
          <w:p>
            <w:pPr>
              <w:jc w:val="center"/>
              <w:ind w:left="190"/>
              <w:spacing w:after="0" w:line="202" w:lineRule="exact"/>
              <w:rPr>
                <w:sz w:val="20"/>
                <w:szCs w:val="20"/>
                <w:color w:val="auto"/>
              </w:rPr>
            </w:pPr>
            <w:r>
              <w:rPr>
                <w:rFonts w:ascii="Arial" w:cs="Arial" w:eastAsia="Arial" w:hAnsi="Arial"/>
                <w:sz w:val="18"/>
                <w:szCs w:val="18"/>
                <w:color w:val="auto"/>
                <w:w w:val="89"/>
              </w:rPr>
              <w:t>12</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WI</w:t>
            </w:r>
          </w:p>
        </w:tc>
        <w:tc>
          <w:tcPr>
            <w:tcW w:w="164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89"/>
              </w:rPr>
              <w:t>10</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KY</w:t>
            </w:r>
          </w:p>
        </w:tc>
        <w:tc>
          <w:tcPr>
            <w:tcW w:w="166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8</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Expansion and Real Estate Strategy</w:t>
      </w:r>
    </w:p>
    <w:p>
      <w:pPr>
        <w:spacing w:after="0" w:line="10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the availability of desirable locations with suitable structures and the negotiation of acceptable lease terms.</w:t>
      </w:r>
    </w:p>
    <w:p>
      <w:pPr>
        <w:spacing w:after="0" w:line="16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have a proven track record of new store expansion. Our store base has grown from 13 stores in 1980 to 840 stores as of January 29, 2022. Based on our smaller store prototype, as well as the opportunity presented by accelerating retail disruption and industry wide store closures, we have increased our long-term store target to 2,000 stores, up from our previous store target of 1,000 stores, which was established in connection with our IPO in 2013. If we identify appropriate locations, including locations that fit our smaller store prototype, we believe that we will be able to execute our growth strategy without significantly impacting our current stores. The table below shows our store openings and closings each of the last three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Fiscal 2021</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2020</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Fiscal 2019</w:t>
            </w:r>
          </w:p>
        </w:tc>
      </w:tr>
      <w:tr>
        <w:trPr>
          <w:trHeight w:val="196"/>
        </w:trPr>
        <w:tc>
          <w:tcPr>
            <w:tcW w:w="1140" w:type="dxa"/>
            <w:vAlign w:val="bottom"/>
          </w:tcPr>
          <w:p>
            <w:pPr>
              <w:spacing w:after="0"/>
              <w:rPr>
                <w:sz w:val="17"/>
                <w:szCs w:val="17"/>
                <w:color w:val="auto"/>
              </w:rPr>
            </w:pPr>
          </w:p>
        </w:tc>
        <w:tc>
          <w:tcPr>
            <w:tcW w:w="52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Stores (beginning of period)</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w:t>
            </w: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w:t>
            </w: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Stores opened(a)(b)</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2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Stores closed(a)</w:t>
            </w: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(5 )</w:t>
            </w: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(11 )</w:t>
            </w: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(8 )</w:t>
            </w:r>
          </w:p>
        </w:tc>
      </w:tr>
      <w:tr>
        <w:trPr>
          <w:trHeight w:val="196"/>
        </w:trPr>
        <w:tc>
          <w:tcPr>
            <w:tcW w:w="1140" w:type="dxa"/>
            <w:vAlign w:val="bottom"/>
          </w:tcPr>
          <w:p>
            <w:pPr>
              <w:spacing w:after="0"/>
              <w:rPr>
                <w:sz w:val="17"/>
                <w:szCs w:val="17"/>
                <w:color w:val="auto"/>
              </w:rPr>
            </w:pPr>
          </w:p>
        </w:tc>
        <w:tc>
          <w:tcPr>
            <w:tcW w:w="522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Stores (end of period)</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w:t>
            </w: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w:t>
            </w:r>
          </w:p>
        </w:tc>
        <w:tc>
          <w:tcPr>
            <w:tcW w:w="20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w:t>
            </w:r>
          </w:p>
        </w:tc>
        <w:tc>
          <w:tcPr>
            <w:tcW w:w="100" w:type="dxa"/>
            <w:vAlign w:val="bottom"/>
            <w:tcBorders>
              <w:top w:val="single" w:sz="8" w:color="CFF0FC"/>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-236220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-236220</wp:posOffset>
            </wp:positionV>
            <wp:extent cx="603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-236220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Exclusive of relocations.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Stores opened during Fiscal 2021, Fiscal 2020 and Fiscal 2019 had an average size of approximately 31,000, 40,000 and 42,000 square feet, respectively.</w:t>
      </w:r>
    </w:p>
    <w:p>
      <w:pPr>
        <w:spacing w:after="0" w:line="63"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The total gross square footage of all stores as of the end of Fiscal 2021, Fiscal 2020, and Fiscal 2019 were 49.6 million, 48.0 million, and 47.4 million, respectively. Of this total square footage, the area that represents the total selling square footage for all stores as of the end of Fiscal 2021, Fiscal 2020, and Fiscal 2019 were 30.0 million, 32.3 million, and 32.0 million respectively. Total selling square footage decreased in Fiscal 2021 despite opening 79 net new stores, primarily due to optimizing the selling space at existing locations, as well as the smaller size of our new stores compared to prior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Warehousing</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have five distribution centers that shipped approximately 99% of merchandise units to our stores in Fiscal 2021. The remaining 1% of merchandise units are drop shipped by our vendors directly to our stores. Our two east coast distribution centers are located in Edgewater Park, New Jersey and Burlington, New Jersey. Our three west coast distribution centers are located in San Bernardino, California, Redlands, California, and Riverside, California. These five distribution centers occupy an aggregate of 3,784,000 square feet, and each includes processing, shipping and storage capabilities. In addition, we entered into a lease for an additional distribution center in Logan, New Jersey occupying approximately 1,029,000 square feet. This building is expected to be operational for storage during Fiscal 2022, and for processing and shipping during Fiscal 2023.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ind w:right="260" w:firstLine="509"/>
        <w:spacing w:after="0" w:line="248" w:lineRule="auto"/>
        <w:rPr>
          <w:sz w:val="20"/>
          <w:szCs w:val="20"/>
          <w:color w:val="auto"/>
        </w:rPr>
      </w:pPr>
      <w:r>
        <w:rPr>
          <w:rFonts w:ascii="Arial" w:cs="Arial" w:eastAsia="Arial" w:hAnsi="Arial"/>
          <w:sz w:val="18"/>
          <w:szCs w:val="18"/>
          <w:color w:val="auto"/>
        </w:rPr>
        <w:t>We also operate warehousing facilities to support our distribution centers. The east coast has three supporting warehouses located in Burlington, New Jersey. The west coast has two supporting warehouses, located in Redlands, California and San Bernardino, California. These five warehousing facilities occupy an aggregate of 2,058,000 square feet and primarily serve as storage facilities.</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Calendar</w:t>
            </w:r>
          </w:p>
        </w:tc>
        <w:tc>
          <w:tcPr>
            <w:tcW w:w="160" w:type="dxa"/>
            <w:vAlign w:val="bottom"/>
          </w:tcPr>
          <w:p>
            <w:pPr>
              <w:spacing w:after="0"/>
              <w:rPr>
                <w:sz w:val="14"/>
                <w:szCs w:val="14"/>
                <w:color w:val="auto"/>
              </w:rPr>
            </w:pPr>
          </w:p>
        </w:tc>
        <w:tc>
          <w:tcPr>
            <w:tcW w:w="12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Size</w:t>
            </w: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85"/>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Primary Distribution Centers: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Operational</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(sq. feet)</w:t>
            </w: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Edgewater Park, New Jersey (Route 130 South)(a)</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2004</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648,000</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Burlington, New Jersey (Daniels Way)</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2014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678,000</w:t>
            </w:r>
          </w:p>
        </w:tc>
        <w:tc>
          <w:tcPr>
            <w:tcW w:w="1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Logan, New Jersey (b)</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2022</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1,029,000</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San Bernardino, California (E. Mill St)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2006</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758,000</w:t>
            </w:r>
          </w:p>
        </w:tc>
        <w:tc>
          <w:tcPr>
            <w:tcW w:w="1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Redlands, California (Pioneer Ave)</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Riverside, California (Cactus Ave)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2021</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900,000</w:t>
            </w:r>
          </w:p>
        </w:tc>
        <w:tc>
          <w:tcPr>
            <w:tcW w:w="1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Warehousing Facilities:</w:t>
            </w: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Burlington, New Jersey (Route 130 North)(a)</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1987</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402,000</w:t>
            </w:r>
          </w:p>
        </w:tc>
        <w:tc>
          <w:tcPr>
            <w:tcW w:w="1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Burlington, New Jersey (Richards Run)</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2017</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511,000</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Burlington, New Jersey (Daniels Way)</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208,000</w:t>
            </w:r>
          </w:p>
        </w:tc>
        <w:tc>
          <w:tcPr>
            <w:tcW w:w="1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2"/>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Redlands, California (River Bluff Ave)</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2017</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543,000</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San Bernardino, California (Waterman Ave)</w:t>
            </w:r>
          </w:p>
        </w:tc>
        <w:tc>
          <w:tcPr>
            <w:tcW w:w="1260" w:type="dxa"/>
            <w:vAlign w:val="bottom"/>
          </w:tcPr>
          <w:p>
            <w:pPr>
              <w:jc w:val="right"/>
              <w:spacing w:after="0"/>
              <w:rPr>
                <w:sz w:val="20"/>
                <w:szCs w:val="20"/>
                <w:color w:val="auto"/>
              </w:rPr>
            </w:pPr>
            <w:r>
              <w:rPr>
                <w:rFonts w:ascii="Arial" w:cs="Arial" w:eastAsia="Arial" w:hAnsi="Arial"/>
                <w:sz w:val="18"/>
                <w:szCs w:val="18"/>
                <w:color w:val="auto"/>
              </w:rPr>
              <w:t>2020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394,000</w:t>
            </w:r>
          </w:p>
        </w:tc>
        <w:tc>
          <w:tcPr>
            <w:tcW w:w="1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19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8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Inclusive of corporate offices.</w:t>
      </w:r>
    </w:p>
    <w:p>
      <w:pPr>
        <w:spacing w:after="0" w:line="11" w:lineRule="exact"/>
        <w:rPr>
          <w:rFonts w:ascii="Arial" w:cs="Arial" w:eastAsia="Arial" w:hAnsi="Arial"/>
          <w:sz w:val="18"/>
          <w:szCs w:val="18"/>
          <w:color w:val="auto"/>
        </w:rPr>
      </w:pPr>
    </w:p>
    <w:p>
      <w:pPr>
        <w:ind w:left="520" w:right="160" w:hanging="512"/>
        <w:spacing w:after="0" w:line="243" w:lineRule="auto"/>
        <w:tabs>
          <w:tab w:leader="none" w:pos="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lease for this distribution center was signed during Fiscal 2021 and is expected to become operational during Fiscal 2022 for storage and Fiscal 2023 for processing and shipping.</w:t>
      </w:r>
    </w:p>
    <w:p>
      <w:pPr>
        <w:spacing w:after="0" w:line="7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In addition to the distribution centers that we operate, we have arrangements with third parties for the use of pool point facilities, which we believe streamline and optimize our distribution network.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are committed to providing our customers with an enjoyable shopping experience in stores that are clean, neat and easy to shop. In training our associates, our goal is to emphasize knowledgeable, friendly customer service and a sense of professional pride.</w:t>
      </w:r>
    </w:p>
    <w:p>
      <w:pPr>
        <w:spacing w:after="0" w:line="171" w:lineRule="exact"/>
        <w:rPr>
          <w:sz w:val="20"/>
          <w:szCs w:val="20"/>
          <w:color w:val="auto"/>
        </w:rPr>
      </w:pPr>
    </w:p>
    <w:p>
      <w:pPr>
        <w:ind w:right="340" w:firstLine="509"/>
        <w:spacing w:after="0" w:line="270" w:lineRule="auto"/>
        <w:rPr>
          <w:sz w:val="20"/>
          <w:szCs w:val="20"/>
          <w:color w:val="auto"/>
        </w:rPr>
      </w:pPr>
      <w:r>
        <w:rPr>
          <w:rFonts w:ascii="Arial" w:cs="Arial" w:eastAsia="Arial" w:hAnsi="Arial"/>
          <w:sz w:val="17"/>
          <w:szCs w:val="17"/>
          <w:color w:val="auto"/>
        </w:rPr>
        <w:t>We have empowered our store teams to provide an outstanding customer experience for every customer in every store, every day. We have streamlined processes and will continue to strive to create opportunities for fast and friendly customer interactions. Our goal for our stores is to reflect clean, organized merchandise presentations that highlight the brands, value and diversity of selection within our assortments.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Off-Price Sourcing and Merchandising Model</w:t>
      </w:r>
    </w:p>
    <w:p>
      <w:pPr>
        <w:spacing w:after="0" w:line="10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believe that our ability to chase sales within the off-price model enables us to provide our customers with products that are nationally branded, fashionable, high quality and priced right. We have an experienced team of General Merchandise Managers, Divisional Merchandise Managers and buyers that are continually focused on improving comparable store inventory turnover, inventory age and freshness of merchandise.</w:t>
      </w:r>
    </w:p>
    <w:p>
      <w:pPr>
        <w:spacing w:after="0" w:line="56"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continue to improve the quality of our brand portfolio, driven by the growth of our merchandising team, wide breadth of our product categories, and a vendor community increasingly committed to grow with Burlington. We carry many different brands, none of which accounted for more than 5% of our net purchases during Fiscal 2021, Fiscal 2020 or Fiscal 2019. We have no long-term purchase commitments or arrangements with any of our suppliers, and believe that we are not dependent on any one supplier. We continue to have good working relationships with our suppliers.</w:t>
      </w:r>
    </w:p>
    <w:p>
      <w:pPr>
        <w:spacing w:after="0" w:line="155"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have designed our merchant organization so that buyers focus primarily on buying, planners focus primarily on planning, and information systems help inform data-driven decisions for both groups. Buyers are in the market each week and focus on purchasing great products for great value. We seek to purchase a majority of our merchandise in-season. Buyers spend time interacting face-to-face with new and existing vendors and on continuously evaluating trends in the market to which we believe our customers would respond positively. Our buyers use a merchant scorecard that rates products across four key attributes—fashion, quality, brand and price—to help formalize a framework for buying decisions.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6" w:name="page7"/>
    <w:bookmarkEnd w:id="6"/>
    <w:p>
      <w:pPr>
        <w:ind w:right="20" w:firstLine="509"/>
        <w:spacing w:after="0" w:line="261" w:lineRule="auto"/>
        <w:rPr>
          <w:sz w:val="20"/>
          <w:szCs w:val="20"/>
          <w:color w:val="auto"/>
        </w:rPr>
      </w:pPr>
      <w:r>
        <w:rPr>
          <w:rFonts w:ascii="Arial" w:cs="Arial" w:eastAsia="Arial" w:hAnsi="Arial"/>
          <w:sz w:val="18"/>
          <w:szCs w:val="18"/>
          <w:color w:val="auto"/>
        </w:rPr>
        <w:t>Our merchandising model allows us to provide our customers with a wide breadth of product categories. Sales percentage by major product category over the last three fiscal years was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6"/>
                <w:szCs w:val="16"/>
                <w:color w:val="auto"/>
              </w:rPr>
            </w:pPr>
          </w:p>
        </w:tc>
        <w:tc>
          <w:tcPr>
            <w:tcW w:w="13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Fiscal 2021</w:t>
            </w:r>
          </w:p>
        </w:tc>
        <w:tc>
          <w:tcPr>
            <w:tcW w:w="13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Fiscal 2020</w:t>
            </w: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Fiscal 2019</w:t>
            </w:r>
          </w:p>
        </w:tc>
      </w:tr>
      <w:tr>
        <w:trPr>
          <w:trHeight w:val="196"/>
        </w:trPr>
        <w:tc>
          <w:tcPr>
            <w:tcW w:w="49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Ladies apparel</w:t>
            </w: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Accessories and shoes</w:t>
            </w:r>
          </w:p>
        </w:tc>
        <w:tc>
          <w:tcPr>
            <w:tcW w:w="148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23 %</w:t>
            </w: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24 %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Home</w:t>
            </w:r>
          </w:p>
        </w:tc>
        <w:tc>
          <w:tcPr>
            <w:tcW w:w="1480" w:type="dxa"/>
            <w:vAlign w:val="bottom"/>
            <w:gridSpan w:val="3"/>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20 %</w:t>
            </w: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Mens apparel</w:t>
            </w:r>
          </w:p>
        </w:tc>
        <w:tc>
          <w:tcPr>
            <w:tcW w:w="148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16 %</w:t>
            </w: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Kids apparel and baby</w:t>
            </w:r>
          </w:p>
        </w:tc>
        <w:tc>
          <w:tcPr>
            <w:tcW w:w="1480" w:type="dxa"/>
            <w:vAlign w:val="bottom"/>
            <w:gridSpan w:val="3"/>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14 %</w:t>
            </w: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Outerwear</w:t>
            </w:r>
          </w:p>
        </w:tc>
        <w:tc>
          <w:tcPr>
            <w:tcW w:w="1480" w:type="dxa"/>
            <w:vAlign w:val="bottom"/>
            <w:gridSpan w:val="3"/>
          </w:tcPr>
          <w:p>
            <w:pPr>
              <w:jc w:val="right"/>
              <w:ind w:right="110"/>
              <w:spacing w:after="0"/>
              <w:rPr>
                <w:sz w:val="20"/>
                <w:szCs w:val="20"/>
                <w:color w:val="auto"/>
              </w:rPr>
            </w:pPr>
            <w:r>
              <w:rPr>
                <w:rFonts w:ascii="Arial" w:cs="Arial" w:eastAsia="Arial" w:hAnsi="Arial"/>
                <w:sz w:val="18"/>
                <w:szCs w:val="18"/>
                <w:color w:val="auto"/>
              </w:rPr>
              <w:t>4 %</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4 %</w:t>
            </w:r>
          </w:p>
        </w:tc>
      </w:tr>
    </w:tbl>
    <w:p>
      <w:pPr>
        <w:spacing w:after="0" w:line="6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Certain classifications have been updated in the above table compared to prior years in order to conform to the manner in which we manage our operations. These updates include a shift in certain cold weather categories from apparel to accessories and footwear, as well as in certain gifts, electronics, automotive and other miscellaneous categories from menswear to home. Prior year amounts have been reclassified to conform to the current period presentation.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sales mix for Fiscal 2020 in the above table was significantly impacted by the COVID-19 pandemic, and may not be reflective of continuing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trends.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Attracting, developing and retaining top talent is key to our growth, and our success depends on cultivating an engaged and motivated workforce.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create a welcoming, diverse and inclusive environment where our associates can build a career for life.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and Management</w:t>
      </w:r>
    </w:p>
    <w:p>
      <w:pPr>
        <w:spacing w:after="0" w:line="198" w:lineRule="exact"/>
        <w:rPr>
          <w:sz w:val="20"/>
          <w:szCs w:val="20"/>
          <w:color w:val="auto"/>
        </w:rPr>
      </w:pPr>
    </w:p>
    <w:p>
      <w:pPr>
        <w:ind w:right="280" w:firstLine="360"/>
        <w:spacing w:after="0" w:line="262" w:lineRule="auto"/>
        <w:rPr>
          <w:sz w:val="20"/>
          <w:szCs w:val="20"/>
          <w:color w:val="auto"/>
        </w:rPr>
      </w:pPr>
      <w:r>
        <w:rPr>
          <w:rFonts w:ascii="Arial" w:cs="Arial" w:eastAsia="Arial" w:hAnsi="Arial"/>
          <w:sz w:val="17"/>
          <w:szCs w:val="17"/>
          <w:color w:val="auto"/>
        </w:rPr>
        <w:t>Our Human Resources department is tasked with managing associate-related matters, including recruiting and hiring, compensation and benefits, performance management, and learning and development. In addition, our management and cross-functional teams also work closely to evaluate human capital management issues such as associate retention and workplace safety, as well as to implement measures to mitigate these risks. This process is informed by the results of our annual associate survey, which is discussed in further detail below.</w:t>
      </w:r>
    </w:p>
    <w:p>
      <w:pPr>
        <w:spacing w:after="0" w:line="159" w:lineRule="exact"/>
        <w:rPr>
          <w:sz w:val="20"/>
          <w:szCs w:val="20"/>
          <w:color w:val="auto"/>
        </w:rPr>
      </w:pPr>
    </w:p>
    <w:p>
      <w:pPr>
        <w:ind w:right="360" w:firstLine="360"/>
        <w:spacing w:after="0" w:line="279" w:lineRule="auto"/>
        <w:rPr>
          <w:sz w:val="20"/>
          <w:szCs w:val="20"/>
          <w:color w:val="auto"/>
        </w:rPr>
      </w:pPr>
      <w:r>
        <w:rPr>
          <w:rFonts w:ascii="Arial" w:cs="Arial" w:eastAsia="Arial" w:hAnsi="Arial"/>
          <w:sz w:val="16"/>
          <w:szCs w:val="16"/>
          <w:color w:val="auto"/>
        </w:rPr>
        <w:t>Our Board of Directors and Board committees provide oversight on certain human capital matters. For example, our Compensation Committee is responsible for, among other things, developing and reviewing executive management succession plans and reviewing our compensation policies for executives and associates generally to assess (i) whether the compensation structure establishes appropriate incentives and (ii) the risks associated with such policies and practices. In addition, our Nominating and Corporate Governance Committee provides oversight of the social, political and environmental trends, issues and concerns, including legislative and regulatory developments, that could significantly affect our public affairs.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Associates</w:t>
      </w:r>
    </w:p>
    <w:p>
      <w:pPr>
        <w:spacing w:after="0" w:line="19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January 29, 2022, we employed 62,395 associates, including 47,592 part-time and seasonal associates. Of those associates, 86% worked in our stores, 10% worked in our distribution centers and 4% worked in our corporate organization. As of January 29, 2022, 74% of our associates self-identified as female and 78% of our associates self-identified as having a racial or ethnic minority background.</w:t>
      </w:r>
    </w:p>
    <w:p>
      <w:pPr>
        <w:spacing w:after="0" w:line="16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staffing requirements fluctuate during the year as a result of the seasonality of our business. We hire additional associates and increase the hours of part-time associates during seasonal peak selling periods. As of January 29, 2022, associates at one of our stores were subject to a collective bargaining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Culture</w:t>
      </w:r>
    </w:p>
    <w:p>
      <w:pPr>
        <w:spacing w:after="0" w:line="19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recognize the critical importance of talent and culture to our success. Our value proposition, “Our Burlington,” which defines who we are as an employer and what is important to us as a team, is based on five tenets:</w:t>
      </w:r>
    </w:p>
    <w:p>
      <w:pPr>
        <w:spacing w:after="0" w:line="157"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Are an Off-Price Retailer</w:t>
      </w:r>
      <w:r>
        <w:rPr>
          <w:rFonts w:ascii="Arial" w:cs="Arial" w:eastAsia="Arial" w:hAnsi="Arial"/>
          <w:sz w:val="18"/>
          <w:szCs w:val="18"/>
          <w:color w:val="auto"/>
        </w:rPr>
        <w:t>: We deliver great values to our customers every day.</w:t>
      </w:r>
    </w:p>
    <w:p>
      <w:pPr>
        <w:spacing w:after="0" w:line="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Live by Our Core Values</w:t>
      </w:r>
      <w:r>
        <w:rPr>
          <w:rFonts w:ascii="Arial" w:cs="Arial" w:eastAsia="Arial" w:hAnsi="Arial"/>
          <w:sz w:val="18"/>
          <w:szCs w:val="18"/>
          <w:color w:val="auto"/>
        </w:rPr>
        <w:t>: Drive Results. Trust &amp; Respect Each Other. Build Teams &amp; Partnerships.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left="760" w:hanging="378"/>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Believe Everyone Matters</w:t>
      </w:r>
      <w:r>
        <w:rPr>
          <w:rFonts w:ascii="Arial" w:cs="Arial" w:eastAsia="Arial" w:hAnsi="Arial"/>
          <w:sz w:val="17"/>
          <w:szCs w:val="17"/>
          <w:color w:val="auto"/>
        </w:rPr>
        <w:t>: We listen to the individual viewpoints of our diverse workforce through open and honest communication.</w:t>
      </w:r>
    </w:p>
    <w:p>
      <w:pPr>
        <w:spacing w:after="0" w:line="23" w:lineRule="exact"/>
        <w:rPr>
          <w:rFonts w:ascii="Arial" w:cs="Arial" w:eastAsia="Arial" w:hAnsi="Arial"/>
          <w:sz w:val="17"/>
          <w:szCs w:val="17"/>
          <w:color w:val="auto"/>
        </w:rPr>
      </w:pPr>
    </w:p>
    <w:p>
      <w:pPr>
        <w:ind w:left="760" w:hanging="378"/>
        <w:spacing w:after="0" w:line="23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Win Together</w:t>
      </w:r>
      <w:r>
        <w:rPr>
          <w:rFonts w:ascii="Arial" w:cs="Arial" w:eastAsia="Arial" w:hAnsi="Arial"/>
          <w:sz w:val="18"/>
          <w:szCs w:val="18"/>
          <w:color w:val="auto"/>
        </w:rPr>
        <w:t>: We recognize those who make a difference. Great performance leads to exciting career opportunities.</w:t>
      </w:r>
    </w:p>
    <w:p>
      <w:pPr>
        <w:ind w:left="760" w:right="600" w:hanging="378"/>
        <w:spacing w:after="0" w:line="24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Are a Caring Company</w:t>
      </w:r>
      <w:r>
        <w:rPr>
          <w:rFonts w:ascii="Arial" w:cs="Arial" w:eastAsia="Arial" w:hAnsi="Arial"/>
          <w:sz w:val="18"/>
          <w:szCs w:val="18"/>
          <w:color w:val="auto"/>
        </w:rPr>
        <w:t>: We have a caring work environment, and the generosity of our associates and customers helps to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we live and work in and beyond.</w:t>
      </w:r>
    </w:p>
    <w:p>
      <w:pPr>
        <w:spacing w:after="0" w:line="17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conduct an annual associate survey to measure associate engagement. The survey results help us understand the associate experience, evaluate our performance, identify our strengths and pinpoint opportunities for improvement. Our 2021 survey, which included feedback from more than 43,000 associates, revealed: 92% believe Burlington makes it easy for people from diverse backgrounds to fit in and be accepted; 90% reported that their manager treats them with dignity and respect; and 86% believe in our Core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00" w:lineRule="exact"/>
        <w:rPr>
          <w:sz w:val="20"/>
          <w:szCs w:val="20"/>
          <w:color w:val="auto"/>
        </w:rPr>
      </w:pPr>
    </w:p>
    <w:p>
      <w:pPr>
        <w:spacing w:after="0" w:line="20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As Burlington continues to grow, innovate, and thrive, we are integrating diversity, equity, and inclusion (DEI) best practices across the entire spectrum of business functions. In 2021, Burlington developed a new DEI strategy and governance framework to support this effort. Our DEI strategy consists of five pillars that support all areas of the business:</w:t>
      </w:r>
    </w:p>
    <w:p>
      <w:pPr>
        <w:spacing w:after="0" w:line="371"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Leadership &amp; Workforce Diversity</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Inclusive &amp; Equitable Environments for Associates and Customers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Education &amp; Awareness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Vendor &amp; Supplier Diversity</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Community Advocacy</w:t>
      </w:r>
    </w:p>
    <w:p>
      <w:pPr>
        <w:spacing w:after="0" w:line="200" w:lineRule="exact"/>
        <w:rPr>
          <w:sz w:val="20"/>
          <w:szCs w:val="20"/>
          <w:color w:val="auto"/>
        </w:rPr>
      </w:pPr>
    </w:p>
    <w:p>
      <w:pPr>
        <w:spacing w:after="0" w:line="20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Further evidencing our commitment to advancing DEI, Burlington welcomed three new DEI leaders since the beginning of Fiscal 2021, who will oversee our ongoing efforts. The DEI team will be further supported by an enhanced governance structure consisting of additional DEI counsels to support corporate, merchandising, distribution centers, and field/store operations, along with expanded Associate Resource Groups, which will give associates more ways to participate in DEI efforts as members of an associate-led community.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w:t>
      </w:r>
    </w:p>
    <w:p>
      <w:pPr>
        <w:spacing w:after="0" w:line="19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support our associates’ career growth by offering a blended learning approach that includes online education, on-the-job training, coaching and career development. All associates, including full- and part-time, in our stores, distribution centers and corporate offices, are offered training and development opportunities. Our learning and development programs are integral to the development of our associates and enable them to take on new and expanded roles across our organization.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9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As part of our commitment to offer competitive wages, Burlington works to ensure that our pay structure aligns with industry standards. In addition to being merit based, Burlington reviews compensation for all associates at every level of the business based on market analysis, seeking to ensure associates are fairly and appropriately compensated. Through this process, we have increased the wages of our hourly associates every year since 2010. We also offer a wide array of benefits for our associates and their families, including health and wellness and retirement benefits.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Demographic</w:t>
      </w:r>
    </w:p>
    <w:p>
      <w:pPr>
        <w:spacing w:after="0" w:line="10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core customer is 25-49 years old, has an average annual household income of $25,000-$100,000, and is more ethnically diverse than the general population. The core customer is educated, resides in mid- to large-sized metropolitan areas and shops for themselves, their family, and their home. We appeal to value seeking and brand conscious customers who understand the off-price model and love the thrill of the hunt.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Marketing and Advertising</w:t>
      </w:r>
    </w:p>
    <w:p>
      <w:pPr>
        <w:spacing w:after="0" w:line="108"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We use a mix of broad-based and targeted marketing strategies to efficiently deliver the right message to our audience at the right time. Broad-based strategies include television and radio, while our digital and streaming audio strategies allow for more personalized and targeted messaging. Email reaches our best customers, while social marketing, including relationships with influencers, allows for authentic consumer engagement.</w:t>
      </w:r>
    </w:p>
    <w:p>
      <w:pPr>
        <w:spacing w:after="0" w:line="3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During Fiscal 2020, we made a strategic business decision to transition from an e-commerce website to a marketing content-based website designed to inspire consumers to shop in stores. Today, Burlington.com highlights our great merchandise values, while encouraging customers to discover fantastic deals on the brands and products they love - from stylish apparel to everything they need and want for their entire family and home. Merchandise sold directly from our website represented approximately 0.5% of our total sales in Fiscal 2019.</w:t>
      </w:r>
    </w:p>
    <w:p>
      <w:pPr>
        <w:spacing w:after="0" w:line="8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During Fiscal 2019, we launched a private label credit card program in all our stores. We believe this program has the potential to deepen customer loyalty, inform customer contact strategies, and drive increases in trip frequency and transaction size.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U.S. retail apparel and home furnishings markets are highly fragmented and competitive.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for business with department stores, off-price retailers, specialty stores, online retailers,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stores.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merchandise.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right="160" w:firstLine="578"/>
        <w:spacing w:after="0" w:line="284" w:lineRule="auto"/>
        <w:rPr>
          <w:sz w:val="20"/>
          <w:szCs w:val="20"/>
          <w:color w:val="auto"/>
        </w:rPr>
      </w:pPr>
      <w:r>
        <w:rPr>
          <w:rFonts w:ascii="Arial" w:cs="Arial" w:eastAsia="Arial" w:hAnsi="Arial"/>
          <w:sz w:val="16"/>
          <w:szCs w:val="16"/>
          <w:color w:val="auto"/>
        </w:rPr>
        <w:t>We are the owner of certain registered and common law trademarks, service marks and tradenames (collectively referred to as the Marks) that we use in connection with our business. Our Marks include, but are not limited to, “Burlington Stores,” “BCF,” “Burlington,” “Burlington Coat Factory,” “Cohoes,” “MJM Designer Shoes,” “B” and “Baby Depot.” We consider these Marks and the accompanying name recognition to be valuable to our business. We believe that our rights to these properties are adequately protected. Our rights in these Marks endure for as long as they are used.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We are subject to the reporting requirements of the Exchange Act. Therefore, we file reports, proxy statements and other information with the Securities and Exchange Commission (SEC). The SEC maintains a website (</w:t>
      </w:r>
      <w:r>
        <w:rPr>
          <w:rFonts w:ascii="Arial" w:cs="Arial" w:eastAsia="Arial" w:hAnsi="Arial"/>
          <w:sz w:val="18"/>
          <w:szCs w:val="18"/>
          <w:u w:val="single" w:color="auto"/>
          <w:color w:val="auto"/>
        </w:rPr>
        <w:t>www.sec.gov</w:t>
      </w:r>
      <w:r>
        <w:rPr>
          <w:rFonts w:ascii="Arial" w:cs="Arial" w:eastAsia="Arial" w:hAnsi="Arial"/>
          <w:sz w:val="18"/>
          <w:szCs w:val="18"/>
          <w:color w:val="auto"/>
        </w:rPr>
        <w:t>) that contains reports, proxy and information statements, and other information regarding issuers that file electronically with the SEC, including us.</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You can access financial and other information about us in the Investor Relations page of our website at </w:t>
      </w:r>
      <w:r>
        <w:rPr>
          <w:rFonts w:ascii="Arial" w:cs="Arial" w:eastAsia="Arial" w:hAnsi="Arial"/>
          <w:sz w:val="18"/>
          <w:szCs w:val="18"/>
          <w:u w:val="single" w:color="auto"/>
          <w:color w:val="auto"/>
        </w:rPr>
        <w:t>www.burlingtoninvestors.com</w:t>
      </w:r>
      <w:r>
        <w:rPr>
          <w:rFonts w:ascii="Arial" w:cs="Arial" w:eastAsia="Arial" w:hAnsi="Arial"/>
          <w:sz w:val="18"/>
          <w:szCs w:val="18"/>
          <w:color w:val="auto"/>
        </w:rPr>
        <w:t>.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w:t>
      </w:r>
    </w:p>
    <w:p>
      <w:pPr>
        <w:spacing w:after="0" w:line="174"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Investors and others should note that we currently announce material information using SEC filings, press releases, public conference calls and webcasts. In the future, we will continue to use these channels to distribute material information about the Company, and may also utilize our website and/or various social media sites to communicate important information about the Company, key personnel, new brands and services, trends, new marketing campaigns, corporate initiatives and other matters. Information that we post on our website or on social media channels could be deemed material; therefore, we encourage investors, the media, our customers, business partners and others interested in the Company to review the information posted on our website, as well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9" w:name="page10"/>
    <w:bookmarkEnd w:id="9"/>
    <w:p>
      <w:pPr>
        <w:ind w:right="260"/>
        <w:spacing w:after="0" w:line="248" w:lineRule="auto"/>
        <w:rPr>
          <w:sz w:val="20"/>
          <w:szCs w:val="20"/>
          <w:color w:val="auto"/>
        </w:rPr>
      </w:pPr>
      <w:r>
        <w:rPr>
          <w:rFonts w:ascii="Arial" w:cs="Arial" w:eastAsia="Arial" w:hAnsi="Arial"/>
          <w:sz w:val="18"/>
          <w:szCs w:val="18"/>
          <w:color w:val="auto"/>
        </w:rPr>
        <w:t>as the following social media channels: Facebook (</w:t>
      </w:r>
      <w:r>
        <w:rPr>
          <w:rFonts w:ascii="Arial" w:cs="Arial" w:eastAsia="Arial" w:hAnsi="Arial"/>
          <w:sz w:val="18"/>
          <w:szCs w:val="18"/>
          <w:u w:val="single" w:color="auto"/>
          <w:color w:val="auto"/>
        </w:rPr>
        <w:t>www.facebook.com/BurlingtonStores</w:t>
      </w:r>
      <w:r>
        <w:rPr>
          <w:rFonts w:ascii="Arial" w:cs="Arial" w:eastAsia="Arial" w:hAnsi="Arial"/>
          <w:sz w:val="18"/>
          <w:szCs w:val="18"/>
          <w:color w:val="auto"/>
        </w:rPr>
        <w:t>) and Twitter (</w:t>
      </w:r>
      <w:r>
        <w:rPr>
          <w:rFonts w:ascii="Arial" w:cs="Arial" w:eastAsia="Arial" w:hAnsi="Arial"/>
          <w:sz w:val="18"/>
          <w:szCs w:val="18"/>
          <w:u w:val="single" w:color="auto"/>
          <w:color w:val="auto"/>
        </w:rPr>
        <w:t>www.twitter.com/burlington</w:t>
      </w:r>
      <w:r>
        <w:rPr>
          <w:rFonts w:ascii="Arial" w:cs="Arial" w:eastAsia="Arial" w:hAnsi="Arial"/>
          <w:sz w:val="18"/>
          <w:szCs w:val="18"/>
          <w:color w:val="auto"/>
        </w:rPr>
        <w:t xml:space="preserve">). Any updates to the list of social media channels we may use to communicate material information will be posted on the Investor Relations page of our website at </w:t>
      </w:r>
      <w:r>
        <w:rPr>
          <w:rFonts w:ascii="Arial" w:cs="Arial" w:eastAsia="Arial" w:hAnsi="Arial"/>
          <w:sz w:val="18"/>
          <w:szCs w:val="18"/>
          <w:u w:val="single" w:color="auto"/>
          <w:color w:val="auto"/>
        </w:rPr>
        <w:t>www.burlingtoninvestors.com</w:t>
      </w:r>
      <w:r>
        <w:rPr>
          <w:rFonts w:ascii="Arial" w:cs="Arial" w:eastAsia="Arial" w:hAnsi="Arial"/>
          <w:sz w:val="18"/>
          <w:szCs w:val="18"/>
          <w:color w:val="auto"/>
        </w:rPr>
        <w:t>.</w:t>
      </w:r>
    </w:p>
    <w:p>
      <w:pPr>
        <w:spacing w:after="0" w:line="168"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The information contained on, or accessible through, our website and these social media channels is not part of this Annual Report and is therefore not incorporated by reference. The references to our website and these social media channels are intended to be inactive textual references only.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80" w:firstLine="594"/>
        <w:spacing w:after="0"/>
        <w:rPr>
          <w:sz w:val="20"/>
          <w:szCs w:val="20"/>
          <w:color w:val="auto"/>
        </w:rPr>
      </w:pPr>
      <w:r>
        <w:rPr>
          <w:rFonts w:ascii="Arial" w:cs="Arial" w:eastAsia="Arial" w:hAnsi="Arial"/>
          <w:sz w:val="18"/>
          <w:szCs w:val="18"/>
          <w:color w:val="auto"/>
        </w:rPr>
        <w:t>Set forth below are material risks and uncertainties that could adversely affect our results of operations, financial condition or cash flows and cause our actual results to differ materially from those expressed in forward-looking statements made by us. Although we believe that we have identified and discussed below the key risks and uncertainties affecting our business, there may be additional risks and uncertainties that are not presently known or that are not currently believed to be material that may adversely affect our results of operations, financial condition or cash flows. Before making an investment decision, you should carefully consider the risks and uncertainties described below together with all of the other information included or incorporated by reference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Industry and Business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significantly adversely impacted and is expected to continue to adversely impact our business.</w:t>
      </w:r>
    </w:p>
    <w:p>
      <w:pPr>
        <w:spacing w:after="0" w:line="19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Governmental authorities nationally and locally have taken numerous actions and mandated various restrictions in an effort to slow the spread of COVID-19, including travel restrictions, restrictions on public gatherings, “shelter at home” orders and advisories, temporary closure of non-essential businesses and quarantining of people who may have been exposed to the virus. While several of these measures have since eased, other restrictions such as vaccine and mask mandates and testing requirements have been newly imposed or proposed, and the recovery process is uncertain. The COVID-19 pandemic has had a sustained adverse impact on global economic activity and caused significant volatility and negative pressure in financial markets, labor markets and the global supply chain.</w:t>
      </w:r>
    </w:p>
    <w:p>
      <w:pPr>
        <w:spacing w:after="0" w:line="176"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The pandemic has disrupted our business and has had a significant adverse impact on our financial performance and condition, operating results, liquidity and cash flows. In particular, in Fiscal 2020, the Company temporarily closed all of its stores, distribution centers (other than processing of received inventory) and corporate offices for a period of months to combat the rapid spread of COVID-19. In addition, as a result of the uncertainty regarding the COVID-19 pandemic, the Company took a number of measures in Fiscal 2020 to manage its liquidity, including careful management of operating expenses, working capital and capital expenditures, as well as temporarily suspending the Company’s share repurchase program.</w:t>
      </w:r>
    </w:p>
    <w:p>
      <w:pPr>
        <w:spacing w:after="0" w:line="146"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Future outbreaks of COVID-19 may continue to adversely impact and cause disruption to our business, financial performance and condition, operating results, liquidity and cash flows. Factors that could negatively impact our ability to successfully operate during the current or future outbreaks of the COVID-19 pandemic, either more broadly or within our stores, include:</w:t>
      </w:r>
    </w:p>
    <w:p>
      <w:pPr>
        <w:spacing w:after="0" w:line="276"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operate and preserve liquidity;</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incentivize associates;</w:t>
      </w:r>
    </w:p>
    <w:p>
      <w:pPr>
        <w:spacing w:after="0" w:line="306" w:lineRule="exact"/>
        <w:rPr>
          <w:rFonts w:ascii="Arial" w:cs="Arial" w:eastAsia="Arial" w:hAnsi="Arial"/>
          <w:sz w:val="18"/>
          <w:szCs w:val="18"/>
          <w:color w:val="auto"/>
        </w:rPr>
      </w:pPr>
    </w:p>
    <w:p>
      <w:pPr>
        <w:jc w:val="both"/>
        <w:ind w:left="1020" w:right="360" w:hanging="503"/>
        <w:spacing w:after="0" w:line="32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manage supply chain disruptions due to closed factories or distribution centers or other events, reduced workforces or labor shortages, increased labor and materials costs, scarcity of raw materials and scrutiny or embargoing of goods produced in affected areas;</w:t>
      </w:r>
    </w:p>
    <w:p>
      <w:pPr>
        <w:spacing w:after="0" w:line="218" w:lineRule="exact"/>
        <w:rPr>
          <w:rFonts w:ascii="Arial" w:cs="Arial" w:eastAsia="Arial" w:hAnsi="Arial"/>
          <w:sz w:val="16"/>
          <w:szCs w:val="16"/>
          <w:color w:val="auto"/>
        </w:rPr>
      </w:pPr>
    </w:p>
    <w:p>
      <w:pPr>
        <w:ind w:left="1020" w:right="100" w:hanging="503"/>
        <w:spacing w:after="0" w:line="32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reduced demand for the merchandise we sell or our ability to move existing inventory, including potentially having to sell existing inventory at a discount or write-down the value of inventory, and the costs, challenges and expenses of updating, procuring and replacing inventory;</w:t>
      </w:r>
    </w:p>
    <w:p>
      <w:pPr>
        <w:spacing w:after="0" w:line="218"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or our ability to complete, planned store openings on the expected terms or timing, or at all;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regional and local economies, including inflation, and related impacts on consumer confidence and spending;</w:t>
      </w:r>
    </w:p>
    <w:p>
      <w:pPr>
        <w:spacing w:after="0" w:line="306"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customers to our stores, and the willingness of our associates to staff our stores and distribution centers, given the risks, or perceived risks, of gathering in public places;</w:t>
      </w:r>
    </w:p>
    <w:p>
      <w:pPr>
        <w:spacing w:after="0" w:line="265"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negotiate payment terms with vendors and landlords;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pandemic-related litigation or claims from customers, associates, suppliers, regulators or other third parties;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incremental costs to operate during a pandemic, including costs of implementing additional safety measures;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accessing debt and equity capital on attractive terms, or at all, to fund business operations or address maturing liabilities.</w:t>
      </w:r>
    </w:p>
    <w:p>
      <w:pPr>
        <w:spacing w:after="0" w:line="200" w:lineRule="exact"/>
        <w:rPr>
          <w:sz w:val="20"/>
          <w:szCs w:val="20"/>
          <w:color w:val="auto"/>
        </w:rPr>
      </w:pPr>
    </w:p>
    <w:p>
      <w:pPr>
        <w:spacing w:after="0" w:line="212"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The extent of the continuing impact of the COVID-19 pandemic on our business, financial performance and condition, operating results, liquidity and cash flows will depend largely on future developments, including the production and administration of effective medical treatments and vaccines, the timing and extent of the recovery in traffic and consumer spending at our stores, additional costs and delays related to our supply chain, reduced workforces or labor shortages and scarcity of raw materials, and any future required store closures because of COVID-19 resurgences, all of which are highly uncertain and cannot be predicted. COVID-19 presents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throughout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or consumer spending or inflationary conditions could adversely affect our business.</w:t>
      </w:r>
    </w:p>
    <w:p>
      <w:pPr>
        <w:spacing w:after="0" w:line="198" w:lineRule="exact"/>
        <w:rPr>
          <w:sz w:val="20"/>
          <w:szCs w:val="20"/>
          <w:color w:val="auto"/>
        </w:rPr>
      </w:pPr>
    </w:p>
    <w:p>
      <w:pPr>
        <w:ind w:firstLine="618"/>
        <w:spacing w:after="0" w:line="253" w:lineRule="auto"/>
        <w:rPr>
          <w:sz w:val="20"/>
          <w:szCs w:val="20"/>
          <w:color w:val="auto"/>
        </w:rPr>
      </w:pPr>
      <w:r>
        <w:rPr>
          <w:rFonts w:ascii="Arial" w:cs="Arial" w:eastAsia="Arial" w:hAnsi="Arial"/>
          <w:sz w:val="17"/>
          <w:szCs w:val="17"/>
          <w:color w:val="auto"/>
        </w:rPr>
        <w:t>Consumer spending habits are affected by, among other things, prevailing global economic conditions, inflation, including the costs of basic necessities and other goods,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 Slowdown in the U.S. economy, an uncertain global economic outlook (such as that caused by the COVID-19 pandemic) or a credit crisis could adversely affect consumer spending habits, resulting in lower net sales and profits than expected on a quarterly or annual basis. Consumer confidence is also affected by the domestic and international political situation and periods of social unrest. The outbreak or escalation of war, or the occurrence of terrorist acts or other hostilities in or affecting the U.S. could lead to a decrease in spending by consumers. In addition, natural disasters, industrial accidents, acts of war, and public health issues such as pandemics or epidemics could have the effect of disrupting supplies and raising prices globally (such as that caused by the COVID-19 pandemic) which, in turn, may have adverse effects on the world and U.S. economies and lead to a downturn in consumer confidence and spending.</w:t>
      </w:r>
    </w:p>
    <w:p>
      <w:pPr>
        <w:spacing w:after="0" w:line="167" w:lineRule="exact"/>
        <w:rPr>
          <w:sz w:val="20"/>
          <w:szCs w:val="20"/>
          <w:color w:val="auto"/>
        </w:rPr>
      </w:pPr>
    </w:p>
    <w:p>
      <w:pPr>
        <w:ind w:right="180" w:firstLine="618"/>
        <w:spacing w:after="0" w:line="279" w:lineRule="auto"/>
        <w:rPr>
          <w:sz w:val="20"/>
          <w:szCs w:val="20"/>
          <w:color w:val="auto"/>
        </w:rPr>
      </w:pPr>
      <w:r>
        <w:rPr>
          <w:rFonts w:ascii="Arial" w:cs="Arial" w:eastAsia="Arial" w:hAnsi="Arial"/>
          <w:sz w:val="16"/>
          <w:szCs w:val="16"/>
          <w:color w:val="auto"/>
        </w:rPr>
        <w:t>We have also experienced inflationary pressure in our supply chain and with respect to raw materials and finished goods. There can be no assurance that we will be able to offset inflationary pressure in the future, or that our business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the Company’s business, operations, liquidity, financial results and/or stock price, particularly if consumer spending levels are depressed for a prolonged period of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from other retailers that could adversely affect our business.</w:t>
      </w:r>
    </w:p>
    <w:p>
      <w:pPr>
        <w:spacing w:after="0" w:line="198" w:lineRule="exact"/>
        <w:rPr>
          <w:sz w:val="20"/>
          <w:szCs w:val="20"/>
          <w:color w:val="auto"/>
        </w:rPr>
      </w:pPr>
    </w:p>
    <w:p>
      <w:pPr>
        <w:ind w:right="80" w:firstLine="623"/>
        <w:spacing w:after="0"/>
        <w:rPr>
          <w:sz w:val="20"/>
          <w:szCs w:val="20"/>
          <w:color w:val="auto"/>
        </w:rPr>
      </w:pPr>
      <w:r>
        <w:rPr>
          <w:rFonts w:ascii="Arial" w:cs="Arial" w:eastAsia="Arial" w:hAnsi="Arial"/>
          <w:sz w:val="18"/>
          <w:szCs w:val="18"/>
          <w:color w:val="auto"/>
        </w:rPr>
        <w:t>The retail sector is highly competitive, and retailers are constantly adjusting their business models, promotional activities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retailers for customers, vendors, suitable store locations and personnel. In order to increase traffic and drive consumer spending, competitors, including department stores, mass merchants and specialty apparel stores, have been offering brand-name merchandise at substantial markdowns.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600"/>
        <w:spacing w:after="0" w:line="324" w:lineRule="auto"/>
        <w:rPr>
          <w:sz w:val="20"/>
          <w:szCs w:val="20"/>
          <w:color w:val="auto"/>
        </w:rPr>
      </w:pPr>
      <w:r>
        <w:rPr>
          <w:rFonts w:ascii="Arial" w:cs="Arial" w:eastAsia="Arial" w:hAnsi="Arial"/>
          <w:sz w:val="16"/>
          <w:szCs w:val="16"/>
          <w:color w:val="auto"/>
        </w:rPr>
        <w:t>Continuation of this trend, or the possible effect on consumer buying patterns that improving economic conditions could have, may cause consumer demand to shift from off-price retailers to other retailers, which could have a material adverse effect on our business and results of operations.</w:t>
      </w:r>
    </w:p>
    <w:p>
      <w:pPr>
        <w:spacing w:after="0" w:line="111" w:lineRule="exact"/>
        <w:rPr>
          <w:sz w:val="20"/>
          <w:szCs w:val="20"/>
          <w:color w:val="auto"/>
        </w:rPr>
      </w:pPr>
    </w:p>
    <w:p>
      <w:pPr>
        <w:ind w:right="40" w:firstLine="623"/>
        <w:spacing w:after="0" w:line="257" w:lineRule="auto"/>
        <w:rPr>
          <w:sz w:val="20"/>
          <w:szCs w:val="20"/>
          <w:color w:val="auto"/>
        </w:rPr>
      </w:pPr>
      <w:r>
        <w:rPr>
          <w:rFonts w:ascii="Arial" w:cs="Arial" w:eastAsia="Arial" w:hAnsi="Arial"/>
          <w:sz w:val="17"/>
          <w:szCs w:val="17"/>
          <w:color w:val="auto"/>
        </w:rPr>
        <w:t>Certain traditional, full-price retail chains have developed off-price concepts, which may directly compete with our business. Our competitors, including such retail chains,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obtaining the products we sell may become increasingly difficult, competition for customers may increase, and our competitive position and our business could suffer.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sales, operating income and inventory levels fluctuate on a seasonal basis.</w:t>
      </w:r>
    </w:p>
    <w:p>
      <w:pPr>
        <w:spacing w:after="0" w:line="198" w:lineRule="exact"/>
        <w:rPr>
          <w:sz w:val="20"/>
          <w:szCs w:val="20"/>
          <w:color w:val="auto"/>
        </w:rPr>
      </w:pPr>
    </w:p>
    <w:p>
      <w:pPr>
        <w:jc w:val="both"/>
        <w:ind w:firstLine="618"/>
        <w:spacing w:after="0" w:line="279" w:lineRule="auto"/>
        <w:rPr>
          <w:sz w:val="20"/>
          <w:szCs w:val="20"/>
          <w:color w:val="auto"/>
        </w:rPr>
      </w:pPr>
      <w:r>
        <w:rPr>
          <w:rFonts w:ascii="Arial" w:cs="Arial" w:eastAsia="Arial" w:hAnsi="Arial"/>
          <w:sz w:val="16"/>
          <w:szCs w:val="16"/>
          <w:color w:val="auto"/>
        </w:rPr>
        <w:t>Our net sales and operating income fluctuate seasonally, with a higher level of our operating income typically realized during the second half of the year.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spacing w:after="0" w:line="1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 reduction in traffic to, or the closing of, the other destination retailers in the shopping areas where our stores are located could significantly reduce our sales.</w:t>
      </w:r>
    </w:p>
    <w:p>
      <w:pPr>
        <w:spacing w:after="0" w:line="157" w:lineRule="exact"/>
        <w:rPr>
          <w:sz w:val="20"/>
          <w:szCs w:val="20"/>
          <w:color w:val="auto"/>
        </w:rPr>
      </w:pPr>
    </w:p>
    <w:p>
      <w:pPr>
        <w:ind w:right="20" w:firstLine="618"/>
        <w:spacing w:after="0" w:line="272" w:lineRule="auto"/>
        <w:rPr>
          <w:sz w:val="20"/>
          <w:szCs w:val="20"/>
          <w:color w:val="auto"/>
        </w:rPr>
      </w:pPr>
      <w:r>
        <w:rPr>
          <w:rFonts w:ascii="Arial" w:cs="Arial" w:eastAsia="Arial" w:hAnsi="Arial"/>
          <w:sz w:val="16"/>
          <w:szCs w:val="16"/>
          <w:color w:val="auto"/>
        </w:rPr>
        <w:t>Many of our stores are strategically located in off-mall shopping areas known as “power centers.” Power centers typically contain three to five big-box anchor stores along with a variety of smaller specialty tenants. Due to many of our stores being located in such shopping areas, our sales are derived, in part, from the volume of traffic generated by the other destination retailers and the anchor stores in power centers where our stores are located. Customer traffic to these shopping areas may be adversely affected by the closing of such destination retailers or anchor stores, or by a reduction in traffic to such stores resulting from a regional or global economic downturn, a general downturn in the local area where our store is located, or a decline in the desirability of the shopping environment of a particular power center. Such a reduction in customer traffic would reduce our sales and leave us with excess inventory, which could have a material adverse effect on our business, financial condition, profitability and cash flows. We may respond by increasing markdowns or transferring product to other stores to reduce excess inventory, which would further decrease our gross profits and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identify customer trends and preferences to meet customer demand could negatively impact our performance and reputation.</w:t>
      </w:r>
    </w:p>
    <w:p>
      <w:pPr>
        <w:spacing w:after="0" w:line="210" w:lineRule="exact"/>
        <w:rPr>
          <w:sz w:val="20"/>
          <w:szCs w:val="20"/>
          <w:color w:val="auto"/>
        </w:rPr>
      </w:pPr>
    </w:p>
    <w:p>
      <w:pPr>
        <w:jc w:val="both"/>
        <w:ind w:right="40" w:firstLine="618"/>
        <w:spacing w:after="0" w:line="257" w:lineRule="auto"/>
        <w:rPr>
          <w:sz w:val="20"/>
          <w:szCs w:val="20"/>
          <w:color w:val="auto"/>
        </w:rPr>
      </w:pPr>
      <w:r>
        <w:rPr>
          <w:rFonts w:ascii="Arial" w:cs="Arial" w:eastAsia="Arial" w:hAnsi="Arial"/>
          <w:sz w:val="17"/>
          <w:szCs w:val="17"/>
          <w:color w:val="auto"/>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 challenging. Although our flexible business model allows us to buy close to need and in response to consumer preferences and trends, and to expand and contract merchandise categories in response to consumers’ changing tastes, we may not do so successfully, which could adversely affect our sales and the markdowns required to move the resulting excess inventory will adversely affect our operating margins.</w:t>
      </w:r>
    </w:p>
    <w:p>
      <w:pPr>
        <w:spacing w:after="0" w:line="162" w:lineRule="exact"/>
        <w:rPr>
          <w:sz w:val="20"/>
          <w:szCs w:val="20"/>
          <w:color w:val="auto"/>
        </w:rPr>
      </w:pPr>
    </w:p>
    <w:p>
      <w:pPr>
        <w:ind w:right="160" w:firstLine="665"/>
        <w:spacing w:after="0" w:line="284" w:lineRule="auto"/>
        <w:rPr>
          <w:sz w:val="20"/>
          <w:szCs w:val="20"/>
          <w:color w:val="auto"/>
        </w:rPr>
      </w:pPr>
      <w:r>
        <w:rPr>
          <w:rFonts w:ascii="Arial" w:cs="Arial" w:eastAsia="Arial" w:hAnsi="Arial"/>
          <w:sz w:val="16"/>
          <w:szCs w:val="16"/>
          <w:color w:val="auto"/>
        </w:rPr>
        <w:t>Customers may also have expectations about how they shop in stores, or more generally engage with businesses across different channels or media (through internet-based and other digital or mobile channels or particular forms of social media), which may vary across demographics and may evolve rapidly. Customers are increasingly using technology and mobile devices to rapidly compare products and prices and to purchase products. Failure to effectively meet these changing expectations and demands may adversely impact our reputation and our financial results.</w:t>
      </w:r>
    </w:p>
    <w:p>
      <w:pPr>
        <w:spacing w:after="0" w:line="142" w:lineRule="exact"/>
        <w:rPr>
          <w:sz w:val="20"/>
          <w:szCs w:val="20"/>
          <w:color w:val="auto"/>
        </w:rPr>
      </w:pPr>
    </w:p>
    <w:p>
      <w:pPr>
        <w:ind w:right="120" w:firstLine="665"/>
        <w:spacing w:after="0" w:line="262" w:lineRule="auto"/>
        <w:rPr>
          <w:sz w:val="20"/>
          <w:szCs w:val="20"/>
          <w:color w:val="auto"/>
        </w:rPr>
      </w:pPr>
      <w:r>
        <w:rPr>
          <w:rFonts w:ascii="Arial" w:cs="Arial" w:eastAsia="Arial" w:hAnsi="Arial"/>
          <w:sz w:val="17"/>
          <w:szCs w:val="17"/>
          <w:color w:val="auto"/>
        </w:rPr>
        <w:t>Many stakeholders, including investors, customers, consumers and others, have increasingly focused on environmental sustainability and corporate social responsibility matters, including climate change, packaging and waste reduction, energy consumption, and diversity and inclusion. Our disclosure on these matters and our failure, or perceived failure, to meet our commitments and otherwise effectively address these matters, could harm our reputation, which could negatively impact our business, our relationship with our various stakeholders, and our results of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180"/>
        <w:spacing w:after="0" w:line="261" w:lineRule="auto"/>
        <w:rPr>
          <w:sz w:val="20"/>
          <w:szCs w:val="20"/>
          <w:color w:val="auto"/>
        </w:rPr>
      </w:pPr>
      <w:r>
        <w:rPr>
          <w:rFonts w:ascii="Arial" w:cs="Arial" w:eastAsia="Arial" w:hAnsi="Arial"/>
          <w:sz w:val="18"/>
          <w:szCs w:val="18"/>
          <w:b w:val="1"/>
          <w:bCs w:val="1"/>
          <w:i w:val="1"/>
          <w:iCs w:val="1"/>
          <w:color w:val="auto"/>
        </w:rPr>
        <w:t>Extreme and/or unseasonable weather conditions caused by climate change or otherwise, or natural disasters, could have a significant adverse effect on our business.</w:t>
      </w:r>
    </w:p>
    <w:p>
      <w:pPr>
        <w:spacing w:after="0" w:line="157" w:lineRule="exact"/>
        <w:rPr>
          <w:sz w:val="20"/>
          <w:szCs w:val="20"/>
          <w:color w:val="auto"/>
        </w:rPr>
      </w:pPr>
    </w:p>
    <w:p>
      <w:pPr>
        <w:ind w:right="20" w:firstLine="618"/>
        <w:spacing w:after="0" w:line="253" w:lineRule="auto"/>
        <w:rPr>
          <w:sz w:val="20"/>
          <w:szCs w:val="20"/>
          <w:color w:val="auto"/>
        </w:rPr>
      </w:pPr>
      <w:r>
        <w:rPr>
          <w:rFonts w:ascii="Arial" w:cs="Arial" w:eastAsia="Arial" w:hAnsi="Arial"/>
          <w:sz w:val="17"/>
          <w:szCs w:val="17"/>
          <w:color w:val="auto"/>
        </w:rPr>
        <w:t>Our business is susceptible to risks associated with climate change, which may cause more frequent and extreme weather events. Extreme weather conditions in the areas in which our stores or distribution centers are located - especially in areas with a high concentration of our stores - could have a material adverse effect on our business, financial condition and results of operations. For example, heavy snowfall or other extreme weather conditions over a prolonged period caused by climate change or otherwise might make it difficult for our customers or employees to travel to our stores. In addition, natural disasters such as hurricanes, tornados, floods, earthquakes, and other extreme weather or climate conditions, or a combination of these or other factors, could severely damage or destroy one or more of our stores or distribution facilities located in the affected areas, or disrupt our computer systems, thereby disrupting our business operations. Any of these events or circumstances also could disrupt the operations of one or more of our vendors. Day-to-day operations, particularly our ability to receive products from our vendors or transport products to our stores, could be adversely affected, or we could be required to close stores.</w:t>
      </w:r>
    </w:p>
    <w:p>
      <w:pPr>
        <w:spacing w:after="0" w:line="170" w:lineRule="exact"/>
        <w:rPr>
          <w:sz w:val="20"/>
          <w:szCs w:val="20"/>
          <w:color w:val="auto"/>
        </w:rPr>
      </w:pPr>
    </w:p>
    <w:p>
      <w:pPr>
        <w:ind w:right="80" w:firstLine="665"/>
        <w:spacing w:after="0"/>
        <w:rPr>
          <w:sz w:val="20"/>
          <w:szCs w:val="20"/>
          <w:color w:val="auto"/>
        </w:rPr>
      </w:pPr>
      <w:r>
        <w:rPr>
          <w:rFonts w:ascii="Arial" w:cs="Arial" w:eastAsia="Arial" w:hAnsi="Arial"/>
          <w:sz w:val="18"/>
          <w:szCs w:val="18"/>
          <w:color w:val="auto"/>
        </w:rPr>
        <w:t>Our business is also susceptible to unseasonable weather conditions. For example, extended periods of unseasonably warm temperatures during the Fall or Winter seasons or cool weather during the Spring or Summer seasons could render a portion of our inventory incompatible with those unseasonable conditions, particularly in light of our historical product mix. These prolonged unseasonable weather conditions could adversely affect our business, financial condition and results of operations. In addition, because higher net sales historically have occurred during the second half of the year, unseasonably warm weather during these months could have a disproportionately large effect on our business and materially adversely affect our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growth plans or successfully implement our long-range strategic goals.</w:t>
      </w:r>
    </w:p>
    <w:p>
      <w:pPr>
        <w:spacing w:after="0" w:line="198" w:lineRule="exact"/>
        <w:rPr>
          <w:sz w:val="20"/>
          <w:szCs w:val="20"/>
          <w:color w:val="auto"/>
        </w:rPr>
      </w:pPr>
    </w:p>
    <w:p>
      <w:pPr>
        <w:ind w:firstLine="618"/>
        <w:spacing w:after="0" w:line="257" w:lineRule="auto"/>
        <w:rPr>
          <w:sz w:val="20"/>
          <w:szCs w:val="20"/>
          <w:color w:val="auto"/>
        </w:rPr>
      </w:pPr>
      <w:r>
        <w:rPr>
          <w:rFonts w:ascii="Arial" w:cs="Arial" w:eastAsia="Arial" w:hAnsi="Arial"/>
          <w:sz w:val="17"/>
          <w:szCs w:val="17"/>
          <w:color w:val="auto"/>
        </w:rPr>
        <w:t>Our growth largely depends on our ability to successfully open and operate new stores, as well as to expand our distribution capabilities in order to support that growth. While have identified numerous market opportunities that we believe will allow us to operate 2,000 stores over the long term, the success of these strategies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availability of financing, the hiring, training and retention of competent sales personnel, and the effective management of inventory to meet the needs of new and existing stores on a timely basis.</w:t>
      </w:r>
    </w:p>
    <w:p>
      <w:pPr>
        <w:spacing w:after="0" w:line="162" w:lineRule="exact"/>
        <w:rPr>
          <w:sz w:val="20"/>
          <w:szCs w:val="20"/>
          <w:color w:val="auto"/>
        </w:rPr>
      </w:pPr>
    </w:p>
    <w:p>
      <w:pPr>
        <w:ind w:right="120" w:firstLine="594"/>
        <w:spacing w:after="0" w:line="279" w:lineRule="auto"/>
        <w:rPr>
          <w:sz w:val="20"/>
          <w:szCs w:val="20"/>
          <w:color w:val="auto"/>
        </w:rPr>
      </w:pPr>
      <w:r>
        <w:rPr>
          <w:rFonts w:ascii="Arial" w:cs="Arial" w:eastAsia="Arial" w:hAnsi="Arial"/>
          <w:sz w:val="16"/>
          <w:szCs w:val="16"/>
          <w:color w:val="auto"/>
        </w:rPr>
        <w:t>Notably, as we continue to evolve our off-price model, we plan on more effectively chasing the sales trend, making greater investments in our merchandising capabilities, operating with leaner inventories, improving operational flexibility, and challenging expenses, among other things. Executing these initiatives while also maintaining the current pace of our expansion may place increased demands on our operational, managerial and administrative resources. These initiatives may require us to increase the number of merchants and other associates we employ, modify how we manage our liquidity and inventory, as well as to monitor and upgrade our management information and other systems and our distribution infrastructure.</w:t>
      </w:r>
    </w:p>
    <w:p>
      <w:pPr>
        <w:spacing w:after="0" w:line="146" w:lineRule="exact"/>
        <w:rPr>
          <w:sz w:val="20"/>
          <w:szCs w:val="20"/>
          <w:color w:val="auto"/>
        </w:rPr>
      </w:pPr>
    </w:p>
    <w:p>
      <w:pPr>
        <w:jc w:val="both"/>
        <w:ind w:right="20" w:firstLine="594"/>
        <w:spacing w:after="0" w:line="248" w:lineRule="auto"/>
        <w:rPr>
          <w:sz w:val="20"/>
          <w:szCs w:val="20"/>
          <w:color w:val="auto"/>
        </w:rPr>
      </w:pPr>
      <w:r>
        <w:rPr>
          <w:rFonts w:ascii="Arial" w:cs="Arial" w:eastAsia="Arial" w:hAnsi="Arial"/>
          <w:sz w:val="18"/>
          <w:szCs w:val="18"/>
          <w:color w:val="auto"/>
        </w:rPr>
        <w:t>We may not be able to successfully execute our growth and other strategies on a timely basis or at all. If we fail to implement these strategies successfully, if we cannot keep up with the pace required for execution, or if these strategies do not yield the desired outcomes, our financial condition and results of operations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execute our opportunistic buying and inventory management process could adversely affect our business.</w:t>
      </w:r>
    </w:p>
    <w:p>
      <w:pPr>
        <w:spacing w:after="0" w:line="198" w:lineRule="exact"/>
        <w:rPr>
          <w:sz w:val="20"/>
          <w:szCs w:val="20"/>
          <w:color w:val="auto"/>
        </w:rPr>
      </w:pPr>
    </w:p>
    <w:p>
      <w:pPr>
        <w:ind w:right="60" w:firstLine="618"/>
        <w:spacing w:after="0" w:line="270" w:lineRule="auto"/>
        <w:rPr>
          <w:sz w:val="20"/>
          <w:szCs w:val="20"/>
          <w:color w:val="auto"/>
        </w:rPr>
      </w:pPr>
      <w:r>
        <w:rPr>
          <w:rFonts w:ascii="Arial" w:cs="Arial" w:eastAsia="Arial" w:hAnsi="Arial"/>
          <w:sz w:val="16"/>
          <w:szCs w:val="16"/>
          <w:color w:val="auto"/>
        </w:rPr>
        <w:t>We purchase the majority of our inventory opportunistically, with our buyers purchasing close to need. Establishing the “treasure hunt” nature of the off-price buying experience to drive traffic to our stores requires us to offer changing assortments of merchandise in our stores. While opportunistic purchasing provides our buyers the ability to buy at desirable times and prices, in the quantities we need and into market trends, it places considerable discretion with our buyers, which subjects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3" w:name="page14"/>
    <w:bookmarkEnd w:id="13"/>
    <w:p>
      <w:pPr>
        <w:ind w:right="240" w:firstLine="665"/>
        <w:spacing w:after="0" w:line="257"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execute inventory localization initiatives, there could be disruptions in inventory flow and placement. Failure to effectively execute our opportunistic inventory buying and inventory management strategies could adversely affect our performance and our reputation.</w:t>
      </w:r>
    </w:p>
    <w:p>
      <w:pPr>
        <w:spacing w:after="0" w:line="162" w:lineRule="exact"/>
        <w:rPr>
          <w:sz w:val="20"/>
          <w:szCs w:val="20"/>
          <w:color w:val="auto"/>
        </w:rPr>
      </w:pPr>
    </w:p>
    <w:p>
      <w:pPr>
        <w:jc w:val="both"/>
        <w:ind w:right="40" w:firstLine="665"/>
        <w:spacing w:after="0" w:line="241" w:lineRule="auto"/>
        <w:rPr>
          <w:sz w:val="20"/>
          <w:szCs w:val="20"/>
          <w:color w:val="auto"/>
        </w:rPr>
      </w:pPr>
      <w:r>
        <w:rPr>
          <w:rFonts w:ascii="Arial" w:cs="Arial" w:eastAsia="Arial" w:hAnsi="Arial"/>
          <w:sz w:val="18"/>
          <w:szCs w:val="18"/>
          <w:color w:val="auto"/>
        </w:rPr>
        <w:t>In addition to our own execution, we may need to react to factors affecting inventory flow that are outside our control, such as adverse weather, natural disasters, epidemics or pandemics (including COVID-19) or other changes in conditions affecting our vendors and others in our supply chain, such as political instability, labor issues (including strikes or threats of strikes and scarcity of labor) and increased labor costs, reduced freight capacity and other transportation issues, or increasing cost of regulations. If we are not able to adjust appropriately to such factors, our inventory management may be affected, which could impact our performance and our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optimize our existing stores or maintain favorable lease terms, our growth strategy and profitability could be negatively impacted.</w:t>
      </w:r>
    </w:p>
    <w:p>
      <w:pPr>
        <w:spacing w:after="0" w:line="221" w:lineRule="exact"/>
        <w:rPr>
          <w:sz w:val="20"/>
          <w:szCs w:val="20"/>
          <w:color w:val="auto"/>
        </w:rPr>
      </w:pPr>
    </w:p>
    <w:p>
      <w:pPr>
        <w:ind w:firstLine="618"/>
        <w:spacing w:after="0" w:line="269" w:lineRule="auto"/>
        <w:rPr>
          <w:sz w:val="20"/>
          <w:szCs w:val="20"/>
          <w:color w:val="auto"/>
        </w:rPr>
      </w:pPr>
      <w:r>
        <w:rPr>
          <w:rFonts w:ascii="Arial" w:cs="Arial" w:eastAsia="Arial" w:hAnsi="Arial"/>
          <w:sz w:val="16"/>
          <w:szCs w:val="16"/>
          <w:color w:val="auto"/>
        </w:rPr>
        <w:t>We lease substantially all of our store locations. Most of our current leases expire at various dates after ten-year terms, the majority of which are subject to our option to renew such leases for several additional five-year periods. While we have the right to terminate some of our leases under specified conditions, including by making specified payments, we may not be able to terminate a particular lease if or when we would like to close a particular store. If we decide to close stores, we are generally required to continue to perform obligations under the applicable leases, which generally include, among other things, paying rent and operating expenses for the balance of the lease term, or paying to exercise rights to terminate, and performing any of these obligations may be expensive. When we assign leases or sublease space to third parties, we may remain liable on the lease obligations, which could lead to significant expense if the assignee or sublessee does not perform. In addition, when the lease terms for the stores in our ongoing operations expire, our ability to renew such expiring leases on commercially acceptable terms or, if such leases cannot be renewed, our ability to lease a suitable alternative location, and our ability to enter into leases for new stores on favorable terms will each depend on many factors, some of which may not be within our control, such as conditions in the local real estate market, competition for desirable properties and our relationships with current and prospective lessors. As we renew and replace our store leases, we also strive to optimize the size of our existing stores to ensure maximum space utilization, which frequently means adjusting operations to accommodate smaller space through alternative floor plans and inventory turn optimization.</w:t>
      </w:r>
    </w:p>
    <w:p>
      <w:pPr>
        <w:spacing w:after="0" w:line="158" w:lineRule="exact"/>
        <w:rPr>
          <w:sz w:val="20"/>
          <w:szCs w:val="20"/>
          <w:color w:val="auto"/>
        </w:rPr>
      </w:pPr>
    </w:p>
    <w:p>
      <w:pPr>
        <w:jc w:val="both"/>
        <w:ind w:right="200" w:firstLine="618"/>
        <w:spacing w:after="0" w:line="248" w:lineRule="auto"/>
        <w:rPr>
          <w:sz w:val="20"/>
          <w:szCs w:val="20"/>
          <w:color w:val="auto"/>
        </w:rPr>
      </w:pPr>
      <w:r>
        <w:rPr>
          <w:rFonts w:ascii="Arial" w:cs="Arial" w:eastAsia="Arial" w:hAnsi="Arial"/>
          <w:sz w:val="18"/>
          <w:szCs w:val="18"/>
          <w:color w:val="auto"/>
        </w:rPr>
        <w:t>In addition, to the extent that our new store openings are in existing markets, we may experience reduced net sales volumes in existing stores in those markets. If we experience a decline in performance or lease payment allowances from our lessors become unavailable, we may slow or discontinue store openings, relocations, refreshes and/or remodels.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any of the foregoing occurs, our growth and profitability may be negatively impacted.</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are unable to purchase attractive brand name merchandise in sufficient quantities at competitive prices, we may be unable to offer an appealing merchandise mix and our sales may be harmed.</w:t>
      </w:r>
    </w:p>
    <w:p>
      <w:pPr>
        <w:spacing w:after="0" w:line="157" w:lineRule="exact"/>
        <w:rPr>
          <w:sz w:val="20"/>
          <w:szCs w:val="20"/>
          <w:color w:val="auto"/>
        </w:rPr>
      </w:pPr>
    </w:p>
    <w:p>
      <w:pPr>
        <w:ind w:right="20" w:firstLine="618"/>
        <w:spacing w:after="0" w:line="274" w:lineRule="auto"/>
        <w:rPr>
          <w:sz w:val="20"/>
          <w:szCs w:val="20"/>
          <w:color w:val="auto"/>
        </w:rPr>
      </w:pPr>
      <w:r>
        <w:rPr>
          <w:rFonts w:ascii="Arial" w:cs="Arial" w:eastAsia="Arial" w:hAnsi="Arial"/>
          <w:sz w:val="16"/>
          <w:szCs w:val="16"/>
          <w:color w:val="auto"/>
        </w:rPr>
        <w:t>Our ability to purchase merchandise opportunistically from third party vendors depends upon the continuous, sufficient availability of high quality merchandise that we can acquire at prices sufficiently below those paid by conventional retailers in order to achieve the value proposition we strive to provide to our customers. Some of our key vendors may limit the number of retail channels they use to sell their merchandise, which may result in intense competition among retailers to obtain and sell these goods.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Finally, if our vendors are better able to manage their inventory levels and reduce the amount of their excess inventory, the amount of high quality merchandise available to us could be materially reduced.</w:t>
      </w:r>
    </w:p>
    <w:p>
      <w:pPr>
        <w:spacing w:after="0" w:line="150" w:lineRule="exact"/>
        <w:rPr>
          <w:sz w:val="20"/>
          <w:szCs w:val="20"/>
          <w:color w:val="auto"/>
        </w:rPr>
      </w:pPr>
    </w:p>
    <w:p>
      <w:pPr>
        <w:ind w:right="100" w:firstLine="618"/>
        <w:spacing w:after="0" w:line="243" w:lineRule="auto"/>
        <w:rPr>
          <w:sz w:val="20"/>
          <w:szCs w:val="20"/>
          <w:color w:val="auto"/>
        </w:rPr>
      </w:pPr>
      <w:r>
        <w:rPr>
          <w:rFonts w:ascii="Arial" w:cs="Arial" w:eastAsia="Arial" w:hAnsi="Arial"/>
          <w:sz w:val="18"/>
          <w:szCs w:val="18"/>
          <w:color w:val="auto"/>
        </w:rPr>
        <w:t>If our relationships with our vendors are disrupted, we may not be able to acquire the merchandise we require in sufficient quantities or on terms acceptable to us. Any inability to acquire high quality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4" w:name="page15"/>
    <w:bookmarkEnd w:id="14"/>
    <w:p>
      <w:pPr>
        <w:ind w:right="680"/>
        <w:spacing w:after="0" w:line="261" w:lineRule="auto"/>
        <w:rPr>
          <w:sz w:val="20"/>
          <w:szCs w:val="20"/>
          <w:color w:val="auto"/>
        </w:rPr>
      </w:pPr>
      <w:r>
        <w:rPr>
          <w:rFonts w:ascii="Arial" w:cs="Arial" w:eastAsia="Arial" w:hAnsi="Arial"/>
          <w:sz w:val="18"/>
          <w:szCs w:val="18"/>
          <w:color w:val="auto"/>
        </w:rPr>
        <w:t>ability to obtain desired merchandise in sufficient quantities. Such events include difficulties or problems associated with our vendors’ businesses, finances, labor, importation of products, costs, production, insurance and reputation.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attract, train and retain quality employees and temporary personnel in appropriate numbers could adversely affect our business.</w:t>
      </w:r>
    </w:p>
    <w:p>
      <w:pPr>
        <w:spacing w:after="0" w:line="221" w:lineRule="exact"/>
        <w:rPr>
          <w:sz w:val="20"/>
          <w:szCs w:val="20"/>
          <w:color w:val="auto"/>
        </w:rPr>
      </w:pPr>
    </w:p>
    <w:p>
      <w:pPr>
        <w:ind w:right="160" w:firstLine="618"/>
        <w:spacing w:after="0" w:line="257" w:lineRule="auto"/>
        <w:rPr>
          <w:sz w:val="20"/>
          <w:szCs w:val="20"/>
          <w:color w:val="auto"/>
        </w:rPr>
      </w:pPr>
      <w:r>
        <w:rPr>
          <w:rFonts w:ascii="Arial" w:cs="Arial" w:eastAsia="Arial" w:hAnsi="Arial"/>
          <w:sz w:val="17"/>
          <w:szCs w:val="17"/>
          <w:color w:val="auto"/>
        </w:rPr>
        <w:t>Our performance depends on recruiting, developing, training and retaining quality sales, systems, distribution center and other employees in large numbers as well as experienced buying and management personnel, and we invest significant resources in training and motivating them to maintain a high level of job satisfaction. Many of our store and distribution center employees are in entry level or part-time positions with historically high rates of turnover, which can lead to increased training and retention costs, particularly if employment opportunities increase including in light of the ongoing “great resignation” occurring throughout the U.S. economy. Availability and skill of employees may differ across markets in which we do business and in new markets we enter, and we need to manage our labor needs effectively.</w:t>
      </w:r>
    </w:p>
    <w:p>
      <w:pPr>
        <w:spacing w:after="0" w:line="162" w:lineRule="exact"/>
        <w:rPr>
          <w:sz w:val="20"/>
          <w:szCs w:val="20"/>
          <w:color w:val="auto"/>
        </w:rPr>
      </w:pPr>
    </w:p>
    <w:p>
      <w:pPr>
        <w:ind w:right="320" w:firstLine="618"/>
        <w:spacing w:after="0" w:line="241" w:lineRule="auto"/>
        <w:rPr>
          <w:sz w:val="20"/>
          <w:szCs w:val="20"/>
          <w:color w:val="auto"/>
        </w:rPr>
      </w:pPr>
      <w:r>
        <w:rPr>
          <w:rFonts w:ascii="Arial" w:cs="Arial" w:eastAsia="Arial" w:hAnsi="Arial"/>
          <w:sz w:val="18"/>
          <w:szCs w:val="18"/>
          <w:color w:val="auto"/>
        </w:rPr>
        <w:t>In addition, because of the distinctive nature of our off-price model, we must provide significant internal training and development for key employees across the company, including within our buying organization. Similar to other retailers, we face challenges in securing and retaining sufficient talent in management and other key areas for many reasons, including competition in the retail industry generally and for talent in various geographic markets. If we do not continue to attract qualified individuals, train them in our business model, support their development and retain them, our performance could be adversely affected or our growth could be limited.</w:t>
      </w:r>
    </w:p>
    <w:p>
      <w:pPr>
        <w:spacing w:after="0" w:line="176" w:lineRule="exact"/>
        <w:rPr>
          <w:sz w:val="20"/>
          <w:szCs w:val="20"/>
          <w:color w:val="auto"/>
        </w:rPr>
      </w:pPr>
    </w:p>
    <w:p>
      <w:pPr>
        <w:ind w:firstLine="618"/>
        <w:spacing w:after="0" w:line="272" w:lineRule="auto"/>
        <w:rPr>
          <w:sz w:val="20"/>
          <w:szCs w:val="20"/>
          <w:color w:val="auto"/>
        </w:rPr>
      </w:pPr>
      <w:r>
        <w:rPr>
          <w:rFonts w:ascii="Arial" w:cs="Arial" w:eastAsia="Arial" w:hAnsi="Arial"/>
          <w:sz w:val="16"/>
          <w:szCs w:val="16"/>
          <w:color w:val="auto"/>
        </w:rPr>
        <w:t>We are also dependent upon temporary personnel to adequately staff our stores and distribution facilities, with heightened dependence during busy periods such as the holiday season and when multiple new stores are opening. Although we strive to secure long-term contracts on favorable terms with our service providers and other vendors, we may not be able to avoid unexpected operating cost increases in the future, such as those associated with minimum wage increases or enhanced health care requirements. In addition, there can be no assurance that we will receive adequate assistance from our temporary personnel, or that there will be sufficient sources of suitable temporary personnel to meet our demand. Any such failure to meet our staffing needs or any material increases in associate turnover rates could have a material adverse effect on our business or results of operations. Further, any negative publicity regarding the agencies from which we source temporary personnel, such as in connection with immigration issues or employment practices, could damage our reputation, disrupt our ability to obtain needed labor or result in financial harm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costs, including healthcare costs, and other challenges from our large workforce may adversely affect our results and profitability.</w:t>
      </w:r>
    </w:p>
    <w:p>
      <w:pPr>
        <w:spacing w:after="0" w:line="210" w:lineRule="exact"/>
        <w:rPr>
          <w:sz w:val="20"/>
          <w:szCs w:val="20"/>
          <w:color w:val="auto"/>
        </w:rPr>
      </w:pPr>
    </w:p>
    <w:p>
      <w:pPr>
        <w:ind w:right="80" w:firstLine="618"/>
        <w:spacing w:after="0" w:line="274" w:lineRule="auto"/>
        <w:rPr>
          <w:sz w:val="20"/>
          <w:szCs w:val="20"/>
          <w:color w:val="auto"/>
        </w:rPr>
      </w:pPr>
      <w:r>
        <w:rPr>
          <w:rFonts w:ascii="Arial" w:cs="Arial" w:eastAsia="Arial" w:hAnsi="Arial"/>
          <w:sz w:val="16"/>
          <w:szCs w:val="16"/>
          <w:color w:val="auto"/>
        </w:rPr>
        <w:t>We have a large workforce, and our ability to meet our labor needs while controlling costs, including costs of providing health, retirement and other associate benefits, is subject to various factors such as unemployment levels; prevailing wage rates and minimum wage requirements; participant benefit levels; economic conditions; interest rate changes; health and other insurance costs; and the regulatory environment, including health care legislation, and with respect to governmental labor and employment and associate benefits programs and requirements. When wage rates or benefit levels increase in the market or the unemployment rate is otherwise low, increasing our wages or benefits to compete for employees may cause our earnings to decrease, while failing to increase our wages or benefits competitively or reducing our wages or benefits could result in a decline in our ability to attract or retain employees or in the quality of our workforce, causing our customer service or performance to suffer, which could negatively impact our results.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Parties with whom we do business may be subject to insolvency risks or may otherwise become unable or unwilling to perform their obligations to us.</w:t>
      </w:r>
    </w:p>
    <w:p>
      <w:pPr>
        <w:spacing w:after="0" w:line="233" w:lineRule="exact"/>
        <w:rPr>
          <w:sz w:val="20"/>
          <w:szCs w:val="20"/>
          <w:color w:val="auto"/>
        </w:rPr>
      </w:pPr>
    </w:p>
    <w:p>
      <w:pPr>
        <w:ind w:right="80" w:firstLine="618"/>
        <w:spacing w:after="0" w:line="257" w:lineRule="auto"/>
        <w:rPr>
          <w:sz w:val="20"/>
          <w:szCs w:val="20"/>
          <w:color w:val="auto"/>
        </w:rPr>
      </w:pPr>
      <w:r>
        <w:rPr>
          <w:rFonts w:ascii="Arial" w:cs="Arial" w:eastAsia="Arial" w:hAnsi="Arial"/>
          <w:sz w:val="17"/>
          <w:szCs w:val="17"/>
          <w:color w:val="auto"/>
        </w:rPr>
        <w:t>We are party to contracts, transactions and business relationships with various third parties, including vendors, suppliers, service providers and lenders, pursuant to which such third parties have performance, payment and other obligations to us. In some cases, we depend upon such third parties to provide essential leaseholds, products, services or other benefits, including with respect to store and distribution center locations, merchandise, advertising, software development and support, logistics, other agreements for goods and services in order to operate our business in the ordinary course, extensions of credit, hedging instruments and other vital matters. Economic, industry and market conditions could result in increased risks to us associated with the potential financial distress of such third parties.</w:t>
      </w:r>
    </w:p>
    <w:p>
      <w:pPr>
        <w:spacing w:after="0" w:line="162" w:lineRule="exact"/>
        <w:rPr>
          <w:sz w:val="20"/>
          <w:szCs w:val="20"/>
          <w:color w:val="auto"/>
        </w:rPr>
      </w:pPr>
    </w:p>
    <w:p>
      <w:pPr>
        <w:ind w:right="60" w:firstLine="618"/>
        <w:spacing w:after="0" w:line="243" w:lineRule="auto"/>
        <w:rPr>
          <w:sz w:val="20"/>
          <w:szCs w:val="20"/>
          <w:color w:val="auto"/>
        </w:rPr>
      </w:pPr>
      <w:r>
        <w:rPr>
          <w:rFonts w:ascii="Arial" w:cs="Arial" w:eastAsia="Arial" w:hAnsi="Arial"/>
          <w:sz w:val="18"/>
          <w:szCs w:val="18"/>
          <w:color w:val="auto"/>
        </w:rPr>
        <w:t>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5" w:name="page16"/>
    <w:bookmarkEnd w:id="15"/>
    <w:p>
      <w:pPr>
        <w:ind w:right="220"/>
        <w:spacing w:after="0" w:line="261" w:lineRule="auto"/>
        <w:rPr>
          <w:sz w:val="20"/>
          <w:szCs w:val="20"/>
          <w:color w:val="auto"/>
        </w:rPr>
      </w:pPr>
      <w:r>
        <w:rPr>
          <w:rFonts w:ascii="Arial" w:cs="Arial" w:eastAsia="Arial" w:hAnsi="Arial"/>
          <w:sz w:val="18"/>
          <w:szCs w:val="18"/>
          <w:color w:val="auto"/>
        </w:rPr>
        <w:t>transactions or business relationships, if at all. Any inability on our part to do so could negatively affect our cash flows, financial condition and results of operations.</w:t>
      </w:r>
    </w:p>
    <w:p>
      <w:pPr>
        <w:spacing w:after="0" w:line="15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Many of our vendors produce merchandise overseas, and our business is exposed to the risk of foreign and domestic operations and international tax policies and trade relations.</w:t>
      </w:r>
    </w:p>
    <w:p>
      <w:pPr>
        <w:spacing w:after="0" w:line="157" w:lineRule="exact"/>
        <w:rPr>
          <w:sz w:val="20"/>
          <w:szCs w:val="20"/>
          <w:color w:val="auto"/>
        </w:rPr>
      </w:pPr>
    </w:p>
    <w:p>
      <w:pPr>
        <w:ind w:right="20" w:firstLine="618"/>
        <w:spacing w:after="0" w:line="243" w:lineRule="auto"/>
        <w:rPr>
          <w:sz w:val="20"/>
          <w:szCs w:val="20"/>
          <w:color w:val="auto"/>
        </w:rPr>
      </w:pPr>
      <w:r>
        <w:rPr>
          <w:rFonts w:ascii="Arial" w:cs="Arial" w:eastAsia="Arial" w:hAnsi="Arial"/>
          <w:sz w:val="18"/>
          <w:szCs w:val="18"/>
          <w:color w:val="auto"/>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Such factors include:</w:t>
      </w:r>
    </w:p>
    <w:p>
      <w:pPr>
        <w:spacing w:after="0" w:line="306" w:lineRule="exact"/>
        <w:rPr>
          <w:sz w:val="20"/>
          <w:szCs w:val="20"/>
          <w:color w:val="auto"/>
        </w:rPr>
      </w:pPr>
    </w:p>
    <w:p>
      <w:pPr>
        <w:jc w:val="both"/>
        <w:ind w:left="1020" w:right="20" w:hanging="503"/>
        <w:spacing w:after="0" w:line="32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or labor instability in countries where vendors are located or at foreign ports which could result in lengthy shipment delays, which, if timed ahead of the Fall and Winter peak selling periods, could materially and adversely affect our ability to stock inventory on a timely basis;</w:t>
      </w:r>
    </w:p>
    <w:p>
      <w:pPr>
        <w:spacing w:after="0" w:line="218" w:lineRule="exact"/>
        <w:rPr>
          <w:rFonts w:ascii="Arial" w:cs="Arial" w:eastAsia="Arial" w:hAnsi="Arial"/>
          <w:sz w:val="16"/>
          <w:szCs w:val="16"/>
          <w:color w:val="auto"/>
        </w:rPr>
      </w:pPr>
    </w:p>
    <w:p>
      <w:pPr>
        <w:jc w:val="both"/>
        <w:ind w:left="1020" w:hanging="503"/>
        <w:spacing w:after="0" w:line="262"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w:t>
      </w:r>
    </w:p>
    <w:p>
      <w:pPr>
        <w:spacing w:after="0" w:line="266"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political or military conflict, which could cause a delay in the transportation of our products to us and an increase in transportation costs;</w:t>
      </w:r>
    </w:p>
    <w:p>
      <w:pPr>
        <w:spacing w:after="0" w:line="317"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265"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disease epidemics, pandemics (including COVID-19), outbreaks and other health-related concerns, which could result in closed factories, reduced workforces, scarcity of raw materials and scrutiny or embargoing of goods produced in affected areas;</w:t>
      </w:r>
    </w:p>
    <w:p>
      <w:pPr>
        <w:spacing w:after="0" w:line="26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and industrial accidents, which could have the effect of curtailing production and disrupting supplies;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labor and production costs in goods-producing countries, which would result in an increase in our inventory costs;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migration and development of manufacturers, which can affect where our products are or will be produced;</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 in our vendors’ local currency against the dollar, which may increase our cost of goods sold; and</w:t>
      </w:r>
    </w:p>
    <w:p>
      <w:pPr>
        <w:spacing w:after="0" w:line="306"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import duties, taxes, charges, quotas, loss of “most favored nation” trading status with the United States for a particular foreign country and trade restrictions (including the United States imposing antidumping or countervailing duty orders, safeguards, remedies or compensation and retaliation due to illegal foreign trade practices).</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of the foregoing factors, or a combination thereof, could have a material adverse effect on our business.</w:t>
      </w:r>
    </w:p>
    <w:p>
      <w:pPr>
        <w:spacing w:after="0" w:line="198" w:lineRule="exact"/>
        <w:rPr>
          <w:sz w:val="20"/>
          <w:szCs w:val="20"/>
          <w:color w:val="auto"/>
        </w:rPr>
      </w:pPr>
    </w:p>
    <w:p>
      <w:pPr>
        <w:ind w:right="160" w:firstLine="618"/>
        <w:spacing w:after="0" w:line="248" w:lineRule="auto"/>
        <w:rPr>
          <w:sz w:val="20"/>
          <w:szCs w:val="20"/>
          <w:color w:val="auto"/>
        </w:rPr>
      </w:pPr>
      <w:r>
        <w:rPr>
          <w:rFonts w:ascii="Arial" w:cs="Arial" w:eastAsia="Arial" w:hAnsi="Arial"/>
          <w:sz w:val="18"/>
          <w:szCs w:val="18"/>
          <w:color w:val="auto"/>
        </w:rPr>
        <w:t>Over the past few years,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As a result, we continue to evaluate the impact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right="300"/>
        <w:spacing w:after="0" w:line="261" w:lineRule="auto"/>
        <w:rPr>
          <w:sz w:val="20"/>
          <w:szCs w:val="20"/>
          <w:color w:val="auto"/>
        </w:rPr>
      </w:pPr>
      <w:r>
        <w:rPr>
          <w:rFonts w:ascii="Arial" w:cs="Arial" w:eastAsia="Arial" w:hAnsi="Arial"/>
          <w:sz w:val="18"/>
          <w:szCs w:val="18"/>
          <w:color w:val="auto"/>
        </w:rPr>
        <w:t>currently effective tariffs, as well as any additional proposed tariffs, on our supply chain, costs, sales and profitability. We can provide no assurance that any strategies we implement to mitigate the impact of such tariffs or other trade actions will be successful.</w:t>
      </w:r>
    </w:p>
    <w:p>
      <w:pPr>
        <w:spacing w:after="0" w:line="157" w:lineRule="exact"/>
        <w:rPr>
          <w:sz w:val="20"/>
          <w:szCs w:val="20"/>
          <w:color w:val="auto"/>
        </w:rPr>
      </w:pPr>
    </w:p>
    <w:p>
      <w:pPr>
        <w:ind w:right="140" w:firstLine="618"/>
        <w:spacing w:after="0" w:line="294" w:lineRule="auto"/>
        <w:rPr>
          <w:sz w:val="20"/>
          <w:szCs w:val="20"/>
          <w:color w:val="auto"/>
        </w:rPr>
      </w:pPr>
      <w:r>
        <w:rPr>
          <w:rFonts w:ascii="Arial" w:cs="Arial" w:eastAsia="Arial" w:hAnsi="Arial"/>
          <w:sz w:val="16"/>
          <w:szCs w:val="16"/>
          <w:color w:val="auto"/>
        </w:rPr>
        <w:t>In addition, other major developments in tax policy or trade relations, such as the disallowance of tax deductions for imported merchandise or the imposition of additional unilateral tariffs on imported products, could increase the cost of products purchased from suppliers in such countries or restrict the importation of products from such countries, which in turn could have a material adverse effect on our business, results of operations and liquidity.</w:t>
      </w:r>
    </w:p>
    <w:p>
      <w:pPr>
        <w:spacing w:after="0" w:line="13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Any disruption to our distribution network could cause disruptions in our business, a loss of sales and profits, increases in our expenses, and other material adverse effects.</w:t>
      </w:r>
    </w:p>
    <w:p>
      <w:pPr>
        <w:spacing w:after="0" w:line="157" w:lineRule="exact"/>
        <w:rPr>
          <w:sz w:val="20"/>
          <w:szCs w:val="20"/>
          <w:color w:val="auto"/>
        </w:rPr>
      </w:pPr>
    </w:p>
    <w:p>
      <w:pPr>
        <w:ind w:right="60" w:firstLine="618"/>
        <w:spacing w:after="0" w:line="276" w:lineRule="auto"/>
        <w:rPr>
          <w:sz w:val="20"/>
          <w:szCs w:val="20"/>
          <w:color w:val="auto"/>
        </w:rPr>
      </w:pPr>
      <w:r>
        <w:rPr>
          <w:rFonts w:ascii="Arial" w:cs="Arial" w:eastAsia="Arial" w:hAnsi="Arial"/>
          <w:sz w:val="16"/>
          <w:szCs w:val="16"/>
          <w:color w:val="auto"/>
        </w:rPr>
        <w:t>Most of the merchandise we purchase is shipped directly to our distribution centers, where it is prepared for shipment to the appropriate stores. The success of our stores depends on their timely receipt of merchandise, and a strong, efficient and flexible distribution network is critical to our ability to grow and to maintain a low-cost operating structure. A disruption within our distribution network, including the shutdown of or loss of significant capacity by one or more of our current primary distribution centers such as we experienced in Spring 2020 as a result of the COVID-19 pandemic, could adversely affect our ability to deliver inventory in a timely manner and significantly disrupt our business. In addition, any failure to continue to add capacity to our existing distribution centers and build out planned additional distribution centers timely and cost effectively could adversely affect our business.</w:t>
      </w:r>
    </w:p>
    <w:p>
      <w:pPr>
        <w:spacing w:after="0" w:line="148" w:lineRule="exact"/>
        <w:rPr>
          <w:sz w:val="20"/>
          <w:szCs w:val="20"/>
          <w:color w:val="auto"/>
        </w:rPr>
      </w:pPr>
    </w:p>
    <w:p>
      <w:pPr>
        <w:ind w:right="40" w:firstLine="618"/>
        <w:spacing w:after="0" w:line="257" w:lineRule="auto"/>
        <w:rPr>
          <w:sz w:val="20"/>
          <w:szCs w:val="20"/>
          <w:color w:val="auto"/>
        </w:rPr>
      </w:pPr>
      <w:r>
        <w:rPr>
          <w:rFonts w:ascii="Arial" w:cs="Arial" w:eastAsia="Arial" w:hAnsi="Arial"/>
          <w:sz w:val="17"/>
          <w:szCs w:val="17"/>
          <w:color w:val="auto"/>
        </w:rPr>
        <w:t>In addition to the distribution centers that we operate, we have arrangements with third parties for the use of pool point facilities, which we believe streamline and optimize our distribution network. If complications arise with a pool point facility or its operator, or if any such facility is severely damaged or destroyed, it may cause delays in the delivery of our merchandise to our stores. We also may be affected by disruptions in the global transportation network such as port strikes, weather conditions, work stoppages or other labor unrest, which may also adversely affect our ability to deliver inventory on a timely basis. We also depend upon third-party carriers for shipment of merchandise; any interruption in service by these carriers for any reason could cause disruptions in our business, a loss of sales and profits, and other material adverse effects.</w:t>
      </w:r>
    </w:p>
    <w:p>
      <w:pPr>
        <w:spacing w:after="0" w:line="162" w:lineRule="exact"/>
        <w:rPr>
          <w:sz w:val="20"/>
          <w:szCs w:val="20"/>
          <w:color w:val="auto"/>
        </w:rPr>
      </w:pPr>
    </w:p>
    <w:p>
      <w:pPr>
        <w:jc w:val="both"/>
        <w:ind w:right="540" w:firstLine="618"/>
        <w:spacing w:after="0" w:line="248" w:lineRule="auto"/>
        <w:rPr>
          <w:sz w:val="20"/>
          <w:szCs w:val="20"/>
          <w:color w:val="auto"/>
        </w:rPr>
      </w:pPr>
      <w:r>
        <w:rPr>
          <w:rFonts w:ascii="Arial" w:cs="Arial" w:eastAsia="Arial" w:hAnsi="Arial"/>
          <w:sz w:val="18"/>
          <w:szCs w:val="18"/>
          <w:color w:val="auto"/>
        </w:rPr>
        <w:t>Finally, as the COVID-19 pandemic continues, we could continue to experience supply disruptions, reduced workforces or labor shortages, transportation delays, scarcity of raw materials and scrutiny or embargoing of goods produced in infected areas, each of which could have a material adverse effect on our business and results of operations.</w:t>
      </w:r>
    </w:p>
    <w:p>
      <w:pPr>
        <w:spacing w:after="0" w:line="168"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If we are unable to protect our information systems against service interruption, misappropriation of data, breaches of security, or other cyber-related attacks, our operations could be disrupted, we may suffer financial losses and our reputation may be damaged.</w:t>
      </w:r>
    </w:p>
    <w:p>
      <w:pPr>
        <w:spacing w:after="0" w:line="111" w:lineRule="exact"/>
        <w:rPr>
          <w:sz w:val="20"/>
          <w:szCs w:val="20"/>
          <w:color w:val="auto"/>
        </w:rPr>
      </w:pPr>
    </w:p>
    <w:p>
      <w:pPr>
        <w:ind w:right="200" w:firstLine="618"/>
        <w:spacing w:after="0" w:line="274" w:lineRule="auto"/>
        <w:rPr>
          <w:sz w:val="20"/>
          <w:szCs w:val="20"/>
          <w:color w:val="auto"/>
        </w:rPr>
      </w:pPr>
      <w:r>
        <w:rPr>
          <w:rFonts w:ascii="Arial" w:cs="Arial" w:eastAsia="Arial" w:hAnsi="Arial"/>
          <w:sz w:val="16"/>
          <w:szCs w:val="16"/>
          <w:color w:val="auto"/>
        </w:rPr>
        <w:t>We rely extensively on various information systems, including data centers, hardware, software and applications to manage many aspects of our business, including to process and record transactions in our stores, to enable effective communication systems, to plan and track inventory flow, to manage logistics and to generate performance and financial reports. In addition, some aspects of our business, like that of most retailers, involve the receipt, storage and transmission of customers’ personal information and consumer preferences, as well as confidential information about our employees, our vendors and our Company, some of which is entrusted to third-party service providers and vendors. We are dependent on the integrity, security and consistent operations of these systems and related back-up systems, software, tools (including encryption technology) and monitoring to provide security and oversight for processing, transmission, storage and the protection of such confidential information.</w:t>
      </w:r>
    </w:p>
    <w:p>
      <w:pPr>
        <w:spacing w:after="0" w:line="150" w:lineRule="exact"/>
        <w:rPr>
          <w:sz w:val="20"/>
          <w:szCs w:val="20"/>
          <w:color w:val="auto"/>
        </w:rPr>
      </w:pPr>
    </w:p>
    <w:p>
      <w:pPr>
        <w:ind w:firstLine="618"/>
        <w:spacing w:after="0" w:line="271" w:lineRule="auto"/>
        <w:rPr>
          <w:sz w:val="20"/>
          <w:szCs w:val="20"/>
          <w:color w:val="auto"/>
        </w:rPr>
      </w:pPr>
      <w:r>
        <w:rPr>
          <w:rFonts w:ascii="Arial" w:cs="Arial" w:eastAsia="Arial" w:hAnsi="Arial"/>
          <w:sz w:val="16"/>
          <w:szCs w:val="16"/>
          <w:color w:val="auto"/>
        </w:rPr>
        <w:t>Like most major corporations, however, we, our customers and our third-party services providers face an evolving, increasing threat landscape in which cybercriminals, among others, employ a complex array of techniques designed to access personal and other information, including, for example, the use of fraudulent or stolen access credentials, malware, ransomware, phishing, denial of service and other types of attacks. Hardware, software or applications we develop or obtain from third parties may contain defects in design or manufacture or other problems that are not presently known and could unexpectedly compromise information security. In addition, our employees, contractors or third parties with which we do business or to which we outsource business operations may attempt to circumvent our security measures in order to misappropriate such information, and may purposefully or inadvertently cause a breach involving such information or become subject to various other cyber-crimes. Further, our computer systems and the third-party systems of our vendors are also subject to damage or interruption from a number of non-criminal causes, including power outages; computer and telecommunications failures; computer viruses; and design or usage errors by our employees or contractors.</w:t>
      </w:r>
    </w:p>
    <w:p>
      <w:pPr>
        <w:spacing w:after="0" w:line="155" w:lineRule="exact"/>
        <w:rPr>
          <w:sz w:val="20"/>
          <w:szCs w:val="20"/>
          <w:color w:val="auto"/>
        </w:rPr>
      </w:pPr>
    </w:p>
    <w:p>
      <w:pPr>
        <w:jc w:val="both"/>
        <w:ind w:right="720" w:firstLine="618"/>
        <w:spacing w:after="0" w:line="248" w:lineRule="auto"/>
        <w:rPr>
          <w:sz w:val="20"/>
          <w:szCs w:val="20"/>
          <w:color w:val="auto"/>
        </w:rPr>
      </w:pPr>
      <w:r>
        <w:rPr>
          <w:rFonts w:ascii="Arial" w:cs="Arial" w:eastAsia="Arial" w:hAnsi="Arial"/>
          <w:sz w:val="18"/>
          <w:szCs w:val="18"/>
          <w:color w:val="auto"/>
        </w:rPr>
        <w:t>If we or third parties with which we do business were to fall victim to successful cyber-attacks or experience other material cybersecurity incidents, including the loss of individually identifiable customer or other sensitive data, we may incur substantial costs and suffer other negative consequences, which may include: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ind w:left="1020" w:right="2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or replacement of systems, and incentives to customers or business partners in an effort to maintain relationships after an attack;</w:t>
      </w:r>
    </w:p>
    <w:p>
      <w:pPr>
        <w:spacing w:after="0" w:line="265"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to continuing to make organizational changes, deploy additional personnel and protection technologies, train employees, and engage third party consultants;</w:t>
      </w:r>
    </w:p>
    <w:p>
      <w:pPr>
        <w:spacing w:after="0" w:line="26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lost revenues resulting from the unauthorized use of proprietary information or the failure to retain or attract customers following an attack;</w:t>
      </w:r>
    </w:p>
    <w:p>
      <w:pPr>
        <w:spacing w:after="0" w:line="329"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governmental authorities;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cybersecurity and other insurance premiums;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reputational damage that adversely affects customer or investor confidence; and</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competitiveness, stock price, and long-term stockholder value.</w:t>
      </w:r>
    </w:p>
    <w:p>
      <w:pPr>
        <w:spacing w:after="0" w:line="200" w:lineRule="exact"/>
        <w:rPr>
          <w:sz w:val="20"/>
          <w:szCs w:val="20"/>
          <w:color w:val="auto"/>
        </w:rPr>
      </w:pPr>
    </w:p>
    <w:p>
      <w:pPr>
        <w:spacing w:after="0" w:line="201" w:lineRule="exact"/>
        <w:rPr>
          <w:sz w:val="20"/>
          <w:szCs w:val="20"/>
          <w:color w:val="auto"/>
        </w:rPr>
      </w:pPr>
    </w:p>
    <w:p>
      <w:pPr>
        <w:jc w:val="both"/>
        <w:ind w:firstLine="618"/>
        <w:spacing w:after="0"/>
        <w:rPr>
          <w:sz w:val="20"/>
          <w:szCs w:val="20"/>
          <w:color w:val="auto"/>
        </w:rPr>
      </w:pPr>
      <w:r>
        <w:rPr>
          <w:rFonts w:ascii="Arial" w:cs="Arial" w:eastAsia="Arial" w:hAnsi="Arial"/>
          <w:sz w:val="18"/>
          <w:szCs w:val="18"/>
          <w:color w:val="auto"/>
        </w:rPr>
        <w:t>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and there is no guarantee that the proactive measures we put in place will be adequate to safeguard against all data security breaches or misuses of data. In fact, as more business activities have shifted online due to COVID-19 restrictions and otherwise, and as many of our non-store associates are working remotely, we face an increased risk due to the potential interruptions to internal or external information technology infrastructure as well as increased threats and attempts to breach our security networks.</w:t>
      </w:r>
    </w:p>
    <w:p>
      <w:pPr>
        <w:spacing w:after="0" w:line="176" w:lineRule="exact"/>
        <w:rPr>
          <w:sz w:val="20"/>
          <w:szCs w:val="20"/>
          <w:color w:val="auto"/>
        </w:rPr>
      </w:pPr>
    </w:p>
    <w:p>
      <w:pPr>
        <w:ind w:right="200" w:firstLine="618"/>
        <w:spacing w:after="0" w:line="254" w:lineRule="auto"/>
        <w:rPr>
          <w:sz w:val="20"/>
          <w:szCs w:val="20"/>
          <w:color w:val="auto"/>
        </w:rPr>
      </w:pPr>
      <w:r>
        <w:rPr>
          <w:rFonts w:ascii="Arial" w:cs="Arial" w:eastAsia="Arial" w:hAnsi="Arial"/>
          <w:sz w:val="17"/>
          <w:szCs w:val="17"/>
          <w:color w:val="auto"/>
        </w:rPr>
        <w:t>Although we endeavor to protect consumer identity and payment information through the implementation and modification of security technologies, processes and procedures, including training programs for employees to raise awareness about phishing, malware and other cyber risks and certification of our major technology suppliers and any outsourced services through accepted security certification measures, we could experience increased costs associated with maintaining these protections as threats of cyber-attacks increase in sophistication and complexity. In addition, there are additional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6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57" w:lineRule="exact"/>
        <w:rPr>
          <w:sz w:val="20"/>
          <w:szCs w:val="20"/>
          <w:color w:val="auto"/>
        </w:rPr>
      </w:pPr>
    </w:p>
    <w:p>
      <w:pPr>
        <w:ind w:right="140" w:firstLine="618"/>
        <w:spacing w:after="0" w:line="262" w:lineRule="auto"/>
        <w:rPr>
          <w:sz w:val="20"/>
          <w:szCs w:val="20"/>
          <w:color w:val="auto"/>
        </w:rPr>
      </w:pPr>
      <w:r>
        <w:rPr>
          <w:rFonts w:ascii="Arial" w:cs="Arial" w:eastAsia="Arial" w:hAnsi="Arial"/>
          <w:sz w:val="17"/>
          <w:szCs w:val="17"/>
          <w:color w:val="auto"/>
        </w:rPr>
        <w:t>We accept payments using a variety of methods, including cash, checks, credit and debit cards, and gift cards, and we may offer new payment options over time. Acceptance of these payment methods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or costly.</w:t>
      </w:r>
    </w:p>
    <w:p>
      <w:pPr>
        <w:spacing w:after="0" w:line="159" w:lineRule="exact"/>
        <w:rPr>
          <w:sz w:val="20"/>
          <w:szCs w:val="20"/>
          <w:color w:val="auto"/>
        </w:rPr>
      </w:pPr>
    </w:p>
    <w:p>
      <w:pPr>
        <w:ind w:right="120" w:firstLine="618"/>
        <w:spacing w:after="0" w:line="272" w:lineRule="auto"/>
        <w:rPr>
          <w:sz w:val="20"/>
          <w:szCs w:val="20"/>
          <w:color w:val="auto"/>
        </w:rPr>
      </w:pPr>
      <w:r>
        <w:rPr>
          <w:rFonts w:ascii="Arial" w:cs="Arial" w:eastAsia="Arial" w:hAnsi="Arial"/>
          <w:sz w:val="16"/>
          <w:szCs w:val="16"/>
          <w:color w:val="auto"/>
        </w:rPr>
        <w:t>For certain payment methods, including credit and debit cards, we pay interchange and other fees,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costs incurred by payment card issuing banks and other third parties or subject to fines and higher transaction fees, or our ability to accept or facilitate certain types of payments may be impaired. In addition, our customers could lose confidence in certain payment types,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right="340"/>
        <w:spacing w:after="0" w:line="261" w:lineRule="auto"/>
        <w:rPr>
          <w:sz w:val="20"/>
          <w:szCs w:val="20"/>
          <w:color w:val="auto"/>
        </w:rPr>
      </w:pPr>
      <w:r>
        <w:rPr>
          <w:rFonts w:ascii="Arial" w:cs="Arial" w:eastAsia="Arial" w:hAnsi="Arial"/>
          <w:sz w:val="18"/>
          <w:szCs w:val="18"/>
          <w:color w:val="auto"/>
        </w:rPr>
        <w:t>which may result in a shift to other payment types or potential changes to our payment systems that may result in higher costs. As a result, our business and operating results could be adversely affected.</w:t>
      </w:r>
    </w:p>
    <w:p>
      <w:pPr>
        <w:spacing w:after="0" w:line="157" w:lineRule="exact"/>
        <w:rPr>
          <w:sz w:val="20"/>
          <w:szCs w:val="20"/>
          <w:color w:val="auto"/>
        </w:rPr>
      </w:pPr>
    </w:p>
    <w:p>
      <w:pPr>
        <w:ind w:right="1100"/>
        <w:spacing w:after="0" w:line="261"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advertising and marketing programs are not effective in generating sufficient levels of customer awareness and traffic.</w:t>
      </w:r>
    </w:p>
    <w:p>
      <w:pPr>
        <w:spacing w:after="0" w:line="157" w:lineRule="exact"/>
        <w:rPr>
          <w:sz w:val="20"/>
          <w:szCs w:val="20"/>
          <w:color w:val="auto"/>
        </w:rPr>
      </w:pPr>
    </w:p>
    <w:p>
      <w:pPr>
        <w:ind w:right="80" w:firstLine="618"/>
        <w:spacing w:after="0" w:line="243" w:lineRule="auto"/>
        <w:rPr>
          <w:sz w:val="20"/>
          <w:szCs w:val="20"/>
          <w:color w:val="auto"/>
        </w:rPr>
      </w:pPr>
      <w:r>
        <w:rPr>
          <w:rFonts w:ascii="Arial" w:cs="Arial" w:eastAsia="Arial" w:hAnsi="Arial"/>
          <w:sz w:val="18"/>
          <w:szCs w:val="18"/>
          <w:color w:val="auto"/>
        </w:rPr>
        <w:t>We rely on advertising to increase consumer awareness of our product offerings and pricing to drive traffic to our stores. In addition, we rely and will increasingly rely on other forms of media advertising, including digital, social media and e-marketing. Our future growth and profitability will depend in part upon the effectiveness and efficiency of our advertising and marketing programs. Our advertising and marketing programs may not be successful if we do not:</w:t>
      </w:r>
    </w:p>
    <w:p>
      <w:pPr>
        <w:spacing w:after="0" w:line="282" w:lineRule="exact"/>
        <w:rPr>
          <w:sz w:val="20"/>
          <w:szCs w:val="20"/>
          <w:color w:val="auto"/>
        </w:rPr>
      </w:pPr>
    </w:p>
    <w:p>
      <w:pPr>
        <w:ind w:left="1020" w:right="8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advertising and marketing costs effectively in order to maintain acceptable operating margins and return on our marketing investment; and</w:t>
      </w:r>
    </w:p>
    <w:p>
      <w:pPr>
        <w:spacing w:after="0" w:line="26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 customer awareness into actual store visits and product purchases.</w:t>
      </w:r>
    </w:p>
    <w:p>
      <w:pPr>
        <w:spacing w:after="0" w:line="200" w:lineRule="exact"/>
        <w:rPr>
          <w:sz w:val="20"/>
          <w:szCs w:val="20"/>
          <w:color w:val="auto"/>
        </w:rPr>
      </w:pPr>
    </w:p>
    <w:p>
      <w:pPr>
        <w:spacing w:after="0" w:line="201" w:lineRule="exact"/>
        <w:rPr>
          <w:sz w:val="20"/>
          <w:szCs w:val="20"/>
          <w:color w:val="auto"/>
        </w:rPr>
      </w:pPr>
    </w:p>
    <w:p>
      <w:pPr>
        <w:jc w:val="both"/>
        <w:ind w:right="360" w:firstLine="642"/>
        <w:spacing w:after="0" w:line="294" w:lineRule="auto"/>
        <w:rPr>
          <w:sz w:val="20"/>
          <w:szCs w:val="20"/>
          <w:color w:val="auto"/>
        </w:rPr>
      </w:pPr>
      <w:r>
        <w:rPr>
          <w:rFonts w:ascii="Arial" w:cs="Arial" w:eastAsia="Arial" w:hAnsi="Arial"/>
          <w:sz w:val="16"/>
          <w:szCs w:val="16"/>
          <w:color w:val="auto"/>
        </w:rPr>
        <w:t>Our planned advertising and marketing expenditures may not result in increased total or comparable store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corporate reputation or brand could adversely affect our sales and operating results.</w:t>
      </w:r>
    </w:p>
    <w:p>
      <w:pPr>
        <w:spacing w:after="0" w:line="198" w:lineRule="exact"/>
        <w:rPr>
          <w:sz w:val="20"/>
          <w:szCs w:val="20"/>
          <w:color w:val="auto"/>
        </w:rPr>
      </w:pPr>
    </w:p>
    <w:p>
      <w:pPr>
        <w:jc w:val="both"/>
        <w:ind w:right="20" w:firstLine="594"/>
        <w:spacing w:after="0" w:line="276" w:lineRule="auto"/>
        <w:rPr>
          <w:sz w:val="20"/>
          <w:szCs w:val="20"/>
          <w:color w:val="auto"/>
        </w:rPr>
      </w:pPr>
      <w:r>
        <w:rPr>
          <w:rFonts w:ascii="Arial" w:cs="Arial" w:eastAsia="Arial" w:hAnsi="Arial"/>
          <w:sz w:val="16"/>
          <w:szCs w:val="16"/>
          <w:color w:val="auto"/>
        </w:rPr>
        <w:t>Building brand reputation is important to our continuing success. 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vendors (or their contractors or subcontractors), the landlords for our stores, or our associates outside of work, and may pertain to social or political issues or protests largely unrelated to our business. In addition, information concerning us, whether or not true, may be instantly and easily posted on social media platforms and similar devices at any time, which information may be adverse to our reputation or business.</w:t>
      </w:r>
    </w:p>
    <w:p>
      <w:pPr>
        <w:spacing w:after="0" w:line="148" w:lineRule="exact"/>
        <w:rPr>
          <w:sz w:val="20"/>
          <w:szCs w:val="20"/>
          <w:color w:val="auto"/>
        </w:rPr>
      </w:pPr>
    </w:p>
    <w:p>
      <w:pPr>
        <w:jc w:val="both"/>
        <w:ind w:right="60" w:firstLine="594"/>
        <w:spacing w:after="0" w:line="248" w:lineRule="auto"/>
        <w:rPr>
          <w:sz w:val="20"/>
          <w:szCs w:val="20"/>
          <w:color w:val="auto"/>
        </w:rPr>
      </w:pPr>
      <w:r>
        <w:rPr>
          <w:rFonts w:ascii="Arial" w:cs="Arial" w:eastAsia="Arial" w:hAnsi="Arial"/>
          <w:sz w:val="18"/>
          <w:szCs w:val="18"/>
          <w:color w:val="auto"/>
        </w:rPr>
        <w:t>The harm may be immediate without affording us an opportunity for redress or correction. Damage to our reputation in any form could result in declines in customer loyalty and sales, affect our vendor relationships, development opportunities and associate retention, and otherwise adversely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Compliance and Tax Risks</w:t>
      </w:r>
    </w:p>
    <w:p>
      <w:pPr>
        <w:spacing w:after="0" w:line="20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Difficulty complying with existing and changing laws, rules, regulations and local codes could negatively affect our business operations and financial performance.</w:t>
      </w:r>
    </w:p>
    <w:p>
      <w:pPr>
        <w:spacing w:after="0" w:line="157" w:lineRule="exact"/>
        <w:rPr>
          <w:sz w:val="20"/>
          <w:szCs w:val="20"/>
          <w:color w:val="auto"/>
        </w:rPr>
      </w:pPr>
    </w:p>
    <w:p>
      <w:pPr>
        <w:ind w:right="20" w:firstLine="618"/>
        <w:spacing w:after="0" w:line="254" w:lineRule="auto"/>
        <w:rPr>
          <w:sz w:val="20"/>
          <w:szCs w:val="20"/>
          <w:color w:val="auto"/>
        </w:rPr>
      </w:pPr>
      <w:r>
        <w:rPr>
          <w:rFonts w:ascii="Arial" w:cs="Arial" w:eastAsia="Arial" w:hAnsi="Arial"/>
          <w:sz w:val="17"/>
          <w:szCs w:val="17"/>
          <w:color w:val="auto"/>
        </w:rPr>
        <w:t>We are subject to federal, state and local laws, rules and regulations in the operation of our business. In addition to complying with current laws, rules and regulations, we must also comply with new and changing laws and regulations, new regulatory initiatives, evolving interpretation of existing laws by judicial and regulatory authorities, and reforms in jurisdictions where we do business. Complying with local zoning codes, real estate land use restrictions, employment-related laws, and other local laws across numerous jurisdictions is particularly challenging as we grow the number of our stores in new municipalities and need to stay abreast of changes in such local laws. The increasing proliferation of local laws, some of which may be conflicting, further complicates our efforts to comply with all of the various laws, rules and regulations that apply to our business. We could also be negatively impacted by changes in government regulations in areas including taxes (such as the increase in the corporate tax rate proposed by the Biden administration), healthcare and environmental protection.</w:t>
      </w:r>
    </w:p>
    <w:p>
      <w:pPr>
        <w:spacing w:after="0" w:line="167" w:lineRule="exact"/>
        <w:rPr>
          <w:sz w:val="20"/>
          <w:szCs w:val="20"/>
          <w:color w:val="auto"/>
        </w:rPr>
      </w:pPr>
    </w:p>
    <w:p>
      <w:pPr>
        <w:ind w:firstLine="618"/>
        <w:spacing w:after="0" w:line="276" w:lineRule="auto"/>
        <w:rPr>
          <w:sz w:val="20"/>
          <w:szCs w:val="20"/>
          <w:color w:val="auto"/>
        </w:rPr>
      </w:pPr>
      <w:r>
        <w:rPr>
          <w:rFonts w:ascii="Arial" w:cs="Arial" w:eastAsia="Arial" w:hAnsi="Arial"/>
          <w:sz w:val="16"/>
          <w:szCs w:val="16"/>
          <w:color w:val="auto"/>
        </w:rPr>
        <w:t>All of the above legal, regulatory and administrative requirements collectively affect multiple aspects of our business, including those involving labor and employment benefits; health, welfare and finance; real estate management; consumer protection and product safety; climate change, supply chain, energy and waste; electronic communications, data protection and privacy; protection of third party intellectual property rights; and income taxes. Changes to these laws and regulations could increase our costs of compliance or of doing business, and could adversely affect our operating results. In addition, we require our vendors to adhere to various conduct, compliance and other requirements, including those relating to employment and labor (including wages and working conditions), health and safety, and anti-bribery standards. Although we have implemented policies and procedures to facilitate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ind w:right="20"/>
        <w:spacing w:after="0" w:line="294" w:lineRule="auto"/>
        <w:rPr>
          <w:sz w:val="20"/>
          <w:szCs w:val="20"/>
          <w:color w:val="auto"/>
        </w:rPr>
      </w:pPr>
      <w:r>
        <w:rPr>
          <w:rFonts w:ascii="Arial" w:cs="Arial" w:eastAsia="Arial" w:hAnsi="Arial"/>
          <w:sz w:val="16"/>
          <w:szCs w:val="16"/>
          <w:color w:val="auto"/>
        </w:rPr>
        <w:t>compliance with laws and regulations, this does not guarantee that vendors and other third parties with whom we do business will not violate such laws and regulations or our policies. If we or other third parties with whom we do business fail to comply with these laws, rules and regulations, we may be subject to judgments, fines or other costs or penalties, which could materially adversely affect our business operations and financial performance.</w:t>
      </w:r>
    </w:p>
    <w:p>
      <w:pPr>
        <w:spacing w:after="0" w:line="134" w:lineRule="exact"/>
        <w:rPr>
          <w:sz w:val="20"/>
          <w:szCs w:val="20"/>
          <w:color w:val="auto"/>
        </w:rPr>
      </w:pPr>
    </w:p>
    <w:p>
      <w:pPr>
        <w:ind w:right="100" w:firstLine="618"/>
        <w:spacing w:after="0" w:line="294" w:lineRule="auto"/>
        <w:rPr>
          <w:sz w:val="20"/>
          <w:szCs w:val="20"/>
          <w:color w:val="auto"/>
        </w:rPr>
      </w:pPr>
      <w:r>
        <w:rPr>
          <w:rFonts w:ascii="Arial" w:cs="Arial" w:eastAsia="Arial" w:hAnsi="Arial"/>
          <w:sz w:val="16"/>
          <w:szCs w:val="16"/>
          <w:color w:val="auto"/>
        </w:rPr>
        <w:t>We are primarily self-insured and we purchase insurance only for catastrophic types of events for such risks as workers’ compensation, employment practices liability, employee health benefits, product and other general liability claims, among others. If we suffer a substantial loss that is not covered by commercial insurance or our self-insurance reserves, the loss and related expenses could harm our business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with merchandise safety and shrinkage could damage our sales and financial results.</w:t>
      </w:r>
    </w:p>
    <w:p>
      <w:pPr>
        <w:spacing w:after="0" w:line="198" w:lineRule="exact"/>
        <w:rPr>
          <w:sz w:val="20"/>
          <w:szCs w:val="20"/>
          <w:color w:val="auto"/>
        </w:rPr>
      </w:pPr>
    </w:p>
    <w:p>
      <w:pPr>
        <w:ind w:firstLine="618"/>
        <w:spacing w:after="0" w:line="239" w:lineRule="auto"/>
        <w:rPr>
          <w:sz w:val="20"/>
          <w:szCs w:val="20"/>
          <w:color w:val="auto"/>
        </w:rPr>
      </w:pPr>
      <w:r>
        <w:rPr>
          <w:rFonts w:ascii="Arial" w:cs="Arial" w:eastAsia="Arial" w:hAnsi="Arial"/>
          <w:sz w:val="18"/>
          <w:szCs w:val="18"/>
          <w:color w:val="auto"/>
        </w:rPr>
        <w:t>Various governmental authorities in the jurisdictions where we do business regulate the safety of the merchandise we sell to consumers. Regulations and standards in this area, including those related to the U.S. Consumer Product Safety Improvement Act of 2008, state regulations like California’s Proposition 65, and similar legislation, impose restrictions and requirements on the merchandise we sell in our stores. These regulations change from time to time as new federal, state or local regulations are enacted. If we or our merchandise vendors are unable to comply with regulatory requirements on a timely basis or at all, or to adequately monitor new regulations that may apply to existing or new merchandise categories, significant fines or penalties could be incurred or we could have to curtail some aspects of our sales or operations, which could have a material adverse effect on our financial results.</w:t>
      </w:r>
    </w:p>
    <w:p>
      <w:pPr>
        <w:spacing w:after="0" w:line="177" w:lineRule="exact"/>
        <w:rPr>
          <w:sz w:val="20"/>
          <w:szCs w:val="20"/>
          <w:color w:val="auto"/>
        </w:rPr>
      </w:pPr>
    </w:p>
    <w:p>
      <w:pPr>
        <w:ind w:right="420" w:firstLine="618"/>
        <w:spacing w:after="0" w:line="257" w:lineRule="auto"/>
        <w:rPr>
          <w:sz w:val="20"/>
          <w:szCs w:val="20"/>
          <w:color w:val="auto"/>
        </w:rPr>
      </w:pPr>
      <w:r>
        <w:rPr>
          <w:rFonts w:ascii="Arial" w:cs="Arial" w:eastAsia="Arial" w:hAnsi="Arial"/>
          <w:sz w:val="17"/>
          <w:szCs w:val="17"/>
          <w:color w:val="auto"/>
        </w:rPr>
        <w:t>We rely on our vendors to provide quality merchandise that complies with applicable product safety laws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Issues with the safety of merchandise, and issues with the authenticity of merchandise, or customer concerns about such issues, regardless of our fault, could cause damage to our reputation and could result in lost sales, uninsured product liability claims or losses, merchandise recalls and increased costs, and regulatory, civil or criminal fines or penalties, any of which could have a material adverse effect on our financial results.</w:t>
      </w:r>
    </w:p>
    <w:p>
      <w:pPr>
        <w:spacing w:after="0" w:line="162" w:lineRule="exact"/>
        <w:rPr>
          <w:sz w:val="20"/>
          <w:szCs w:val="20"/>
          <w:color w:val="auto"/>
        </w:rPr>
      </w:pPr>
    </w:p>
    <w:p>
      <w:pPr>
        <w:ind w:right="560" w:firstLine="618"/>
        <w:spacing w:after="0" w:line="248" w:lineRule="auto"/>
        <w:rPr>
          <w:sz w:val="20"/>
          <w:szCs w:val="20"/>
          <w:color w:val="auto"/>
        </w:rPr>
      </w:pPr>
      <w:r>
        <w:rPr>
          <w:rFonts w:ascii="Arial" w:cs="Arial" w:eastAsia="Arial" w:hAnsi="Arial"/>
          <w:sz w:val="18"/>
          <w:szCs w:val="18"/>
          <w:color w:val="auto"/>
        </w:rPr>
        <w:t>In addition, risk of loss or theft of assets, including inventory shrinkage, is inherent in the retail business. Loss may be caused by error or misconduct of associates, customers, vendors or other third parties. Our inability to effectively prevent and/or minimize the loss or theft of assets, or to effectively reduce the impact of those losses, could adversely affect our financial performance.</w:t>
      </w:r>
    </w:p>
    <w:p>
      <w:pPr>
        <w:spacing w:after="0" w:line="16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Compliance with increasingly rigorous privacy and data security regulations could be costly, affect or limit our business opportunities and how we collect and/or use data, and potentially subject us to fines and lawsuits.</w:t>
      </w:r>
    </w:p>
    <w:p>
      <w:pPr>
        <w:spacing w:after="0" w:line="157" w:lineRule="exact"/>
        <w:rPr>
          <w:sz w:val="20"/>
          <w:szCs w:val="20"/>
          <w:color w:val="auto"/>
        </w:rPr>
      </w:pPr>
    </w:p>
    <w:p>
      <w:pPr>
        <w:ind w:right="100" w:firstLine="779"/>
        <w:spacing w:after="0"/>
        <w:rPr>
          <w:sz w:val="20"/>
          <w:szCs w:val="20"/>
          <w:color w:val="auto"/>
        </w:rPr>
      </w:pPr>
      <w:r>
        <w:rPr>
          <w:rFonts w:ascii="Arial" w:cs="Arial" w:eastAsia="Arial" w:hAnsi="Arial"/>
          <w:sz w:val="18"/>
          <w:szCs w:val="18"/>
          <w:color w:val="auto"/>
        </w:rPr>
        <w:t>As described above, the protection of customer, employee, vendor and Company data is critical to our business. As the regulatory environment relating to retailers’ and other companies’ obligation to protect such sensitive data becomes increasingly rigorous, with new and evolving requirements applicable to our business, compliance with those requirements could result in additional costs; could have a significant impact on our current and planned privacy, data protection and information security-related practices, our collection, use, sharing, retention and safeguarding of customer and/or employee information, and some of our current or future business plans; and a material failure on our part to comply could subject us to fines or other regulatory sanctions and potentially to lawsuits.</w:t>
      </w:r>
    </w:p>
    <w:p>
      <w:pPr>
        <w:spacing w:after="0" w:line="176"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In recent years, there has been increasing regulatory enforcement and litigation activity in the area of privacy, data protection and information security in various states in which we operate. Compliance with the evolving privacy regulatory landscape will likely increase the costs of doing business, especially if we face differing regulatory requirements across multiple jurisdictions and/or a lack of adequate regulatory guidance. New legislation or regulations, including any potential comprehensive federal privacy legislation, as well as any associated inquiries or investigations or any other government actions, could also result in negative publicity, require significant management time and attention, and subject us to remedies that may harm our business, including fines or demands or orders that we modify or cease existing business practices.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 could have an adverse impact on our results of operations.</w:t>
      </w:r>
    </w:p>
    <w:p>
      <w:pPr>
        <w:spacing w:after="0" w:line="198" w:lineRule="exact"/>
        <w:rPr>
          <w:sz w:val="20"/>
          <w:szCs w:val="20"/>
          <w:color w:val="auto"/>
        </w:rPr>
      </w:pPr>
    </w:p>
    <w:p>
      <w:pPr>
        <w:jc w:val="both"/>
        <w:ind w:right="20" w:firstLine="618"/>
        <w:spacing w:after="0" w:line="241" w:lineRule="auto"/>
        <w:rPr>
          <w:sz w:val="20"/>
          <w:szCs w:val="20"/>
          <w:color w:val="auto"/>
        </w:rPr>
      </w:pPr>
      <w:r>
        <w:rPr>
          <w:rFonts w:ascii="Arial" w:cs="Arial" w:eastAsia="Arial" w:hAnsi="Arial"/>
          <w:sz w:val="18"/>
          <w:szCs w:val="18"/>
          <w:color w:val="auto"/>
        </w:rPr>
        <w:t>We are subject to various legal and regulatory proceedings relating to our business, certain of which may involve jurisdictions with reputations for aggressive application of laws and procedures against corporate defendants. We are impacted by trends in litigation, such as representative claims under the California Private Attorneys’ General Act and class action litigation brought under various consumer protection, employment, and privacy and information security laws. Accruals are established based on our best estimates of our potential liability. However, we cannot accurately predict the ultimate outcome of any such proceedings due to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80"/>
        <w:spacing w:after="0" w:line="248" w:lineRule="auto"/>
        <w:rPr>
          <w:sz w:val="20"/>
          <w:szCs w:val="20"/>
          <w:color w:val="auto"/>
        </w:rPr>
      </w:pPr>
      <w:r>
        <w:rPr>
          <w:rFonts w:ascii="Arial" w:cs="Arial" w:eastAsia="Arial" w:hAnsi="Arial"/>
          <w:sz w:val="18"/>
          <w:szCs w:val="18"/>
          <w:color w:val="auto"/>
        </w:rPr>
        <w:t>inherent uncertainties of litigation. Regardless of the outcome or whether the claims are meritorious, legal and regulatory proceedings may require that we devote substantial time and expense to defend our Company. Unfavorable rulings could result in a material adverse impact on our business, financial condition or results of operations.</w:t>
      </w:r>
    </w:p>
    <w:p>
      <w:pPr>
        <w:spacing w:after="0" w:line="16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Use of social media by the Company or third parties at our direction in violation of applicable laws and regulations may adversely impact our reputation or subject us to fines or other penalties.</w:t>
      </w:r>
    </w:p>
    <w:p>
      <w:pPr>
        <w:spacing w:after="0" w:line="157" w:lineRule="exact"/>
        <w:rPr>
          <w:sz w:val="20"/>
          <w:szCs w:val="20"/>
          <w:color w:val="auto"/>
        </w:rPr>
      </w:pPr>
    </w:p>
    <w:p>
      <w:pPr>
        <w:ind w:firstLine="618"/>
        <w:spacing w:after="0" w:line="239" w:lineRule="auto"/>
        <w:rPr>
          <w:sz w:val="20"/>
          <w:szCs w:val="20"/>
          <w:color w:val="auto"/>
        </w:rPr>
      </w:pPr>
      <w:r>
        <w:rPr>
          <w:rFonts w:ascii="Arial" w:cs="Arial" w:eastAsia="Arial" w:hAnsi="Arial"/>
          <w:sz w:val="18"/>
          <w:szCs w:val="18"/>
          <w:color w:val="auto"/>
        </w:rPr>
        <w:t>There has been a substantial increase in the use of social media platforms and other forms of internet-based communications, which allow individuals access to a broad audience of consumers and other interested persons. We have increasingly utilized social media in our marketing and employment recruiting efforts in order to reach as many current and potential new customers and potential employment candidates as efficiently and cost effectively as possible, and have also retained third parties, such as influencers, with expertise and distinction in the social media realm to bolster our social media efforts. As laws and regulations rapidly evolve to govern the use of these platforms, the failure by us, our employees or third parties acting at our direction to abide by applicable laws and regulations in the use of these platforms could adversely impact our reputation or subject us to fines or other penalties.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Substantial Indebtedness and Corporate Structure</w:t>
      </w:r>
    </w:p>
    <w:p>
      <w:pPr>
        <w:spacing w:after="0" w:line="20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ability to generate sufficient cash depends on numerous factors beyond our control, and we may be unable to generate sufficient cash flow to service our debt obligations.</w:t>
      </w:r>
    </w:p>
    <w:p>
      <w:pPr>
        <w:spacing w:after="0" w:line="157" w:lineRule="exact"/>
        <w:rPr>
          <w:sz w:val="20"/>
          <w:szCs w:val="20"/>
          <w:color w:val="auto"/>
        </w:rPr>
      </w:pPr>
    </w:p>
    <w:p>
      <w:pPr>
        <w:ind w:right="120" w:firstLine="618"/>
        <w:spacing w:after="0" w:line="241" w:lineRule="auto"/>
        <w:rPr>
          <w:sz w:val="20"/>
          <w:szCs w:val="20"/>
          <w:color w:val="auto"/>
        </w:rPr>
      </w:pPr>
      <w:r>
        <w:rPr>
          <w:rFonts w:ascii="Arial" w:cs="Arial" w:eastAsia="Arial" w:hAnsi="Arial"/>
          <w:sz w:val="18"/>
          <w:szCs w:val="18"/>
          <w:color w:val="auto"/>
        </w:rPr>
        <w:t>As of January 29, 2022, our obligations include (i) $950.7 million, inclusive of original issue discount, under our $1,200.0 million senior secured term loan facility (Term Loan Facility) and (ii) $572.3 million under the Convertible Notes. We had no outstanding balance on our $650.0 million asset-based lending facility (ABL Line of Credit) as of January 29, 2022. Our debt obligations also include $43.9 million of finance lease obligations as of January 29, 2022. Estimated cash required to make interest payments for these debt obligations amounts to approximately $33.1 million in the aggregate for the fiscal year ending January 28, 2023.</w:t>
      </w:r>
    </w:p>
    <w:p>
      <w:pPr>
        <w:spacing w:after="0" w:line="176" w:lineRule="exact"/>
        <w:rPr>
          <w:sz w:val="20"/>
          <w:szCs w:val="20"/>
          <w:color w:val="auto"/>
        </w:rPr>
      </w:pPr>
    </w:p>
    <w:p>
      <w:pPr>
        <w:ind w:right="20" w:firstLine="618"/>
        <w:spacing w:after="0" w:line="239" w:lineRule="auto"/>
        <w:rPr>
          <w:sz w:val="20"/>
          <w:szCs w:val="20"/>
          <w:color w:val="auto"/>
        </w:rPr>
      </w:pPr>
      <w:r>
        <w:rPr>
          <w:rFonts w:ascii="Arial" w:cs="Arial" w:eastAsia="Arial" w:hAnsi="Arial"/>
          <w:sz w:val="18"/>
          <w:szCs w:val="18"/>
          <w:color w:val="auto"/>
        </w:rPr>
        <w:t>Our ability to make payments on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timely basis, on commercially reasonable terms or at all, or be assured that these actions would be sufficient to meet our capital requirements. In addition, the terms of our existing or future debt agreements may restrict us from affecting any of these alternatives.</w:t>
      </w:r>
    </w:p>
    <w:p>
      <w:pPr>
        <w:spacing w:after="0" w:line="177"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spacing w:after="0" w:line="111" w:lineRule="exact"/>
        <w:rPr>
          <w:sz w:val="20"/>
          <w:szCs w:val="20"/>
          <w:color w:val="auto"/>
        </w:rPr>
      </w:pPr>
    </w:p>
    <w:p>
      <w:pPr>
        <w:ind w:right="240" w:firstLine="623"/>
        <w:spacing w:after="0" w:line="254" w:lineRule="auto"/>
        <w:rPr>
          <w:sz w:val="20"/>
          <w:szCs w:val="20"/>
          <w:color w:val="auto"/>
        </w:rPr>
      </w:pPr>
      <w:r>
        <w:rPr>
          <w:rFonts w:ascii="Arial" w:cs="Arial" w:eastAsia="Arial" w:hAnsi="Arial"/>
          <w:sz w:val="17"/>
          <w:szCs w:val="17"/>
          <w:color w:val="auto"/>
        </w:rPr>
        <w:t>If an event of default under any of the agreements relating to our outstanding indebtedness occurred,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resulting in a need for an alternate source of funding. We cannot make any assurances that we would be able to obtain such an alternate source of funding on satisfactory terms, if at all, and our inability to do so could cause the holders of our securities to experience a partial or total loss of their investments in the Company. Further, if we are unable to repay, refinance or restructure our secured indebtedness, the holders of such debt could proceed against the collateral securing that indebtedness through foreclosure proceedings and/or by forcing us into bankruptcy or liquidation. In addition, any event of default or acceleration under one debt instrument could also result in an event of default under one or more of our other debt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221" w:lineRule="exact"/>
        <w:rPr>
          <w:sz w:val="20"/>
          <w:szCs w:val="20"/>
          <w:color w:val="auto"/>
        </w:rPr>
      </w:pPr>
    </w:p>
    <w:p>
      <w:pPr>
        <w:ind w:right="200" w:firstLine="623"/>
        <w:spacing w:after="0" w:line="241" w:lineRule="auto"/>
        <w:rPr>
          <w:sz w:val="20"/>
          <w:szCs w:val="20"/>
          <w:color w:val="auto"/>
        </w:rPr>
      </w:pPr>
      <w:r>
        <w:rPr>
          <w:rFonts w:ascii="Arial" w:cs="Arial" w:eastAsia="Arial" w:hAnsi="Arial"/>
          <w:sz w:val="18"/>
          <w:szCs w:val="18"/>
          <w:color w:val="auto"/>
        </w:rPr>
        <w:t>In the event the conditional conversion feature of our Convertible Notes is triggered, holders of the Convertible Notes will be entitled to convert their notes at any time during specified periods at their option. If one or more holders elect to convert their Convertible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of Convertible Notes do not elect to convert their notes,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1" w:name="page22"/>
    <w:bookmarkEnd w:id="21"/>
    <w:p>
      <w:pPr>
        <w:ind w:right="500"/>
        <w:spacing w:after="0" w:line="261" w:lineRule="auto"/>
        <w:rPr>
          <w:sz w:val="20"/>
          <w:szCs w:val="20"/>
          <w:color w:val="auto"/>
        </w:rPr>
      </w:pPr>
      <w:r>
        <w:rPr>
          <w:rFonts w:ascii="Arial" w:cs="Arial" w:eastAsia="Arial" w:hAnsi="Arial"/>
          <w:sz w:val="18"/>
          <w:szCs w:val="18"/>
          <w:color w:val="auto"/>
        </w:rPr>
        <w:t>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5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Conversion of the Convertible Notes will dilute the ownership interest of existing stockholders, including holders who had previously converted their Convertible Notes, or may otherwise depress the price of our common stock.</w:t>
      </w:r>
    </w:p>
    <w:p>
      <w:pPr>
        <w:spacing w:after="0" w:line="157" w:lineRule="exact"/>
        <w:rPr>
          <w:sz w:val="20"/>
          <w:szCs w:val="20"/>
          <w:color w:val="auto"/>
        </w:rPr>
      </w:pPr>
    </w:p>
    <w:p>
      <w:pPr>
        <w:ind w:right="160" w:firstLine="623"/>
        <w:spacing w:after="0" w:line="257" w:lineRule="auto"/>
        <w:rPr>
          <w:sz w:val="20"/>
          <w:szCs w:val="20"/>
          <w:color w:val="auto"/>
        </w:rPr>
      </w:pPr>
      <w:r>
        <w:rPr>
          <w:rFonts w:ascii="Arial" w:cs="Arial" w:eastAsia="Arial" w:hAnsi="Arial"/>
          <w:sz w:val="17"/>
          <w:szCs w:val="17"/>
          <w:color w:val="auto"/>
        </w:rPr>
        <w:t>The conversion of some or all of the Convertible Notes will dilute the ownership interests of existing stockholders to the extent we deliver shares of our common stock upon conversion of any of the Convertible Notes. The Convertible Notes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or anticipated conversion of the Convertible Notes into shares of our common stock could depress the price of our common stock.</w:t>
      </w:r>
    </w:p>
    <w:p>
      <w:pPr>
        <w:spacing w:after="0" w:line="16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The discontinuance of LIBOR and the replacement of LIBOR with an alternative reference rate may adversely affect our borrowing costs and could impact our business and results of operations.</w:t>
      </w:r>
    </w:p>
    <w:p>
      <w:pPr>
        <w:spacing w:after="0" w:line="157" w:lineRule="exact"/>
        <w:rPr>
          <w:sz w:val="20"/>
          <w:szCs w:val="20"/>
          <w:color w:val="auto"/>
        </w:rPr>
      </w:pPr>
    </w:p>
    <w:p>
      <w:pPr>
        <w:ind w:right="140" w:firstLine="623"/>
        <w:spacing w:after="0" w:line="257" w:lineRule="auto"/>
        <w:rPr>
          <w:sz w:val="20"/>
          <w:szCs w:val="20"/>
          <w:color w:val="auto"/>
        </w:rPr>
      </w:pPr>
      <w:r>
        <w:rPr>
          <w:rFonts w:ascii="Arial" w:cs="Arial" w:eastAsia="Arial" w:hAnsi="Arial"/>
          <w:sz w:val="17"/>
          <w:szCs w:val="17"/>
          <w:color w:val="auto"/>
        </w:rPr>
        <w:t>Certain of our credit agreements currently use LIBOR as a reference rate to calculate interest rates. The United Kingdom's Financial Conduct Authority, which regulates LIBOR, announced that it intends to phase out LIBOR, and most LIBOR tenors are not expected to be published after June 30, 2023. The U.S. Federal Reserve, in conjunction with the Alternative Reference Rates Committee, a steering committee comprised of large U.S. financial institutions, announced an alternative to U.S. dollar LIBOR with a new index calculated by short term repurchase agreements, backed by Treasury securities, called the Secured Overnight Financing Rate (SOFR). However, the market transition away from LIBOR is complicated, and there can be no assurance that SOFR will become a widely accepted benchmark in place of LIBOR.</w:t>
      </w:r>
    </w:p>
    <w:p>
      <w:pPr>
        <w:spacing w:after="0" w:line="162" w:lineRule="exact"/>
        <w:rPr>
          <w:sz w:val="20"/>
          <w:szCs w:val="20"/>
          <w:color w:val="auto"/>
        </w:rPr>
      </w:pPr>
    </w:p>
    <w:p>
      <w:pPr>
        <w:ind w:firstLine="623"/>
        <w:spacing w:after="0" w:line="271" w:lineRule="auto"/>
        <w:rPr>
          <w:sz w:val="20"/>
          <w:szCs w:val="20"/>
          <w:color w:val="auto"/>
        </w:rPr>
      </w:pPr>
      <w:r>
        <w:rPr>
          <w:rFonts w:ascii="Arial" w:cs="Arial" w:eastAsia="Arial" w:hAnsi="Arial"/>
          <w:sz w:val="16"/>
          <w:szCs w:val="16"/>
          <w:color w:val="auto"/>
        </w:rPr>
        <w:t>To address a potential transition away from LIBOR, the Term Loan Facility and ABL Line of Credit agreements each were amended in 2021 to provide for an agreed upon methodology to replace LIBOR with a SOFR-based rate (or, if a SOFR-based rate is unavailable, amend such agreements to substitute LIBOR with an agreed replacement rate), subject to our consent and the applicable administrative agent, and in each case subject to a short lender negative consent period. However, there is no guarantee that any such amendment to adopt a replacement rate would be agreed by the applicable agents and lenders or that such consents would be obtained, and in such event we would be required to pay a rate of interest higher than expected on the amount owed under such agreements where the interest rate is subject to LIBOR. We have also entered into LIBOR based interest rate swap agreements to manage our exposure to interest rate movements resulting from changes in the benchmark interest rate of LIBOR. Any replacement of LIBOR as the basis on which interest on our floating-rate debt and/or under our interest rate swaps is calculated may result in interest rates and/or payments that do not correlate over time with the interest rates and/or payments that would have been made on our obligations if LIBOR was available in its current form.</w:t>
      </w:r>
    </w:p>
    <w:p>
      <w:pPr>
        <w:spacing w:after="0" w:line="155" w:lineRule="exact"/>
        <w:rPr>
          <w:sz w:val="20"/>
          <w:szCs w:val="20"/>
          <w:color w:val="auto"/>
        </w:rPr>
      </w:pPr>
    </w:p>
    <w:p>
      <w:pPr>
        <w:jc w:val="both"/>
        <w:ind w:right="20" w:firstLine="623"/>
        <w:spacing w:after="0" w:line="294" w:lineRule="auto"/>
        <w:rPr>
          <w:sz w:val="20"/>
          <w:szCs w:val="20"/>
          <w:color w:val="auto"/>
        </w:rPr>
      </w:pPr>
      <w:r>
        <w:rPr>
          <w:rFonts w:ascii="Arial" w:cs="Arial" w:eastAsia="Arial" w:hAnsi="Arial"/>
          <w:sz w:val="16"/>
          <w:szCs w:val="16"/>
          <w:color w:val="auto"/>
        </w:rPr>
        <w:t>In addition, any further changes or reforms to the determination or supervision of LIBOR may result in a sudden or prolonged increase or decrease in reported LIBOR, any successor rate to SOFR under our Term Loan Facility and ABL Line of Credit agreements may not have the same characteristics as SOFR or LIBOR, and each of the foregoing could have a material adverse effect on our business, financial condition and results of operations.</w:t>
      </w:r>
    </w:p>
    <w:p>
      <w:pPr>
        <w:spacing w:after="0" w:line="13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57" w:lineRule="exact"/>
        <w:rPr>
          <w:sz w:val="20"/>
          <w:szCs w:val="20"/>
          <w:color w:val="auto"/>
        </w:rPr>
      </w:pPr>
    </w:p>
    <w:p>
      <w:pPr>
        <w:ind w:right="260" w:firstLine="618"/>
        <w:spacing w:after="0" w:line="248"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198" w:lineRule="exact"/>
        <w:rPr>
          <w:sz w:val="20"/>
          <w:szCs w:val="20"/>
          <w:color w:val="auto"/>
        </w:rPr>
      </w:pPr>
    </w:p>
    <w:p>
      <w:pPr>
        <w:ind w:right="80" w:firstLine="623"/>
        <w:spacing w:after="0" w:line="241" w:lineRule="auto"/>
        <w:rPr>
          <w:sz w:val="20"/>
          <w:szCs w:val="20"/>
          <w:color w:val="auto"/>
        </w:rPr>
      </w:pPr>
      <w:r>
        <w:rPr>
          <w:rFonts w:ascii="Arial" w:cs="Arial" w:eastAsia="Arial" w:hAnsi="Arial"/>
          <w:sz w:val="18"/>
          <w:szCs w:val="18"/>
          <w:color w:val="auto"/>
        </w:rPr>
        <w:t>The market price of our common stock has fluctuated substantially in the past and may continue to fluctuate significantly. For example, in Fiscal 2021, our stock price fluctuated from a high of $357.34 to a low of $206.70.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ind w:right="480"/>
        <w:spacing w:after="0" w:line="261" w:lineRule="auto"/>
        <w:rPr>
          <w:sz w:val="20"/>
          <w:szCs w:val="20"/>
          <w:color w:val="auto"/>
        </w:rPr>
      </w:pPr>
      <w:r>
        <w:rPr>
          <w:rFonts w:ascii="Arial" w:cs="Arial" w:eastAsia="Arial" w:hAnsi="Arial"/>
          <w:sz w:val="18"/>
          <w:szCs w:val="18"/>
          <w:color w:val="auto"/>
        </w:rPr>
        <w:t>addition, the stock market has experienced price and volume fluctuations that have affected the market price of many retail and other stocks that have often been unrelated or disproportionate to the operating performance of these companies.</w:t>
      </w:r>
    </w:p>
    <w:p>
      <w:pPr>
        <w:spacing w:after="0" w:line="157"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might discourage or delay acquisition attempts for us that stockholders might consider favorable.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amended and restated certificate of incorporation and amended and restated bylaws contain provisions that may make the acquisition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more difficult without the approval of our Board of Directors. These provisions:</w:t>
      </w:r>
    </w:p>
    <w:p>
      <w:pPr>
        <w:spacing w:after="0" w:line="290" w:lineRule="exact"/>
        <w:rPr>
          <w:sz w:val="20"/>
          <w:szCs w:val="20"/>
          <w:color w:val="auto"/>
        </w:rPr>
      </w:pPr>
    </w:p>
    <w:p>
      <w:pPr>
        <w:jc w:val="both"/>
        <w:ind w:left="102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27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30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265"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our Board of Directors is divided into three classes, with each class serving for staggered three-year terms, which prevents stockholders from electing an entirely new Board of Directors at an annual meeting;</w:t>
      </w:r>
    </w:p>
    <w:p>
      <w:pPr>
        <w:spacing w:after="0" w:line="241"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 and only upon the affirmative vote of at least 75% of the outstanding shares of our common stock;</w:t>
      </w:r>
    </w:p>
    <w:p>
      <w:pPr>
        <w:spacing w:after="0" w:line="26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30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alter or repeal our amended and restated bylaws; and</w:t>
      </w:r>
    </w:p>
    <w:p>
      <w:pPr>
        <w:spacing w:after="0" w:line="30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approval of holders of at least 75% of the outstanding shares of our voting common stock to amend the amended and restated bylaws and certain provisions of the amended and restated certificate of incorporation.</w:t>
      </w:r>
    </w:p>
    <w:p>
      <w:pPr>
        <w:spacing w:after="0" w:line="360" w:lineRule="exact"/>
        <w:rPr>
          <w:sz w:val="20"/>
          <w:szCs w:val="20"/>
          <w:color w:val="auto"/>
        </w:rPr>
      </w:pPr>
    </w:p>
    <w:p>
      <w:pPr>
        <w:ind w:right="280" w:firstLine="642"/>
        <w:spacing w:after="0" w:line="270" w:lineRule="auto"/>
        <w:rPr>
          <w:sz w:val="20"/>
          <w:szCs w:val="20"/>
          <w:color w:val="auto"/>
        </w:rPr>
      </w:pPr>
      <w:r>
        <w:rPr>
          <w:rFonts w:ascii="Arial" w:cs="Arial" w:eastAsia="Arial" w:hAnsi="Arial"/>
          <w:sz w:val="17"/>
          <w:szCs w:val="17"/>
          <w:color w:val="auto"/>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they choose or to cause us to take other corporate actions they desire.</w:t>
      </w:r>
    </w:p>
    <w:p>
      <w:pPr>
        <w:spacing w:after="0" w:line="150"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8" w:lineRule="exact"/>
        <w:rPr>
          <w:sz w:val="20"/>
          <w:szCs w:val="20"/>
          <w:color w:val="auto"/>
        </w:rPr>
      </w:pPr>
    </w:p>
    <w:p>
      <w:pPr>
        <w:ind w:right="200" w:firstLine="618"/>
        <w:spacing w:after="0" w:line="241"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(iv) any other action asserting a claim against us that is governed by the internal affairs doctrine.</w:t>
      </w:r>
    </w:p>
    <w:p>
      <w:pPr>
        <w:spacing w:after="0" w:line="176" w:lineRule="exact"/>
        <w:rPr>
          <w:sz w:val="20"/>
          <w:szCs w:val="20"/>
          <w:color w:val="auto"/>
        </w:rPr>
      </w:pPr>
    </w:p>
    <w:p>
      <w:pPr>
        <w:ind w:right="140" w:firstLine="618"/>
        <w:spacing w:after="0" w:line="276"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jc w:val="both"/>
        <w:ind w:right="540"/>
        <w:spacing w:after="0" w:line="248" w:lineRule="auto"/>
        <w:rPr>
          <w:sz w:val="20"/>
          <w:szCs w:val="20"/>
          <w:color w:val="auto"/>
        </w:rPr>
      </w:pPr>
      <w:r>
        <w:rPr>
          <w:rFonts w:ascii="Arial" w:cs="Arial" w:eastAsia="Arial" w:hAnsi="Arial"/>
          <w:sz w:val="18"/>
          <w:szCs w:val="18"/>
          <w:b w:val="1"/>
          <w:bCs w:val="1"/>
          <w:i w:val="1"/>
          <w:iCs w:val="1"/>
          <w:color w:val="auto"/>
        </w:rPr>
        <w:t>Because we do not intend to pay cash dividends in the near term, stockholders may not receive any return on investment unless they are able to sell their common stock for a price greater than their purchase price, and we cannot guarantee that we will continue to repurchase our common stock pursuant to our stock repurchase program.</w:t>
      </w:r>
    </w:p>
    <w:p>
      <w:pPr>
        <w:spacing w:after="0" w:line="168" w:lineRule="exact"/>
        <w:rPr>
          <w:sz w:val="20"/>
          <w:szCs w:val="20"/>
          <w:color w:val="auto"/>
        </w:rPr>
      </w:pPr>
    </w:p>
    <w:p>
      <w:pPr>
        <w:ind w:right="80" w:firstLine="618"/>
        <w:spacing w:after="0"/>
        <w:rPr>
          <w:sz w:val="20"/>
          <w:szCs w:val="20"/>
          <w:color w:val="auto"/>
        </w:rPr>
      </w:pPr>
      <w:r>
        <w:rPr>
          <w:rFonts w:ascii="Arial" w:cs="Arial" w:eastAsia="Arial" w:hAnsi="Arial"/>
          <w:sz w:val="18"/>
          <w:szCs w:val="18"/>
          <w:color w:val="auto"/>
        </w:rPr>
        <w:t>The continued operation and expansion of our business will require substantial funding. Accordingly, we do not anticipate that we will pay any cash dividends on shares of our common stock in the near term. Any determination to pay dividends in the future will be at the discretion of our Board of Directors and will depend upon results of operations, financial condition, contractual restrictions, including those under agreements governing our existing indebtedness, any potential future indebtedness we may incur, restrictions imposed by applicable law and other factors our Board of Directors deems relevant. Accordingly, if stockholders purchase shares of our common stock, a gain on investment will depend on an increase in the price of our stock, which may never occur.</w:t>
      </w:r>
    </w:p>
    <w:p>
      <w:pPr>
        <w:spacing w:after="0" w:line="176" w:lineRule="exact"/>
        <w:rPr>
          <w:sz w:val="20"/>
          <w:szCs w:val="20"/>
          <w:color w:val="auto"/>
        </w:rPr>
      </w:pPr>
    </w:p>
    <w:p>
      <w:pPr>
        <w:jc w:val="both"/>
        <w:ind w:right="220" w:firstLine="618"/>
        <w:spacing w:after="0" w:line="248" w:lineRule="auto"/>
        <w:rPr>
          <w:sz w:val="20"/>
          <w:szCs w:val="20"/>
          <w:color w:val="auto"/>
        </w:rPr>
      </w:pPr>
      <w:r>
        <w:rPr>
          <w:rFonts w:ascii="Arial" w:cs="Arial" w:eastAsia="Arial" w:hAnsi="Arial"/>
          <w:sz w:val="18"/>
          <w:szCs w:val="18"/>
          <w:color w:val="auto"/>
        </w:rPr>
        <w:t>Furthermore, although our Board of Directors has authorized a share repurchase program, we are not obligated to make any purchases under the program and we may discontinue it at any time. For example, during Fiscal 2020 we temporarily suspended our share repurchase program in response to uncertainty caused by the COVID-19 pandemic.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executives or other key personnel may disrupt our business and adversely affect our financial results.</w:t>
      </w:r>
    </w:p>
    <w:p>
      <w:pPr>
        <w:spacing w:after="0" w:line="198" w:lineRule="exact"/>
        <w:rPr>
          <w:sz w:val="20"/>
          <w:szCs w:val="20"/>
          <w:color w:val="auto"/>
        </w:rPr>
      </w:pPr>
    </w:p>
    <w:p>
      <w:pPr>
        <w:ind w:right="100" w:firstLine="618"/>
        <w:spacing w:after="0" w:line="262" w:lineRule="auto"/>
        <w:rPr>
          <w:sz w:val="20"/>
          <w:szCs w:val="20"/>
          <w:color w:val="auto"/>
        </w:rPr>
      </w:pPr>
      <w:r>
        <w:rPr>
          <w:rFonts w:ascii="Arial" w:cs="Arial" w:eastAsia="Arial" w:hAnsi="Arial"/>
          <w:sz w:val="17"/>
          <w:szCs w:val="17"/>
          <w:color w:val="auto"/>
        </w:rPr>
        <w:t>We depend on the contributions of key personnel in various functions for our continued success. These executives and other key personnel may be hired by our competitors, some of which have considerably more financial resources than we do. The loss of key personnel, or the inability to hire, train, motivate and retain qualified employees, or changes to our organizational structure, operating results, or business model that adversely affect morale or retention, could adversely affect our business, financial condition and results of operations.</w:t>
      </w:r>
    </w:p>
    <w:p>
      <w:pPr>
        <w:spacing w:after="0" w:line="361" w:lineRule="exact"/>
        <w:rPr>
          <w:sz w:val="20"/>
          <w:szCs w:val="20"/>
          <w:color w:val="auto"/>
        </w:rPr>
      </w:pPr>
    </w:p>
    <w:p>
      <w:pPr>
        <w:ind w:right="140" w:firstLine="618"/>
        <w:spacing w:after="0" w:line="284" w:lineRule="auto"/>
        <w:rPr>
          <w:sz w:val="20"/>
          <w:szCs w:val="20"/>
          <w:color w:val="auto"/>
        </w:rPr>
      </w:pPr>
      <w:r>
        <w:rPr>
          <w:rFonts w:ascii="Arial" w:cs="Arial" w:eastAsia="Arial" w:hAnsi="Arial"/>
          <w:sz w:val="16"/>
          <w:szCs w:val="16"/>
          <w:color w:val="auto"/>
        </w:rPr>
        <w:t>Effective succession planning is also a key factor for our success. Our failure to enable the effective transfer of knowledge and facilitate smooth transitions with regard to key personnel could adversely affect our strategic planning and execution and negatively affect our business, financial condition and results of operations. If we fail to enable the effective transfer of knowledge and facilitate smooth transitions for key personnel, the operating results and future growth for our business could be adversely affected, and the morale and productivity of the workforce could be disrupted.</w:t>
      </w:r>
    </w:p>
    <w:p>
      <w:pPr>
        <w:spacing w:after="0" w:line="3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57" w:lineRule="exact"/>
        <w:rPr>
          <w:sz w:val="20"/>
          <w:szCs w:val="20"/>
          <w:color w:val="auto"/>
        </w:rPr>
      </w:pPr>
    </w:p>
    <w:p>
      <w:pPr>
        <w:ind w:right="260" w:firstLine="618"/>
        <w:spacing w:after="0" w:line="262" w:lineRule="auto"/>
        <w:rPr>
          <w:sz w:val="20"/>
          <w:szCs w:val="20"/>
          <w:color w:val="auto"/>
        </w:rPr>
      </w:pPr>
      <w:r>
        <w:rPr>
          <w:rFonts w:ascii="Arial" w:cs="Arial" w:eastAsia="Arial" w:hAnsi="Arial"/>
          <w:sz w:val="17"/>
          <w:szCs w:val="17"/>
          <w:color w:val="auto"/>
        </w:rPr>
        <w:t>Generally accepted accounting principles and related accounting pronouncements, implementation guidelines and interpretations with regard to a wide range of matters that are relevant to our business, such as inventories, leases, and self-insurance reserves,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impacted as a result of actions by activist stockholders or others.</w:t>
      </w:r>
    </w:p>
    <w:p>
      <w:pPr>
        <w:spacing w:after="0" w:line="198"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From time to time, we may be subject to legal and business challenges in the operation of our Company due to stockholder proposals, media campaigns, proxy contests, and other such actions instituted by activist stockholders or others. Responding to such actions could be costly and time-consuming, disrupt our operations, may not align with our business strategies and could divert the attention of our Board of Directors and senior management from the pursuit of current business strategies. Perceived uncertainties as to our future direction as a result of stockholder activism or potential changes to the composition of the Board of Directors may lead to the perception of a change in the direction of the business or other instability, and may make it more difficult to attract and retain qualified personnel and business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own the land and/or buildings for 30 of our stores and have leases for 810 of our stores. Our new stores are generally leased for an initial term of ten years, the majority of which are subject to our option to renew such leases for several additional five-year periods. Store leases generally provide for fixed monthly rental payments, plus the payment, in most cases, of real estate taxes and other charges with escalation clauses. In many locations, our store leases contain formulas providing for the payment of additional rent based on sales. Most of our stores are freestanding or located in regional power centers, strip shopping centers or in malls.</w:t>
      </w:r>
    </w:p>
    <w:p>
      <w:pPr>
        <w:spacing w:after="0" w:line="189"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own approximately 235 acres of land in Burlington and Florence, New Jersey on which we have constructed our corporate campus, which includes our corporate headquarters and a warehouse facility. We own approximately 43 acres of land in Edgewater Park, New Jersey on which we have constructed our Edgewater Park, New Jersey distribution center and an office facility.</w:t>
      </w:r>
    </w:p>
    <w:p>
      <w:pPr>
        <w:spacing w:after="0" w:line="182"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During Fiscal 2021, we expanded our existing 35,000 square feet of leased space in our east coast buying office in New York City by an additional 33,000 square feet, and early in Fiscal 2022, we expanded our existing 25,000 square feet of leased space in our west coast buying office in Los Angeles, California by an additional 25,000 square feet.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described in Item 1, Business, we currently operate multiple distribution centers and warehousing facilities.</w:t>
      </w:r>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Like many retailers, the Company has been named in potential class or collective actions on behalf of groups alleging violations of federal and state wage and hour and other labor statutes, and alleged violation of state consumer and/or privacy protection and other statutes. In the normal course of business, we are also party to representative claims under the California Private Attorneys’ General Act and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Refer to Note 16 to our Consolidated Financial Statements, “Commitments and Contingencies,” for further detail.</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New York Stock Exchange under the symbol “BURL.”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As of February 26, 2022, we had 217 holders of record of our common stock. This figure does not include the significantly greater number of beneficial holders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During the past two fiscal years, 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Any determination to pay dividends in the future will be at the discretion of our Board of Directors and will depend upon results of operations, financial condition, contractual restrictions, including those under agreements governing our existing indebtedness, or any potential future indebtedness we may incur, restrictions imposed by applicable law, capital requirements and other factors our Board of Directors deems relevant.</w:t>
      </w:r>
    </w:p>
    <w:p>
      <w:pPr>
        <w:spacing w:after="0" w:line="18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0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The performance graph below and related information shall not be deemed “soliciting material” or to be “filed” with the SEC for purposes of Section 18 of the Exchange Act, or otherwise subject to the liabilities under that Section, and shall not be deemed to be incorporated by reference into any future filing under the Securities Act or the Exchange Act, except to the extent that we specifically incorporate it by reference into such filing.</w:t>
      </w:r>
    </w:p>
    <w:p>
      <w:pPr>
        <w:spacing w:after="0" w:line="14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graph compares the cumulative total stockholder return on our common stock from the closing prices as of the end of each fiscal year from January 28, 2017 through January 29, 2022, with the return on the Standard &amp; Poor’s (S&amp;P) 500 Index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and the S&amp;P Retailing Index over the same period. This graph assumes an initial investment of $100 and assumes the reinvestment of dividends, if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133350</wp:posOffset>
            </wp:positionV>
            <wp:extent cx="4980305" cy="3728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030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8"/>
              </w:rPr>
              <w:t>Base Period</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Indexed Returns for Fiscal Years Ended</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 / Index</w:t>
            </w:r>
          </w:p>
        </w:tc>
        <w:tc>
          <w:tcPr>
            <w:tcW w:w="100" w:type="dxa"/>
            <w:vAlign w:val="bottom"/>
          </w:tcPr>
          <w:p>
            <w:pPr>
              <w:spacing w:after="0"/>
              <w:rPr>
                <w:sz w:val="11"/>
                <w:szCs w:val="11"/>
                <w:color w:val="auto"/>
              </w:rPr>
            </w:pPr>
          </w:p>
        </w:tc>
        <w:tc>
          <w:tcPr>
            <w:tcW w:w="8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January 28,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5"/>
              </w:rPr>
              <w:t>February 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2"/>
              </w:rPr>
              <w:t>February 2,</w:t>
            </w:r>
          </w:p>
        </w:tc>
        <w:tc>
          <w:tcPr>
            <w:tcW w:w="180" w:type="dxa"/>
            <w:vAlign w:val="bottom"/>
          </w:tcPr>
          <w:p>
            <w:pPr>
              <w:spacing w:after="0"/>
              <w:rPr>
                <w:sz w:val="11"/>
                <w:szCs w:val="11"/>
                <w:color w:val="auto"/>
              </w:rPr>
            </w:pPr>
          </w:p>
        </w:tc>
        <w:tc>
          <w:tcPr>
            <w:tcW w:w="940" w:type="dxa"/>
            <w:vAlign w:val="bottom"/>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1"/>
                <w:szCs w:val="11"/>
                <w:color w:val="auto"/>
              </w:rPr>
            </w:pPr>
          </w:p>
        </w:tc>
        <w:tc>
          <w:tcPr>
            <w:tcW w:w="960" w:type="dxa"/>
            <w:vAlign w:val="bottom"/>
            <w:gridSpan w:val="2"/>
          </w:tcPr>
          <w:p>
            <w:pPr>
              <w:jc w:val="right"/>
              <w:ind w:right="55"/>
              <w:spacing w:after="0" w:line="133" w:lineRule="exact"/>
              <w:rPr>
                <w:sz w:val="20"/>
                <w:szCs w:val="20"/>
                <w:color w:val="auto"/>
              </w:rPr>
            </w:pPr>
            <w:r>
              <w:rPr>
                <w:rFonts w:ascii="Arial" w:cs="Arial" w:eastAsia="Arial" w:hAnsi="Arial"/>
                <w:sz w:val="14"/>
                <w:szCs w:val="14"/>
                <w:b w:val="1"/>
                <w:bCs w:val="1"/>
                <w:color w:val="auto"/>
              </w:rPr>
              <w:t>January 30,</w:t>
            </w:r>
          </w:p>
        </w:tc>
        <w:tc>
          <w:tcPr>
            <w:tcW w:w="140" w:type="dxa"/>
            <w:vAlign w:val="bottom"/>
          </w:tcPr>
          <w:p>
            <w:pPr>
              <w:spacing w:after="0"/>
              <w:rPr>
                <w:sz w:val="11"/>
                <w:szCs w:val="11"/>
                <w:color w:val="auto"/>
              </w:rPr>
            </w:pPr>
          </w:p>
        </w:tc>
        <w:tc>
          <w:tcPr>
            <w:tcW w:w="940" w:type="dxa"/>
            <w:vAlign w:val="bottom"/>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January 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Burlington Stores, Inc.</w:t>
            </w: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143.06</w:t>
            </w: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212.42</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268.78</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307.63</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S&amp;P 500 Index</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120.37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117.95</w:t>
            </w:r>
          </w:p>
        </w:tc>
        <w:tc>
          <w:tcPr>
            <w:tcW w:w="4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140.56</w:t>
            </w:r>
          </w:p>
        </w:tc>
        <w:tc>
          <w:tcPr>
            <w:tcW w:w="3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161.86</w:t>
            </w:r>
          </w:p>
        </w:tc>
        <w:tc>
          <w:tcPr>
            <w:tcW w:w="3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193.14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S&amp;P Retailing Index</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139.89</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150.18</w:t>
            </w:r>
          </w:p>
        </w:tc>
        <w:tc>
          <w:tcPr>
            <w:tcW w:w="40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179.48</w:t>
            </w:r>
          </w:p>
        </w:tc>
        <w:tc>
          <w:tcPr>
            <w:tcW w:w="36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252.16</w:t>
            </w:r>
          </w:p>
        </w:tc>
        <w:tc>
          <w:tcPr>
            <w:tcW w:w="36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265.45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information regarding our purchases of common stock during the three fiscal months ended January 29,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Approximate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3"/>
              </w:rPr>
              <w:t>Dollar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of Shares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Average Price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4"/>
              </w:rPr>
              <w:t>Under the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Plans or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Paid Per</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Programs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0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Share(2)</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October 31, 2021 through November 27, 2021</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290.91</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249,990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November 28, 2021 through January 1, 2022</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344,776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290.30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344,492</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
              <w:spacing w:after="0" w:line="202" w:lineRule="exact"/>
              <w:rPr>
                <w:sz w:val="20"/>
                <w:szCs w:val="20"/>
                <w:color w:val="auto"/>
              </w:rPr>
            </w:pPr>
            <w:r>
              <w:rPr>
                <w:rFonts w:ascii="Arial" w:cs="Arial" w:eastAsia="Arial" w:hAnsi="Arial"/>
                <w:sz w:val="18"/>
                <w:szCs w:val="18"/>
                <w:color w:val="auto"/>
              </w:rPr>
              <w:t>149,984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January 2, 2022 through January 29, 2022</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right w:val="single" w:sz="8" w:color="CFF0FC"/>
            </w:tcBorders>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149,984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344,931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344,492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920" w:type="dxa"/>
            <w:vAlign w:val="bottom"/>
          </w:tcPr>
          <w:p>
            <w:pPr>
              <w:spacing w:after="0"/>
              <w:rPr>
                <w:sz w:val="6"/>
                <w:szCs w:val="6"/>
                <w:color w:val="auto"/>
              </w:rPr>
            </w:pPr>
          </w:p>
        </w:tc>
        <w:tc>
          <w:tcPr>
            <w:tcW w:w="1200" w:type="dxa"/>
            <w:vAlign w:val="bottom"/>
            <w:gridSpan w:val="2"/>
            <w:vMerge w:val="restart"/>
          </w:tcPr>
          <w:p>
            <w:pPr>
              <w:jc w:val="right"/>
              <w:ind w:right="559"/>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-708025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-708025</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ind w:left="1020" w:right="6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purchased between October 31, 2021 and November 27, 2021, and between November 28, 2021 and January 1, 2022 include 155 shares and 284 shares, respectively, which were withheld for tax payments due upon the vesting of employee restricted stock awards, and do not reduce the dollar value that may yet be purchased under our publicly announced share repurchase programs. There were no shares repurchased between January 2, 2022 and January 29, 2022.</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commissions for the shares repurchased under our publicly announced share repurchase programs.</w:t>
      </w:r>
    </w:p>
    <w:p>
      <w:pPr>
        <w:spacing w:after="0" w:line="306"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August 18, 2021, our Board of Directors authorized the repurchase of up to $400.0 million of common stock, which is authorized to be executed through August 2023. Subsequent to January 29, 2022 (February 16, 2022), our Board of Directors authorized the repurchase of up to $500.0 million of common stock, which is authorized to be executed through February 2024. For a further discussion of our share repurchase programs, see “Part II, Item 7. Management’s Discussion and Analysis of Financial Condition and Results of Operations— Liquidity and Capital Resources—Share Repurchase Programs.”</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i w:val="1"/>
          <w:iCs w:val="1"/>
          <w:color w:val="auto"/>
        </w:rPr>
        <w:t>For purposes of the following “Management’s Discussion and Analysis of Financial Condition and Results of Operations,” unless the context requires otherwise, references to “the Company,” “we,” “our,” or “us” refer to Burlington Stores, Inc. and its consolidated subsidiaries.</w:t>
      </w:r>
    </w:p>
    <w:p>
      <w:pPr>
        <w:spacing w:after="0" w:line="147"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our Consolidated Financial Statements, including the notes thereto, appearing elsewhere in this Annual Report.</w:t>
      </w:r>
    </w:p>
    <w:p>
      <w:pPr>
        <w:spacing w:after="0" w:line="182"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set forth under the caption above entitled “Cautionary Statement Regarding Forward-Looking Statements.” Our actual results or other events and the timing of events may differ materially from those anticipated in these forward-looking statements as a result of various factors, including those set forth in Item 1A, Risk Factors and elsewhere in this Annual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a nationally recognized off-price retailer of high-quality, branded merchandise at everyday low prices. We opened our first store in Burlington, New Jersey in 1972, selling primarily coats and outerwear. Since then, we have expanded our store base to 840 stores as of January 29, 2022 in 45 states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nationally-recognized manufacturers and other suppliers.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44" w:lineRule="exact"/>
        <w:rPr>
          <w:sz w:val="20"/>
          <w:szCs w:val="20"/>
          <w:color w:val="auto"/>
        </w:rPr>
      </w:pPr>
    </w:p>
    <w:p>
      <w:pPr>
        <w:ind w:right="60" w:firstLine="849"/>
        <w:spacing w:after="0" w:line="279" w:lineRule="auto"/>
        <w:rPr>
          <w:sz w:val="20"/>
          <w:szCs w:val="20"/>
          <w:color w:val="auto"/>
        </w:rPr>
      </w:pPr>
      <w:r>
        <w:rPr>
          <w:rFonts w:ascii="Arial" w:cs="Arial" w:eastAsia="Arial" w:hAnsi="Arial"/>
          <w:sz w:val="16"/>
          <w:szCs w:val="16"/>
          <w:color w:val="auto"/>
        </w:rPr>
        <w:t>On March 11, 2020, the World Health Organization declared the novel coronavirus (known as COVID-19) outbreak to be a global pandemic. As a result, we began the temporary closing of some of our stores, and effective March 22, 2020, we made the decision to temporarily close all of our stores, distribution centers (other than processing of received inventory) and corporate offices to combat the rapid spread of COVID-19. These developments caused significant disruptions to our business and had a significant adverse impact on our financial condition, results of operations and cash flows. We began re-opening stores on May 11, 2020, with substantially all stores re-opened by the end of the second quarter of Fiscal 2020.</w:t>
      </w:r>
    </w:p>
    <w:p>
      <w:pPr>
        <w:spacing w:after="0" w:line="146" w:lineRule="exact"/>
        <w:rPr>
          <w:sz w:val="20"/>
          <w:szCs w:val="20"/>
          <w:color w:val="auto"/>
        </w:rPr>
      </w:pPr>
    </w:p>
    <w:p>
      <w:pPr>
        <w:ind w:right="180" w:firstLine="849"/>
        <w:spacing w:after="0" w:line="259" w:lineRule="auto"/>
        <w:rPr>
          <w:sz w:val="20"/>
          <w:szCs w:val="20"/>
          <w:color w:val="auto"/>
        </w:rPr>
      </w:pPr>
      <w:r>
        <w:rPr>
          <w:rFonts w:ascii="Arial" w:cs="Arial" w:eastAsia="Arial" w:hAnsi="Arial"/>
          <w:sz w:val="17"/>
          <w:szCs w:val="17"/>
          <w:color w:val="auto"/>
        </w:rPr>
        <w:t>In response to the COVID-19 pandemic and the temporary closing of our stores, we provided two weeks of financial support to associates impacted by these store closures and by the shutdown of distribution centers. We temporarily furloughed most store and distribution center associates, as well as some corporate associates, but continued to provide benefits to furloughed associates in accordance with our benefit plans. In addition, we paid 100% of their medical benefit premiums during the period they were furloughed. During the second quarter of Fiscal 2020, we recalled all furloughed associates at our re-opened stores, as well as our corporate and distribution facilities.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order to maintain maximum financial flexibility during the pandemic, we completed several debt transactions in the first quarter of Fiscal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“Long Term Debt,” for further discussion regarding these debt transactions.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Additionally, we took the following steps to further enhance our financial flexibility:</w:t>
      </w:r>
    </w:p>
    <w:p>
      <w:pPr>
        <w:spacing w:after="0" w:line="212" w:lineRule="exact"/>
        <w:rPr>
          <w:sz w:val="20"/>
          <w:szCs w:val="20"/>
          <w:color w:val="auto"/>
        </w:rPr>
      </w:pPr>
    </w:p>
    <w:p>
      <w:pPr>
        <w:ind w:left="1340" w:right="60" w:hanging="374"/>
        <w:spacing w:after="0" w:line="224"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Carefully managed operating expenses, working capital and capital expenditures, including ceasing substantially all buying activities while stores were closed. We subsequently resumed our buying activities, while continuing our conservative approach toward operating expenses and capital expenditures.</w:t>
      </w:r>
    </w:p>
    <w:p>
      <w:pPr>
        <w:spacing w:after="0" w:line="149" w:lineRule="exact"/>
        <w:rPr>
          <w:rFonts w:ascii="Arial" w:cs="Arial" w:eastAsia="Arial" w:hAnsi="Arial"/>
          <w:sz w:val="18"/>
          <w:szCs w:val="18"/>
          <w:color w:val="auto"/>
        </w:rPr>
      </w:pPr>
    </w:p>
    <w:p>
      <w:pPr>
        <w:ind w:left="1340" w:hanging="374"/>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Negotiated rent deferral agreements with landlords, which are substantially complete as of the end of Fiscal 2021.</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9" w:name="page30"/>
    <w:bookmarkEnd w:id="29"/>
    <w:p>
      <w:pPr>
        <w:ind w:left="1340" w:hanging="37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Suspended our share repurchase program, which resumed during the third quarter of Fiscal 2021.</w:t>
      </w:r>
    </w:p>
    <w:p>
      <w:pPr>
        <w:spacing w:after="0" w:line="171" w:lineRule="exact"/>
        <w:rPr>
          <w:rFonts w:ascii="Arial" w:cs="Arial" w:eastAsia="Arial" w:hAnsi="Arial"/>
          <w:sz w:val="18"/>
          <w:szCs w:val="18"/>
          <w:color w:val="auto"/>
        </w:rPr>
      </w:pPr>
    </w:p>
    <w:p>
      <w:pPr>
        <w:ind w:left="1340" w:right="320" w:hanging="374"/>
        <w:spacing w:after="0" w:line="259"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CEO voluntarily agreed to not take a salary, our Board of Directors voluntarily forfeited their cash compensation, our executive leadership team voluntarily agreed to decrease their salary by 50% and smaller salary reductions were temporarily put in place for all associates through a certain level. This compensation was reinstated once substantially all of our stores re-opened.</w:t>
      </w:r>
    </w:p>
    <w:p>
      <w:pPr>
        <w:spacing w:after="0" w:line="200" w:lineRule="exact"/>
        <w:rPr>
          <w:rFonts w:ascii="Arial" w:cs="Arial" w:eastAsia="Arial" w:hAnsi="Arial"/>
          <w:sz w:val="16"/>
          <w:szCs w:val="16"/>
          <w:color w:val="auto"/>
        </w:rPr>
      </w:pPr>
    </w:p>
    <w:p>
      <w:pPr>
        <w:ind w:left="1340" w:right="220" w:hanging="374"/>
        <w:spacing w:after="0" w:line="235"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 incentive bonus payments related to Fiscal 2019 performance were delayed to the second quarter of Fiscal 2020, and merit pay increases for Fiscal 2020 were delayed to the third quarter of Fiscal 2020.</w:t>
      </w:r>
    </w:p>
    <w:p>
      <w:pPr>
        <w:spacing w:after="0" w:line="189" w:lineRule="exact"/>
        <w:rPr>
          <w:sz w:val="20"/>
          <w:szCs w:val="20"/>
          <w:color w:val="auto"/>
        </w:rPr>
      </w:pPr>
    </w:p>
    <w:p>
      <w:pPr>
        <w:ind w:right="140" w:firstLine="578"/>
        <w:spacing w:after="0" w:line="294" w:lineRule="auto"/>
        <w:rPr>
          <w:sz w:val="20"/>
          <w:szCs w:val="20"/>
          <w:color w:val="auto"/>
        </w:rPr>
      </w:pPr>
      <w:r>
        <w:rPr>
          <w:rFonts w:ascii="Arial" w:cs="Arial" w:eastAsia="Arial" w:hAnsi="Arial"/>
          <w:sz w:val="16"/>
          <w:szCs w:val="16"/>
          <w:color w:val="auto"/>
        </w:rPr>
        <w:t>Due to the aging of inventory related to the temporary store closures discussed above, as well as the impact of seasonality on our merchandise, we recognized inventory markdown reserves of $271.9 million during the three month period ended May 2, 2020. These reserves covered markdowns taken during the second quarter of Fiscal 2020. These charges were included in “Cost of sales” on our Consolidated Statement of Income (Loss).</w:t>
      </w:r>
    </w:p>
    <w:p>
      <w:pPr>
        <w:spacing w:after="0" w:line="134" w:lineRule="exact"/>
        <w:rPr>
          <w:sz w:val="20"/>
          <w:szCs w:val="20"/>
          <w:color w:val="auto"/>
        </w:rPr>
      </w:pPr>
    </w:p>
    <w:p>
      <w:pPr>
        <w:ind w:right="180" w:firstLine="578"/>
        <w:spacing w:after="0" w:line="243"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which provided emergency economic assistance for American workers, families and businesses affected by the COVID-19 pandemic. As a result of amending prior returns to carry back the federal net operating loss generated on the Fiscal 2020 tax return, we expect to obtain a one-time tax refund of $245.5 million, which is included in the line item “Prepaid and other current assets” on our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Openings, Closings and Relocations</w:t>
      </w:r>
    </w:p>
    <w:p>
      <w:pPr>
        <w:spacing w:after="0" w:line="104"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During Fiscal 2021, we opened 101 new stores, inclusive of 17 relocations, and closed five stores, exclusive of the aforementioned relocations, bringing our store count as of January 29, 2022 to 840 stores. We continue to pursue our growth plans and invest in capital projects that meet our financial</w:t>
      </w:r>
    </w:p>
    <w:p>
      <w:pPr>
        <w:ind w:right="1020"/>
        <w:spacing w:after="0" w:line="277" w:lineRule="auto"/>
        <w:rPr>
          <w:sz w:val="20"/>
          <w:szCs w:val="20"/>
          <w:color w:val="auto"/>
        </w:rPr>
      </w:pPr>
      <w:r>
        <w:rPr>
          <w:rFonts w:ascii="Arial" w:cs="Arial" w:eastAsia="Arial" w:hAnsi="Arial"/>
          <w:sz w:val="18"/>
          <w:szCs w:val="18"/>
          <w:color w:val="auto"/>
        </w:rPr>
        <w:t>requirements. During the fiscal year ending January 28, 2023 (Fiscal 2022), we plan to open approximately 90 net new stores, which includes approximately 120 gross new stores, along with approximately 30 store relocations and closings.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Initiatives for Fiscal 2022</w:t>
      </w:r>
    </w:p>
    <w:p>
      <w:pPr>
        <w:spacing w:after="0" w:line="108" w:lineRule="exact"/>
        <w:rPr>
          <w:sz w:val="20"/>
          <w:szCs w:val="20"/>
          <w:color w:val="auto"/>
        </w:rPr>
      </w:pPr>
    </w:p>
    <w:p>
      <w:pPr>
        <w:ind w:firstLine="584"/>
        <w:spacing w:after="0" w:line="248" w:lineRule="auto"/>
        <w:rPr>
          <w:sz w:val="20"/>
          <w:szCs w:val="20"/>
          <w:color w:val="auto"/>
        </w:rPr>
      </w:pPr>
      <w:r>
        <w:rPr>
          <w:rFonts w:ascii="Arial" w:cs="Arial" w:eastAsia="Arial" w:hAnsi="Arial"/>
          <w:sz w:val="18"/>
          <w:szCs w:val="18"/>
          <w:color w:val="auto"/>
        </w:rPr>
        <w:t>Since the beginning of the COVID-19 pandemic, protecting the health and safety of our customers, associates, and the communities that we serve has been our top priority. Accordingly, we moved quickly to close our stores, distribution centers, and corporate offices in March 2020. As we’ve re-opened our stores and distribution centers, we continue to keep health and safety as a top priority.</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continue to focus on a number of ongoing initiatives aimed at increasing our overall profitability. These initiatives include, but are not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04" w:lineRule="exact"/>
        <w:rPr>
          <w:sz w:val="20"/>
          <w:szCs w:val="20"/>
          <w:color w:val="auto"/>
        </w:rPr>
      </w:pPr>
    </w:p>
    <w:p>
      <w:pPr>
        <w:ind w:left="1540" w:right="40" w:hanging="514"/>
        <w:spacing w:after="0" w:line="248"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More Effectively Chasing the Sales Trend. </w:t>
      </w:r>
      <w:r>
        <w:rPr>
          <w:rFonts w:ascii="Arial" w:cs="Arial" w:eastAsia="Arial" w:hAnsi="Arial"/>
          <w:sz w:val="18"/>
          <w:szCs w:val="18"/>
          <w:color w:val="auto"/>
        </w:rPr>
        <w:t>We plan sales using conservative comparable stores sales growth, holding and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closely analyzing the sales trend by business, and remaining ready to chase that trend. We believe that these actions will also allow us to take more advantage of great opportunistic buys.</w:t>
      </w:r>
    </w:p>
    <w:p>
      <w:pPr>
        <w:spacing w:after="0" w:line="73" w:lineRule="exact"/>
        <w:rPr>
          <w:rFonts w:ascii="Arial" w:cs="Arial" w:eastAsia="Arial" w:hAnsi="Arial"/>
          <w:sz w:val="18"/>
          <w:szCs w:val="18"/>
          <w:color w:val="auto"/>
        </w:rPr>
      </w:pPr>
    </w:p>
    <w:p>
      <w:pPr>
        <w:jc w:val="both"/>
        <w:ind w:left="1540" w:right="360" w:hanging="514"/>
        <w:spacing w:after="0" w:line="270" w:lineRule="auto"/>
        <w:tabs>
          <w:tab w:leader="none" w:pos="15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Operating with Leaner Inventories. </w:t>
      </w:r>
      <w:r>
        <w:rPr>
          <w:rFonts w:ascii="Arial" w:cs="Arial" w:eastAsia="Arial" w:hAnsi="Arial"/>
          <w:sz w:val="17"/>
          <w:szCs w:val="17"/>
          <w:color w:val="auto"/>
        </w:rPr>
        <w:t>We are planning to carry less inventory in our stores going forward, which we believe should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customer finding a higher mix of fresh receipts and great merchandise values. We believe that this should drive faster turns and lower markdowns, while simultaneously improving our customers’ shopping experience.</w:t>
      </w:r>
    </w:p>
    <w:p>
      <w:pPr>
        <w:spacing w:after="0" w:line="55" w:lineRule="exact"/>
        <w:rPr>
          <w:rFonts w:ascii="Arial" w:cs="Arial" w:eastAsia="Arial" w:hAnsi="Arial"/>
          <w:sz w:val="17"/>
          <w:szCs w:val="17"/>
          <w:color w:val="auto"/>
        </w:rPr>
      </w:pPr>
    </w:p>
    <w:p>
      <w:pPr>
        <w:ind w:left="1540" w:right="180" w:hanging="514"/>
        <w:spacing w:after="0" w:line="243"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Making a Greater Investment in Merchandising Capabilities. </w:t>
      </w:r>
      <w:r>
        <w:rPr>
          <w:rFonts w:ascii="Arial" w:cs="Arial" w:eastAsia="Arial" w:hAnsi="Arial"/>
          <w:sz w:val="18"/>
          <w:szCs w:val="18"/>
          <w:color w:val="auto"/>
        </w:rPr>
        <w:t>We intend to invest in incremental headcount, especially in growing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under-developed businesses, training and coaching, improved tools and reporting, and other forms of merchant support. We believe that these investments should improve our ability to develop vendor relationships, source great merchandise buys, more accurately assess value, and better forecast and chase the sales trend.</w:t>
      </w:r>
    </w:p>
    <w:p>
      <w:pPr>
        <w:spacing w:after="0" w:line="79" w:lineRule="exact"/>
        <w:rPr>
          <w:rFonts w:ascii="Arial" w:cs="Arial" w:eastAsia="Arial" w:hAnsi="Arial"/>
          <w:sz w:val="18"/>
          <w:szCs w:val="18"/>
          <w:color w:val="auto"/>
        </w:rPr>
      </w:pPr>
    </w:p>
    <w:p>
      <w:pPr>
        <w:ind w:left="1540" w:right="280" w:hanging="514"/>
        <w:spacing w:after="0" w:line="261"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Enhancing Existing Categories and Introducing New Categories. </w:t>
      </w:r>
      <w:r>
        <w:rPr>
          <w:rFonts w:ascii="Arial" w:cs="Arial" w:eastAsia="Arial" w:hAnsi="Arial"/>
          <w:sz w:val="18"/>
          <w:szCs w:val="18"/>
          <w:color w:val="auto"/>
        </w:rPr>
        <w:t>We have opportunities to expand the depth and breadth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categories, such as ladies’ apparel, children’s products, bath and cosmetic merchandise,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left="1540" w:right="200"/>
        <w:spacing w:after="0" w:line="261" w:lineRule="auto"/>
        <w:rPr>
          <w:sz w:val="20"/>
          <w:szCs w:val="20"/>
          <w:color w:val="auto"/>
        </w:rPr>
      </w:pPr>
      <w:r>
        <w:rPr>
          <w:rFonts w:ascii="Arial" w:cs="Arial" w:eastAsia="Arial" w:hAnsi="Arial"/>
          <w:sz w:val="18"/>
          <w:szCs w:val="18"/>
          <w:color w:val="auto"/>
        </w:rPr>
        <w:t>housewares, décor for the home and beauty as we continue to de-weather our business, and maintain the flexibility to introduce new categories as we expand our merchandising capabilities.</w:t>
      </w:r>
    </w:p>
    <w:p>
      <w:pPr>
        <w:spacing w:after="0" w:line="16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Expanding and Enhancing Our Retail Store Base.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04" w:lineRule="exact"/>
        <w:rPr>
          <w:sz w:val="20"/>
          <w:szCs w:val="20"/>
          <w:color w:val="auto"/>
        </w:rPr>
      </w:pPr>
    </w:p>
    <w:p>
      <w:pPr>
        <w:ind w:left="1540" w:right="60" w:hanging="514"/>
        <w:spacing w:after="0" w:line="243"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Adhering to a Market Focused and Financially Disciplined Real Estate Strategy. </w:t>
      </w:r>
      <w:r>
        <w:rPr>
          <w:rFonts w:ascii="Arial" w:cs="Arial" w:eastAsia="Arial" w:hAnsi="Arial"/>
          <w:sz w:val="18"/>
          <w:szCs w:val="18"/>
          <w:color w:val="auto"/>
        </w:rPr>
        <w:t>We have grown our store base consistently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in 1972, developing more than 99% of our stores organically. We believe there is significant opportunity to expand our retail store base in the United States. As a result of our smaller store prototype, we have identified numerous market opportunities that we believe will allow us to operate 2,000 stores over the long term.</w:t>
      </w:r>
    </w:p>
    <w:p>
      <w:pPr>
        <w:spacing w:after="0" w:line="79" w:lineRule="exact"/>
        <w:rPr>
          <w:rFonts w:ascii="Arial" w:cs="Arial" w:eastAsia="Arial" w:hAnsi="Arial"/>
          <w:sz w:val="18"/>
          <w:szCs w:val="18"/>
          <w:color w:val="auto"/>
        </w:rPr>
      </w:pPr>
    </w:p>
    <w:p>
      <w:pPr>
        <w:ind w:left="1540" w:right="360" w:hanging="514"/>
        <w:spacing w:after="0" w:line="294"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Maintaining Focus on Unit Economics and Returns. </w:t>
      </w:r>
      <w:r>
        <w:rPr>
          <w:rFonts w:ascii="Arial" w:cs="Arial" w:eastAsia="Arial" w:hAnsi="Arial"/>
          <w:sz w:val="16"/>
          <w:szCs w:val="16"/>
          <w:color w:val="auto"/>
        </w:rPr>
        <w:t>We have adopted a market focused approach to new store openings in more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productive retail locations, with a specific focus on maximizing sales while achieving attractive unit economics and returns. Additionally, as we continue to execute our smaller store prototype, we believe we can reduce occupancy and operating expenses.</w:t>
      </w:r>
    </w:p>
    <w:p>
      <w:pPr>
        <w:spacing w:after="0" w:line="39" w:lineRule="exact"/>
        <w:rPr>
          <w:rFonts w:ascii="Arial" w:cs="Arial" w:eastAsia="Arial" w:hAnsi="Arial"/>
          <w:sz w:val="16"/>
          <w:szCs w:val="16"/>
          <w:color w:val="auto"/>
        </w:rPr>
      </w:pPr>
    </w:p>
    <w:p>
      <w:pPr>
        <w:ind w:left="1540" w:right="100" w:hanging="514"/>
        <w:spacing w:after="0" w:line="279"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Enhancing the Store Experience. </w:t>
      </w:r>
      <w:r>
        <w:rPr>
          <w:rFonts w:ascii="Arial" w:cs="Arial" w:eastAsia="Arial" w:hAnsi="Arial"/>
          <w:sz w:val="16"/>
          <w:szCs w:val="16"/>
          <w:color w:val="auto"/>
        </w:rPr>
        <w:t>We continue to invest in select store relocations and downsizes to improve the customer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taking into consideration the age, size, sales, and location of a store. Relocations provide an opportunity, upon leases expiration, to right-size our stores, improve our competitive positioning, incorporate our new prototype store designs and reduce occupancy costs. Downsizes provide an opportunity to right-size our stores, within our existing space, improve co-tenancy, incorporate all of our new store designs and reduce occupancy costs During Fiscal 2021, we relocated or downsized a total of 20 stores.</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Enhancing Operating Margins.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04" w:lineRule="exact"/>
        <w:rPr>
          <w:sz w:val="20"/>
          <w:szCs w:val="20"/>
          <w:color w:val="auto"/>
        </w:rPr>
      </w:pPr>
    </w:p>
    <w:p>
      <w:pPr>
        <w:ind w:left="1540" w:right="120" w:hanging="514"/>
        <w:spacing w:after="0" w:line="270" w:lineRule="auto"/>
        <w:tabs>
          <w:tab w:leader="none" w:pos="15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Improving Operational Flexibility. </w:t>
      </w:r>
      <w:r>
        <w:rPr>
          <w:rFonts w:ascii="Arial" w:cs="Arial" w:eastAsia="Arial" w:hAnsi="Arial"/>
          <w:sz w:val="17"/>
          <w:szCs w:val="17"/>
          <w:color w:val="auto"/>
        </w:rPr>
        <w:t>Our store and supply chain teams must continue to respond to the challenge of becoming more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responsive to the sales chase, enhancing their ability at flexing up and down based on trends. Their ability to appropriately flex based on the ongoing trends allows us to maximize leverage on sales, regardless of the trend.</w:t>
      </w:r>
    </w:p>
    <w:p>
      <w:pPr>
        <w:spacing w:after="0" w:line="55" w:lineRule="exact"/>
        <w:rPr>
          <w:rFonts w:ascii="Arial" w:cs="Arial" w:eastAsia="Arial" w:hAnsi="Arial"/>
          <w:sz w:val="17"/>
          <w:szCs w:val="17"/>
          <w:color w:val="auto"/>
        </w:rPr>
      </w:pPr>
    </w:p>
    <w:p>
      <w:pPr>
        <w:ind w:left="1540" w:right="220" w:hanging="514"/>
        <w:spacing w:after="0" w:line="248"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Optimizing Markdowns. </w:t>
      </w:r>
      <w:r>
        <w:rPr>
          <w:rFonts w:ascii="Arial" w:cs="Arial" w:eastAsia="Arial" w:hAnsi="Arial"/>
          <w:sz w:val="18"/>
          <w:szCs w:val="18"/>
          <w:color w:val="auto"/>
        </w:rPr>
        <w:t>We believe that our markdown system allows us to maximize sales and gross margin dollars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sales forecasts, sell-through targets and exit dates. Additionally, as we plan to carry less inventory in our stores, we expect to drive faster turns, which in turn will reduce the amount of markdowns taken.</w:t>
      </w:r>
    </w:p>
    <w:p>
      <w:pPr>
        <w:spacing w:after="0" w:line="100" w:lineRule="exact"/>
        <w:rPr>
          <w:rFonts w:ascii="Arial" w:cs="Arial" w:eastAsia="Arial" w:hAnsi="Arial"/>
          <w:sz w:val="18"/>
          <w:szCs w:val="18"/>
          <w:color w:val="auto"/>
        </w:rPr>
      </w:pPr>
    </w:p>
    <w:p>
      <w:pPr>
        <w:ind w:left="1540" w:right="60" w:hanging="514"/>
        <w:spacing w:after="0" w:line="256"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Enhancing Purchasing Power. </w:t>
      </w:r>
      <w:r>
        <w:rPr>
          <w:rFonts w:ascii="Arial" w:cs="Arial" w:eastAsia="Arial" w:hAnsi="Arial"/>
          <w:sz w:val="18"/>
          <w:szCs w:val="18"/>
          <w:color w:val="auto"/>
        </w:rPr>
        <w:t>We believe that increasing our store footprint and expanding our east and west coast buying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us with the opportunity to capture incremental buying opportunities and realize economies of scale in our merchandising and non-merchandising purchasing activities.</w:t>
      </w:r>
    </w:p>
    <w:p>
      <w:pPr>
        <w:spacing w:after="0" w:line="66" w:lineRule="exact"/>
        <w:rPr>
          <w:rFonts w:ascii="Arial" w:cs="Arial" w:eastAsia="Arial" w:hAnsi="Arial"/>
          <w:sz w:val="18"/>
          <w:szCs w:val="18"/>
          <w:color w:val="auto"/>
        </w:rPr>
      </w:pPr>
    </w:p>
    <w:p>
      <w:pPr>
        <w:ind w:left="1540" w:hanging="514"/>
        <w:spacing w:after="0" w:line="259" w:lineRule="auto"/>
        <w:tabs>
          <w:tab w:leader="none" w:pos="15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Challenging Expenses to Drive Operating Leverage. </w:t>
      </w:r>
      <w:r>
        <w:rPr>
          <w:rFonts w:ascii="Arial" w:cs="Arial" w:eastAsia="Arial" w:hAnsi="Arial"/>
          <w:sz w:val="17"/>
          <w:szCs w:val="17"/>
          <w:color w:val="auto"/>
        </w:rPr>
        <w:t>We believe that we will be able to leverage our growing sales over the fixed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business. In addition, by more conservatively planning our comparable store sales growth, we are forcing even tighter expense control throughout all areas of our business. We believe that this should put us in a strong position to drive operating leverage on any sales ahead of the plan. Additionally, we plan to continue challenging the processes and operating norms throughout the organization with the belief that this will lead to incremental efficiency improvements and savings.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0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5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i w:val="1"/>
          <w:iCs w:val="1"/>
          <w:color w:val="auto"/>
        </w:rPr>
        <w:t xml:space="preserve">COVID -19. </w:t>
      </w:r>
      <w:r>
        <w:rPr>
          <w:rFonts w:ascii="Arial" w:cs="Arial" w:eastAsia="Arial" w:hAnsi="Arial"/>
          <w:sz w:val="18"/>
          <w:szCs w:val="18"/>
          <w:color w:val="auto"/>
        </w:rPr>
        <w:t>The extent of the continuing impact of the COVID-19 pandemic on our business will depend largely on future developments,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and administration of effective medical treatments and vaccines, the timing and extent of the recovery in traffic and consumer spending at our stores, additional costs and delays related to our supply chain, reduced workforces or labor shortages and scarcity of raw materials, and any future required store closures because of COVID-19 resurgences. COVID-19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presents material uncertainty and risk with respect to our business, financial performance and condition, operating results, liquidity and cash flows.</w:t>
      </w:r>
    </w:p>
    <w:p>
      <w:pPr>
        <w:spacing w:after="0" w:line="250" w:lineRule="exact"/>
        <w:rPr>
          <w:sz w:val="20"/>
          <w:szCs w:val="20"/>
          <w:color w:val="auto"/>
        </w:rPr>
      </w:pPr>
    </w:p>
    <w:p>
      <w:pPr>
        <w:ind w:right="120" w:firstLine="578"/>
        <w:spacing w:after="0" w:line="245" w:lineRule="auto"/>
        <w:rPr>
          <w:sz w:val="20"/>
          <w:szCs w:val="20"/>
          <w:color w:val="auto"/>
        </w:rPr>
      </w:pPr>
      <w:r>
        <w:rPr>
          <w:rFonts w:ascii="Arial" w:cs="Arial" w:eastAsia="Arial" w:hAnsi="Arial"/>
          <w:sz w:val="18"/>
          <w:szCs w:val="18"/>
          <w:i w:val="1"/>
          <w:iCs w:val="1"/>
          <w:color w:val="auto"/>
        </w:rPr>
        <w:t xml:space="preserve">General Economic Conditions. </w:t>
      </w:r>
      <w:r>
        <w:rPr>
          <w:rFonts w:ascii="Arial" w:cs="Arial" w:eastAsia="Arial" w:hAnsi="Arial"/>
          <w:sz w:val="18"/>
          <w:szCs w:val="18"/>
          <w:color w:val="auto"/>
        </w:rPr>
        <w:t>Consumer spending habits, including spending for the merchandise that we sell, are affected by,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prevailing global economic conditions, inflation, including the costs of basic necessities and other goods,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186" w:lineRule="exact"/>
        <w:rPr>
          <w:sz w:val="20"/>
          <w:szCs w:val="20"/>
          <w:color w:val="auto"/>
        </w:rPr>
      </w:pPr>
    </w:p>
    <w:p>
      <w:pPr>
        <w:ind w:right="20" w:firstLine="578"/>
        <w:spacing w:after="0" w:line="253" w:lineRule="auto"/>
        <w:rPr>
          <w:sz w:val="20"/>
          <w:szCs w:val="20"/>
          <w:color w:val="auto"/>
        </w:rPr>
      </w:pPr>
      <w:r>
        <w:rPr>
          <w:rFonts w:ascii="Arial" w:cs="Arial" w:eastAsia="Arial" w:hAnsi="Arial"/>
          <w:sz w:val="17"/>
          <w:szCs w:val="17"/>
          <w:color w:val="auto"/>
        </w:rPr>
        <w:t>A broad, protracted slowdown in the U.S. economy, an extended period of high unemployment rates,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but not limited to, taxes and healthcare. Ongoing international trade and tariff negotiations could have a direct impact on our income and an indirect impact on consumer prices. The outbreak or escalation of war, or the occurrence of terrorist acts or other hostilities in or affecting the U.S., or public health issues such as pandemics or epidemics, including the continuing COVID -19 pandemic, could lead to a decrease in spending by consumers. In addition, natural disasters, public health issues, industrial accidents and acts of war in various parts of the world, such as the current conflict in Ukraine, could have the effect of disrupting supplies and raising prices globally which, in turn, may have adverse effects on the world and U.S. economies and lead to a downturn in consumer confidence and spending.</w:t>
      </w:r>
    </w:p>
    <w:p>
      <w:pPr>
        <w:spacing w:after="0" w:line="184" w:lineRule="exact"/>
        <w:rPr>
          <w:sz w:val="20"/>
          <w:szCs w:val="20"/>
          <w:color w:val="auto"/>
        </w:rPr>
      </w:pPr>
    </w:p>
    <w:p>
      <w:pPr>
        <w:ind w:right="60" w:firstLine="578"/>
        <w:spacing w:after="0" w:line="243" w:lineRule="auto"/>
        <w:rPr>
          <w:sz w:val="20"/>
          <w:szCs w:val="20"/>
          <w:color w:val="auto"/>
        </w:rPr>
      </w:pPr>
      <w:r>
        <w:rPr>
          <w:rFonts w:ascii="Arial" w:cs="Arial" w:eastAsia="Arial" w:hAnsi="Arial"/>
          <w:sz w:val="18"/>
          <w:szCs w:val="18"/>
          <w:color w:val="auto"/>
        </w:rPr>
        <w:t>We closely monitor our net sales, gross margin and expenses. We have performed scenario planning such that if our net sales decline for an extended period of time, we have identified variable costs that could be reduced to partially mitigate the impact of these declines. If we were to experience adverse economic trends and/or if our efforts to counteract the impacts of these trends are not sufficiently effective, there could be a negative impact on our financial performance and position in future fiscal periods.</w:t>
      </w:r>
    </w:p>
    <w:p>
      <w:pPr>
        <w:spacing w:after="0" w:line="188" w:lineRule="exact"/>
        <w:rPr>
          <w:sz w:val="20"/>
          <w:szCs w:val="20"/>
          <w:color w:val="auto"/>
        </w:rPr>
      </w:pPr>
    </w:p>
    <w:p>
      <w:pPr>
        <w:ind w:right="360" w:firstLine="509"/>
        <w:spacing w:after="0" w:line="291" w:lineRule="auto"/>
        <w:rPr>
          <w:sz w:val="20"/>
          <w:szCs w:val="20"/>
          <w:color w:val="auto"/>
        </w:rPr>
      </w:pPr>
      <w:r>
        <w:rPr>
          <w:rFonts w:ascii="Arial" w:cs="Arial" w:eastAsia="Arial" w:hAnsi="Arial"/>
          <w:sz w:val="17"/>
          <w:szCs w:val="17"/>
          <w:i w:val="1"/>
          <w:iCs w:val="1"/>
          <w:color w:val="auto"/>
        </w:rPr>
        <w:t>Seasonality of Sales and Weather Conditions</w:t>
      </w:r>
      <w:r>
        <w:rPr>
          <w:rFonts w:ascii="Arial" w:cs="Arial" w:eastAsia="Arial" w:hAnsi="Arial"/>
          <w:sz w:val="17"/>
          <w:szCs w:val="17"/>
          <w:color w:val="auto"/>
        </w:rPr>
        <w:t>. Our business, like that of most retailers, is subject to seasonal influences. In the second 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which includes the back-to-school and holiday seasons, we generally realize a higher level of sales and net income.</w:t>
      </w:r>
    </w:p>
    <w:p>
      <w:pPr>
        <w:spacing w:after="0" w:line="14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18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Competition and Margin Pressure. </w:t>
      </w:r>
      <w:r>
        <w:rPr>
          <w:rFonts w:ascii="Arial" w:cs="Arial" w:eastAsia="Arial" w:hAnsi="Arial"/>
          <w:sz w:val="18"/>
          <w:szCs w:val="18"/>
          <w:color w:val="auto"/>
        </w:rPr>
        <w:t>We believe that in order to remain competitive with retailers, including off-price retailers and discount stores,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continue to offer brand-name merchandise at a discount to prices offered by other retailers as well as an assortment of merchandise that is appealing to our customers.</w:t>
      </w:r>
    </w:p>
    <w:p>
      <w:pPr>
        <w:spacing w:after="0" w:line="18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5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U.S. retail industry continues to face increased pressure on margins as overall challenging retail conditions have led consumers to be more value conscious. Our strategy to chase the sales trend allows us the flexibility to purchase less pre-season merchandise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8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Industry-wide supply chain issues have led to increased freight and labor costs during Fiscal 2021 and may continue to add pressure on margins into Fiscal 2022. These costs significantly impacted results in Fiscal 2021 and there remains significant uncertainty around when and if freight costs will return to pre-pandemic levels. Additionally, the higher our sales volume is, and the more sales we chase above our initial plans, the more these increased supply chain costs will impact our margins.</w:t>
      </w:r>
    </w:p>
    <w:p>
      <w:pPr>
        <w:spacing w:after="0" w:line="188"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We have also experienced inflationary pressure in our supply chain and with respect to raw materials and finished goods. There can be no assurance that we will be able to offset inflationary pressure in the future, or that our business will not be negatively affected by continued inflation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Key Performance Measures</w:t>
      </w:r>
    </w:p>
    <w:p>
      <w:pPr>
        <w:spacing w:after="0" w:line="108" w:lineRule="exact"/>
        <w:rPr>
          <w:sz w:val="20"/>
          <w:szCs w:val="20"/>
          <w:color w:val="auto"/>
        </w:rPr>
      </w:pPr>
    </w:p>
    <w:p>
      <w:pPr>
        <w:ind w:right="180" w:firstLine="509"/>
        <w:spacing w:after="0" w:line="291" w:lineRule="auto"/>
        <w:rPr>
          <w:sz w:val="20"/>
          <w:szCs w:val="20"/>
          <w:color w:val="auto"/>
        </w:rPr>
      </w:pPr>
      <w:r>
        <w:rPr>
          <w:rFonts w:ascii="Arial" w:cs="Arial" w:eastAsia="Arial" w:hAnsi="Arial"/>
          <w:sz w:val="17"/>
          <w:szCs w:val="17"/>
          <w:color w:val="auto"/>
        </w:rPr>
        <w:t>We consider numerous factors in assessing our performance. Key performance measures used by management include net income (loss), Adjusted Net Income (Loss), Adjusted EBITDA, Adjusted EBIT, comparable store sales, gross margin, inventory, store payroll and liquidity.</w:t>
      </w:r>
    </w:p>
    <w:p>
      <w:pPr>
        <w:spacing w:after="0" w:line="14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We earned net income of $408.8 million during Fiscal 2021 compared with a net loss of $216.5 million during Fiscal 2020.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driven by the temporary closure of all our stores during Fiscal 2020, caused by the COVID-19 pandemic, as well as our sales growth during Fiscal 2021, partially offset by debt extinguishment charges during Fiscal 2021. Refer to the section below entitled “Results of Operations” for further explanation.</w:t>
      </w:r>
    </w:p>
    <w:p>
      <w:pPr>
        <w:spacing w:after="0" w:line="18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i w:val="1"/>
          <w:iCs w:val="1"/>
          <w:color w:val="auto"/>
        </w:rPr>
        <w:t>Adjusted Net Income (Loss), Adjusted EBITDA and Adjusted EBIT</w:t>
      </w:r>
      <w:r>
        <w:rPr>
          <w:rFonts w:ascii="Arial" w:cs="Arial" w:eastAsia="Arial" w:hAnsi="Arial"/>
          <w:sz w:val="18"/>
          <w:szCs w:val="18"/>
          <w:color w:val="auto"/>
        </w:rPr>
        <w:t>: Adjusted Net Income (Loss), Adjusted EBITDA and Adjusted EBIT are non-GAAP financial measures of our performance.</w:t>
      </w:r>
    </w:p>
    <w:p>
      <w:pPr>
        <w:spacing w:after="0" w:line="171" w:lineRule="exact"/>
        <w:rPr>
          <w:sz w:val="20"/>
          <w:szCs w:val="20"/>
          <w:color w:val="auto"/>
        </w:rPr>
      </w:pPr>
    </w:p>
    <w:p>
      <w:pPr>
        <w:ind w:right="180" w:firstLine="578"/>
        <w:spacing w:after="0" w:line="274" w:lineRule="auto"/>
        <w:rPr>
          <w:sz w:val="20"/>
          <w:szCs w:val="20"/>
          <w:color w:val="auto"/>
        </w:rPr>
      </w:pPr>
      <w:r>
        <w:rPr>
          <w:rFonts w:ascii="Arial" w:cs="Arial" w:eastAsia="Arial" w:hAnsi="Arial"/>
          <w:sz w:val="16"/>
          <w:szCs w:val="16"/>
          <w:color w:val="auto"/>
        </w:rPr>
        <w:t>We define Adjusted Net Income (Loss) as net income (loss), exclusive of the following items, if applicable: (i) net favorable lease costs; (ii) costs related to debt issuances and amendments; (iii) loss on extinguishment of debt; (iv) impairment charges; (v) amounts related to certain litigation matters;</w:t>
      </w:r>
    </w:p>
    <w:p>
      <w:pPr>
        <w:spacing w:after="0" w:line="1" w:lineRule="exact"/>
        <w:rPr>
          <w:sz w:val="20"/>
          <w:szCs w:val="20"/>
          <w:color w:val="auto"/>
        </w:rPr>
      </w:pPr>
    </w:p>
    <w:p>
      <w:pPr>
        <w:ind w:right="100" w:firstLine="8"/>
        <w:spacing w:after="0" w:line="243"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interest on the Convertible Notes; (vii) costs related to closing the e-commerce store; and (viii) other unusual, non-recurring or extraordinary expenses, losses, charges or gains, all of which are tax effected to arrive at Adjusted Net Income (Loss).</w:t>
      </w:r>
    </w:p>
    <w:p>
      <w:pPr>
        <w:spacing w:after="0" w:line="186" w:lineRule="exact"/>
        <w:rPr>
          <w:sz w:val="20"/>
          <w:szCs w:val="20"/>
          <w:color w:val="auto"/>
        </w:rPr>
      </w:pPr>
    </w:p>
    <w:p>
      <w:pPr>
        <w:ind w:right="40" w:firstLine="578"/>
        <w:spacing w:after="0" w:line="243" w:lineRule="auto"/>
        <w:rPr>
          <w:sz w:val="20"/>
          <w:szCs w:val="20"/>
          <w:color w:val="auto"/>
        </w:rPr>
      </w:pPr>
      <w:r>
        <w:rPr>
          <w:rFonts w:ascii="Arial" w:cs="Arial" w:eastAsia="Arial" w:hAnsi="Arial"/>
          <w:sz w:val="18"/>
          <w:szCs w:val="18"/>
          <w:color w:val="auto"/>
        </w:rPr>
        <w:t>We define Adjusted EBITDA as net income (loss), exclusive of the following items, if applicable: (i) interest expense; (ii) interest income; (iii) loss on extinguishment of debt; (iv) income tax expense (benefit); (v) depreciation and amortization; (vi) impairment charges; (vii) costs related to debt issuances and amendments; (viii) amounts related to certain litigation matters; (ix) costs related to closing the e-commerce store; and (x) other unusual, non-recurring or extraordinary expenses, losses, charges or gains.</w:t>
      </w:r>
    </w:p>
    <w:p>
      <w:pPr>
        <w:spacing w:after="0" w:line="188" w:lineRule="exact"/>
        <w:rPr>
          <w:sz w:val="20"/>
          <w:szCs w:val="20"/>
          <w:color w:val="auto"/>
        </w:rPr>
      </w:pPr>
    </w:p>
    <w:p>
      <w:pPr>
        <w:ind w:right="80" w:firstLine="578"/>
        <w:spacing w:after="0" w:line="243" w:lineRule="auto"/>
        <w:rPr>
          <w:sz w:val="20"/>
          <w:szCs w:val="20"/>
          <w:color w:val="auto"/>
        </w:rPr>
      </w:pPr>
      <w:r>
        <w:rPr>
          <w:rFonts w:ascii="Arial" w:cs="Arial" w:eastAsia="Arial" w:hAnsi="Arial"/>
          <w:sz w:val="18"/>
          <w:szCs w:val="18"/>
          <w:color w:val="auto"/>
        </w:rPr>
        <w:t>We define Adjusted EBIT as net income (loss), exclusive of the following items, if applicable: (i) interest expense; (ii) interest income; (iii) loss on extinguishment of debt; (iv) income tax expense(benefit); (v) impairment charges; (vi) net favorable lease costs; (vii) costs related to debt issuances and amendments; (viii) amounts related to certain litigation matters; (ix) costs related to closing the e-commerce store; and (x) other unusual, non-recurring or extraordinary expenses, losses, charges or gains.</w:t>
      </w:r>
    </w:p>
    <w:p>
      <w:pPr>
        <w:spacing w:after="0" w:line="18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present Adjusted Net Income (Loss),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w:t>
      </w:r>
    </w:p>
    <w:p>
      <w:pPr>
        <w:spacing w:after="0" w:line="189"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Adjusted Net Income (Loss) has limitations as an analytical tool, and should not be considered either in isolation or as a substitute for net income (loss) or other data prepared in accordance with GAAP. Among other limitations, Adjusted Net Income (Loss) does not reflect the following items, net of their tax effect:</w:t>
      </w:r>
    </w:p>
    <w:p>
      <w:pPr>
        <w:spacing w:after="0" w:line="7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lease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debt issuances and amendments;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on extinguishment of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charged for certain litigation matters;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interest expense related to original issue discount on the Convertible Notes;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closing the e-commerce store;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1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During Fiscal 2021, Adjusted Net Income (Loss) improved $742.7 million to $573.2 million. This increase was primarily driven by the temporary closure of all our stores during Fiscal 2020, caused by the COVID-19 pandemic, as well as our sales growth during Fiscal 2021. Refer to the section below entitled “Results of Operations” for further explanation.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7"/>
          <w:szCs w:val="17"/>
          <w:color w:val="auto"/>
        </w:rPr>
        <w:t>The following table shows our reconciliation of net income (loss) to Adjusted Net Income (Loss) for Fiscal 2021, Fiscal 2020 and Fiscal 2019:</w:t>
      </w:r>
    </w:p>
    <w:p>
      <w:pPr>
        <w:spacing w:after="0" w:line="219" w:lineRule="exact"/>
        <w:rPr>
          <w:sz w:val="20"/>
          <w:szCs w:val="20"/>
          <w:color w:val="auto"/>
        </w:rPr>
      </w:pPr>
    </w:p>
    <w:p>
      <w:pPr>
        <w:ind w:left="82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12700</wp:posOffset>
            </wp:positionV>
            <wp:extent cx="2537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4"/>
          <w:szCs w:val="14"/>
          <w:b w:val="1"/>
          <w:bCs w:val="1"/>
          <w:i w:val="1"/>
          <w:iCs w:val="1"/>
          <w:color w:val="auto"/>
        </w:rPr>
        <w:t xml:space="preserve">(in </w:t>
      </w:r>
      <w:r>
        <w:rPr>
          <w:rFonts w:ascii="Arial" w:cs="Arial" w:eastAsia="Arial" w:hAnsi="Arial"/>
          <w:sz w:val="14"/>
          <w:szCs w:val="14"/>
          <w:b w:val="1"/>
          <w:bCs w:val="1"/>
          <w:color w:val="auto"/>
        </w:rPr>
        <w:t>t</w:t>
      </w:r>
      <w:r>
        <w:rPr>
          <w:rFonts w:ascii="Arial" w:cs="Arial" w:eastAsia="Arial" w:hAnsi="Arial"/>
          <w:sz w:val="14"/>
          <w:szCs w:val="14"/>
          <w:b w:val="1"/>
          <w:bCs w:val="1"/>
          <w:i w:val="1"/>
          <w:iCs w:val="1"/>
          <w:color w:val="auto"/>
        </w:rPr>
        <w: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15240</wp:posOffset>
            </wp:positionV>
            <wp:extent cx="2537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Fiscal Year Ended</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60"/>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w w:val="98"/>
              </w:rPr>
              <w:t>January 29,</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50"/>
              <w:spacing w:after="0" w:line="160" w:lineRule="exact"/>
              <w:rPr>
                <w:sz w:val="20"/>
                <w:szCs w:val="20"/>
                <w:color w:val="auto"/>
              </w:rPr>
            </w:pPr>
            <w:r>
              <w:rPr>
                <w:rFonts w:ascii="Arial" w:cs="Arial" w:eastAsia="Arial" w:hAnsi="Arial"/>
                <w:sz w:val="14"/>
                <w:szCs w:val="14"/>
                <w:b w:val="1"/>
                <w:bCs w:val="1"/>
                <w:color w:val="auto"/>
                <w:w w:val="95"/>
              </w:rPr>
              <w:t>January 30,</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13"/>
              <w:spacing w:after="0" w:line="160"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3"/>
                <w:szCs w:val="13"/>
                <w:color w:val="auto"/>
              </w:rPr>
            </w:pPr>
          </w:p>
        </w:tc>
      </w:tr>
      <w:tr>
        <w:trPr>
          <w:trHeight w:val="185"/>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(loss) to Adjusted Net Income (Loss):</w:t>
            </w:r>
          </w:p>
        </w:tc>
        <w:tc>
          <w:tcPr>
            <w:tcW w:w="160" w:type="dxa"/>
            <w:vAlign w:val="bottom"/>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3"/>
        </w:trPr>
        <w:tc>
          <w:tcPr>
            <w:tcW w:w="600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408,839</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(216,499 )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465,116</w:t>
            </w:r>
          </w:p>
        </w:tc>
        <w:tc>
          <w:tcPr>
            <w:tcW w:w="100" w:type="dxa"/>
            <w:vAlign w:val="bottom"/>
          </w:tcPr>
          <w:p>
            <w:pPr>
              <w:spacing w:after="0"/>
              <w:rPr>
                <w:sz w:val="17"/>
                <w:szCs w:val="17"/>
                <w:color w:val="auto"/>
              </w:rPr>
            </w:pPr>
          </w:p>
        </w:tc>
      </w:tr>
      <w:tr>
        <w:trPr>
          <w:trHeight w:val="203"/>
        </w:trPr>
        <w:tc>
          <w:tcPr>
            <w:tcW w:w="6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Net favorable lease costs (a)</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24,078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35,761</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Non-cash interest expense on convertible notes (b)</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23,988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6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Costs related to debt issuances and amendments (c)</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(375 )</w:t>
            </w:r>
          </w:p>
        </w:tc>
      </w:tr>
      <w:tr>
        <w:trPr>
          <w:trHeight w:val="203"/>
        </w:trPr>
        <w:tc>
          <w:tcPr>
            <w:tcW w:w="6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on extinguishment of debt (d)</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156,020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Litigation matters (e)</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22,788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E-commerce closure (f)</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Tax effect (g)</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(24,741 )</w:t>
            </w:r>
          </w:p>
        </w:tc>
        <w:tc>
          <w:tcPr>
            <w:tcW w:w="160" w:type="dxa"/>
            <w:vAlign w:val="bottom"/>
          </w:tcPr>
          <w:p>
            <w:pPr>
              <w:spacing w:after="0"/>
              <w:rPr>
                <w:sz w:val="17"/>
                <w:szCs w:val="17"/>
                <w:color w:val="auto"/>
              </w:rPr>
            </w:pPr>
          </w:p>
        </w:tc>
        <w:tc>
          <w:tcPr>
            <w:tcW w:w="12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(35,273 )</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(10,083 )</w:t>
            </w:r>
          </w:p>
        </w:tc>
      </w:tr>
      <w:tr>
        <w:trPr>
          <w:trHeight w:val="236"/>
        </w:trPr>
        <w:tc>
          <w:tcPr>
            <w:tcW w:w="616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Adjusted Net Income (Loss)</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573,199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(169,522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494,734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1912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57" w:lineRule="exact"/>
        <w:rPr>
          <w:sz w:val="20"/>
          <w:szCs w:val="20"/>
          <w:color w:val="auto"/>
        </w:rPr>
      </w:pPr>
    </w:p>
    <w:p>
      <w:pPr>
        <w:ind w:left="520" w:right="80" w:hanging="512"/>
        <w:spacing w:after="0" w:line="289" w:lineRule="auto"/>
        <w:tabs>
          <w:tab w:leader="none" w:pos="371"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Net favorable lease costs represents the non-cash expense associated with favorable and unfavorable leases that were recorded as a result of purchase accounting related to the April 13, 2006 Bain Capital acquisition of Burlington Coat Factory Warehouse Corporation (the Merger Transaction). These expenses are recorded in the line item “Selling, general and administrative expenses” in our Consolidated Statements of Income (Loss).</w:t>
      </w:r>
    </w:p>
    <w:p>
      <w:pPr>
        <w:ind w:left="520" w:right="140" w:hanging="512"/>
        <w:spacing w:after="0" w:line="234" w:lineRule="auto"/>
        <w:tabs>
          <w:tab w:leader="none" w:pos="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non-cash accretion of original issue discount on the Convertible Notes. The original issue discount was eliminated as of the beginning of Fiscal 2021, as a result of adopting Accounting Standards Update (ASU) 2020-06, “Accounting for Convertible Instruments and Contracts in an Entity’s Own Equity” (ASU 2020-06).</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costs incurred in connection with the review and execution of refinancing opportunities, as well as the issuance of the $300.0 million</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6.25% Senior Secured Notes due 2025 (Secured Notes) and the Convertible Notes.</w:t>
      </w:r>
    </w:p>
    <w:p>
      <w:pPr>
        <w:ind w:left="520" w:right="300" w:hanging="512"/>
        <w:spacing w:after="0" w:line="234" w:lineRule="auto"/>
        <w:tabs>
          <w:tab w:leader="none" w:pos="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relate to the partial repurchase of the Convertible Notes, the full redemption of the Secured Notes, as well as the refinancing of the Term Loan Credit Agreement governing our senior secured credit term loan facility (Term Loan Facility).</w:t>
      </w:r>
    </w:p>
    <w:p>
      <w:pPr>
        <w:spacing w:after="0" w:line="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charged for certain litigation matters.</w:t>
      </w:r>
    </w:p>
    <w:p>
      <w:pPr>
        <w:ind w:left="360" w:hanging="352"/>
        <w:spacing w:after="0" w:line="23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costs related to the closure of our e-commerce store.</w:t>
      </w:r>
    </w:p>
    <w:p>
      <w:pPr>
        <w:ind w:left="520" w:right="240" w:hanging="512"/>
        <w:spacing w:after="0" w:line="271" w:lineRule="auto"/>
        <w:tabs>
          <w:tab w:leader="none" w:pos="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Tax effect is calculated based on the effective tax rates (before discrete items) for the respective periods, for the tax impact of items (a) through (f). The effective tax rate during Fiscal 2020 includes the benefit of loss carrybacks to prior years with higher statutory tax rates.</w:t>
      </w:r>
    </w:p>
    <w:p>
      <w:pPr>
        <w:spacing w:after="0" w:line="16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(loss) or other data prepared in accordance with GAAP. Among other limitations, Adjusted EBITDA does not reflect:</w:t>
      </w:r>
    </w:p>
    <w:p>
      <w:pPr>
        <w:spacing w:after="0" w:line="6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interest expense;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debt issuances and amendments;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requirements for replacement of assets. Although depreciation and amortization are non-cash charges, the assets being depreciated and amortized will likely have to be replaced in the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charged for certain litigation matters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closing the e-commerce store;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 expense (benefit);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Fiscal 2021, Adjusted EBITDA improved $1,113.6 million to $1,050.9 million. This increase was primarily driven by the temporary closure of all our stores during Fiscal 2020, caused by the COVID-19 pandemic, as well as our sales growth during Fiscal 2021. Refer to the section below entitled “Results of Operations” for further explanation.</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The following table shows our reconciliation of net income (loss) to Adjusted EBITDA for Fiscal 2021, Fiscal 2020 and Fiscal 2019:</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i w:val="1"/>
                <w:iCs w:val="1"/>
                <w:color w:val="auto"/>
                <w:w w:val="91"/>
              </w:rPr>
              <w:t>(unaudited)</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4"/>
              </w:rPr>
              <w:t>Fiscal Year Ended</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w w:val="98"/>
              </w:rPr>
              <w:t>January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290"/>
              <w:spacing w:after="0" w:line="160" w:lineRule="exact"/>
              <w:rPr>
                <w:sz w:val="20"/>
                <w:szCs w:val="20"/>
                <w:color w:val="auto"/>
              </w:rPr>
            </w:pPr>
            <w:r>
              <w:rPr>
                <w:rFonts w:ascii="Arial" w:cs="Arial" w:eastAsia="Arial" w:hAnsi="Arial"/>
                <w:sz w:val="14"/>
                <w:szCs w:val="14"/>
                <w:b w:val="1"/>
                <w:bCs w:val="1"/>
                <w:color w:val="auto"/>
                <w:w w:val="98"/>
              </w:rPr>
              <w:t>January 30,</w:t>
            </w:r>
          </w:p>
        </w:tc>
        <w:tc>
          <w:tcPr>
            <w:tcW w:w="140" w:type="dxa"/>
            <w:vAlign w:val="bottom"/>
          </w:tcPr>
          <w:p>
            <w:pPr>
              <w:spacing w:after="0"/>
              <w:rPr>
                <w:sz w:val="13"/>
                <w:szCs w:val="13"/>
                <w:color w:val="auto"/>
              </w:rPr>
            </w:pPr>
          </w:p>
        </w:tc>
        <w:tc>
          <w:tcPr>
            <w:tcW w:w="92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(loss) to Adjusted EBITDA:</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408,839</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(216,499 )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67,502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97,767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(189 )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(1,253 )</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(1,720 )</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 (a)</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156,020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Costs related to debt issuances and amendments (b)</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Litigation matters (c)</w:t>
            </w: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22,788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E-commerce closure (d)</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 (e)</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271,132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244,273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246,109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Impairment charges</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136,459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(221,124 )</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115,409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1,050,930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(62,652</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879,680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4" w:lineRule="exact"/>
        <w:rPr>
          <w:sz w:val="20"/>
          <w:szCs w:val="20"/>
          <w:color w:val="auto"/>
        </w:rPr>
      </w:pPr>
    </w:p>
    <w:p>
      <w:pPr>
        <w:ind w:left="520" w:right="260" w:hanging="512"/>
        <w:spacing w:after="0" w:line="244" w:lineRule="auto"/>
        <w:tabs>
          <w:tab w:leader="none" w:pos="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relate to the partial repurchase of the Convertible Notes, the full redemption of the Secured Notes, as well as the refinancing of the Term Loan Facility.</w:t>
      </w:r>
    </w:p>
    <w:p>
      <w:pPr>
        <w:ind w:left="520" w:right="80" w:hanging="512"/>
        <w:spacing w:after="0" w:line="234" w:lineRule="auto"/>
        <w:tabs>
          <w:tab w:leader="none" w:pos="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costs incurred in connection with the review and execution of refinancing opportunities, as well as the issuance of the Secured Notes and the Convertible Notes.</w:t>
      </w:r>
    </w:p>
    <w:p>
      <w:pPr>
        <w:spacing w:after="0" w:line="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amounts charged for certain litigation matters.</w:t>
      </w:r>
    </w:p>
    <w:p>
      <w:pPr>
        <w:ind w:left="360" w:hanging="352"/>
        <w:spacing w:after="0" w:line="234"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costs related to the closure of our e-commerce store.</w:t>
      </w:r>
    </w:p>
    <w:p>
      <w:pPr>
        <w:ind w:left="520" w:right="300" w:hanging="512"/>
        <w:spacing w:after="0" w:line="283" w:lineRule="auto"/>
        <w:tabs>
          <w:tab w:leader="none" w:pos="37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$21.9 million, $23.9 million, and $35.4 million of favorable lease costs included in the line item “Selling, general and administrative expenses” in our Consolidated Statements of Income (Loss) for Fiscal 2021, Fiscal 2020 and Fiscal 2019, respectively. Net favorable lease cost represents the non-cash expense associated with favorable and unfavorable leases that were recorded as a result of the Merger Transaction.</w:t>
      </w:r>
    </w:p>
    <w:p>
      <w:pPr>
        <w:spacing w:after="0" w:line="157" w:lineRule="exact"/>
        <w:rPr>
          <w:sz w:val="20"/>
          <w:szCs w:val="20"/>
          <w:color w:val="auto"/>
        </w:rPr>
      </w:pPr>
    </w:p>
    <w:p>
      <w:pPr>
        <w:ind w:firstLine="578"/>
        <w:spacing w:after="0" w:line="261" w:lineRule="auto"/>
        <w:rPr>
          <w:sz w:val="20"/>
          <w:szCs w:val="20"/>
          <w:color w:val="auto"/>
        </w:rPr>
      </w:pPr>
      <w:r>
        <w:rPr>
          <w:rFonts w:ascii="Arial" w:cs="Arial" w:eastAsia="Arial" w:hAnsi="Arial"/>
          <w:sz w:val="18"/>
          <w:szCs w:val="18"/>
          <w:color w:val="auto"/>
        </w:rPr>
        <w:t>Adjusted EBIT has limitations as an analytical tool, and should not be considered either in isolation or as a substitute for net income (loss) or other data prepared in accordance with GAAP. Among other limitations, Adjusted EBIT does not reflect:</w:t>
      </w:r>
    </w:p>
    <w:p>
      <w:pPr>
        <w:spacing w:after="0" w:line="6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interest expense;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related to debt issuances and amendments;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favorable lease cost;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charged for certain litigation matters;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related to closing the e-commerce store;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expense (benefit);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12" w:lineRule="exact"/>
        <w:rPr>
          <w:sz w:val="20"/>
          <w:szCs w:val="20"/>
          <w:color w:val="auto"/>
        </w:rPr>
      </w:pPr>
    </w:p>
    <w:p>
      <w:pPr>
        <w:jc w:val="both"/>
        <w:ind w:right="100" w:firstLine="578"/>
        <w:spacing w:after="0" w:line="248" w:lineRule="auto"/>
        <w:rPr>
          <w:sz w:val="20"/>
          <w:szCs w:val="20"/>
          <w:color w:val="auto"/>
        </w:rPr>
      </w:pPr>
      <w:r>
        <w:rPr>
          <w:rFonts w:ascii="Arial" w:cs="Arial" w:eastAsia="Arial" w:hAnsi="Arial"/>
          <w:sz w:val="18"/>
          <w:szCs w:val="18"/>
          <w:color w:val="auto"/>
        </w:rPr>
        <w:t>During Fiscal 2021, Adjusted EBIT improved $1,084.6 million to $801.7 million. This increase was primarily driven by the temporary closure of all our stores during Fiscal 2020, caused by the COVID-19 pandemic, as well as our sales growth during Fiscal 2021. Refer to the section below entitled “Results of Operations” for further explanation.</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35" w:name="page36"/>
    <w:bookmarkEnd w:id="35"/>
    <w:p>
      <w:pPr>
        <w:ind w:left="600"/>
        <w:spacing w:after="0"/>
        <w:rPr>
          <w:sz w:val="20"/>
          <w:szCs w:val="20"/>
          <w:color w:val="auto"/>
        </w:rPr>
      </w:pPr>
      <w:r>
        <w:rPr>
          <w:rFonts w:ascii="Arial" w:cs="Arial" w:eastAsia="Arial" w:hAnsi="Arial"/>
          <w:sz w:val="18"/>
          <w:szCs w:val="18"/>
          <w:color w:val="auto"/>
        </w:rPr>
        <w:t>The following table shows our reconciliation of net income (loss) to Adjusted EBIT for Fiscal 2021, Fiscal 2020 and Fiscal 2019:</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i w:val="1"/>
                <w:iCs w:val="1"/>
                <w:color w:val="auto"/>
                <w:w w:val="91"/>
              </w:rPr>
              <w:t>(unaudited)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w w:val="94"/>
              </w:rPr>
              <w:t>Fiscal Year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w w:val="93"/>
              </w:rPr>
              <w:t>January 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21"/>
              <w:spacing w:after="0" w:line="160" w:lineRule="exact"/>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3"/>
                <w:szCs w:val="13"/>
                <w:color w:val="auto"/>
              </w:rPr>
            </w:pPr>
          </w:p>
        </w:tc>
        <w:tc>
          <w:tcPr>
            <w:tcW w:w="900" w:type="dxa"/>
            <w:vAlign w:val="bottom"/>
          </w:tcPr>
          <w:p>
            <w:pPr>
              <w:jc w:val="right"/>
              <w:ind w:right="53"/>
              <w:spacing w:after="0" w:line="160"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(loss) to Adjusted EBIT: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408,839</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(216,499 )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67,502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97,767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(189 )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(1,253 )</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(1,720 )</w:t>
            </w:r>
          </w:p>
        </w:tc>
        <w:tc>
          <w:tcPr>
            <w:tcW w:w="0" w:type="dxa"/>
            <w:vAlign w:val="bottom"/>
          </w:tcPr>
          <w:p>
            <w:pPr>
              <w:spacing w:after="0"/>
              <w:rPr>
                <w:sz w:val="1"/>
                <w:szCs w:val="1"/>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 (a)</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156,020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Costs related to debt issuances and amendments (b)</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Net favorable lease costs (c)</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24,078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Impairment charges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Litigation matters (d)</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22,788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E-commerce closure (e)</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136,459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(221,124 )</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b w:val="1"/>
                <w:bCs w:val="1"/>
                <w:color w:val="auto"/>
              </w:rPr>
              <w:t>Adjusted EBIT</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801,712</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(282,847</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669,332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4" w:lineRule="exact"/>
        <w:rPr>
          <w:sz w:val="20"/>
          <w:szCs w:val="20"/>
          <w:color w:val="auto"/>
        </w:rPr>
      </w:pPr>
    </w:p>
    <w:p>
      <w:pPr>
        <w:ind w:left="520" w:right="360" w:hanging="512"/>
        <w:spacing w:after="0" w:line="244"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relate to the partial repurchase of the Convertible Notes, the full redemption of the Secured Notes, as well as the refinancing of the Term Loan Facility.</w:t>
      </w:r>
    </w:p>
    <w:p>
      <w:pPr>
        <w:ind w:left="520" w:right="180" w:hanging="512"/>
        <w:spacing w:after="0" w:line="234"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costs incurred in connection with the review and execution of refinancing opportunities, as well as the issuance of the Secured Notes and the Convertible Notes.</w:t>
      </w:r>
    </w:p>
    <w:p>
      <w:pPr>
        <w:spacing w:after="0" w:line="1" w:lineRule="exact"/>
        <w:rPr>
          <w:rFonts w:ascii="Arial" w:cs="Arial" w:eastAsia="Arial" w:hAnsi="Arial"/>
          <w:sz w:val="18"/>
          <w:szCs w:val="18"/>
          <w:color w:val="auto"/>
        </w:rPr>
      </w:pPr>
    </w:p>
    <w:p>
      <w:pPr>
        <w:ind w:left="520" w:right="120" w:hanging="512"/>
        <w:spacing w:after="0" w:line="239"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favorable lease costs represents the non-cash expense associated with favorable and unfavorable leases that were recorded as a result of the Merger Transaction. These expenses are recorded in the line item “Selling, general and administrative expenses” in our Consolidated Statements of Income (Loss).</w:t>
      </w:r>
    </w:p>
    <w:p>
      <w:pPr>
        <w:spacing w:after="0" w:line="13"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amounts charged for certain litigation matters.</w:t>
      </w:r>
    </w:p>
    <w:p>
      <w:pPr>
        <w:spacing w:after="0" w:line="11"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costs related to the closure of our e-commerce store.</w:t>
      </w:r>
    </w:p>
    <w:p>
      <w:pPr>
        <w:spacing w:after="0" w:line="19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i w:val="1"/>
          <w:iCs w:val="1"/>
          <w:color w:val="auto"/>
        </w:rPr>
        <w:t>Comparable Store Sales</w:t>
      </w:r>
      <w:r>
        <w:rPr>
          <w:rFonts w:ascii="Arial" w:cs="Arial" w:eastAsia="Arial" w:hAnsi="Arial"/>
          <w:sz w:val="16"/>
          <w:szCs w:val="16"/>
          <w:color w:val="auto"/>
        </w:rPr>
        <w:t>. Comparable store sales measure performance of a store during the current reporting period against the performance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store in the corresponding period of the previous year. Due to the impact of the COVID-19 pandemic, including the temporary closing of all stores during Fiscal 2020, we are using Fiscal 2019 as the comparable previous year period when calculating comparable store sales for Fiscal 2021. The method of calculating comparable store sales varies across the retail industry. As a result, our definition of comparable store sales may differ from other retailers.</w:t>
      </w:r>
    </w:p>
    <w:p>
      <w:pPr>
        <w:spacing w:after="0" w:line="155"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For Fiscal 2021, we define comparable store sales as merchandise sales of those stores, commencing on the first day of the fiscal month two years after the end of their grand opening activities, which normally conclude within the first two months of operations. If a store is closed for seven or more days during a month, our policy is to remove that store from our calculation of comparable stores sales for any such month, as well as during the month(s) of their grand re-opening activities. Comparable store sales increased 15% and 3% in full year periods for Fiscal 2021 and Fiscal 2019, respectively. Comparable store sales were not meaningful for Fiscal 2020 due to the temporary store closures resulting from the COVID-19 pandemic.</w:t>
      </w:r>
    </w:p>
    <w:p>
      <w:pPr>
        <w:spacing w:after="0" w:line="254" w:lineRule="exact"/>
        <w:rPr>
          <w:sz w:val="20"/>
          <w:szCs w:val="20"/>
          <w:color w:val="auto"/>
        </w:rPr>
      </w:pPr>
    </w:p>
    <w:p>
      <w:pPr>
        <w:ind w:right="740" w:firstLine="509"/>
        <w:spacing w:after="0" w:line="248" w:lineRule="auto"/>
        <w:rPr>
          <w:sz w:val="20"/>
          <w:szCs w:val="20"/>
          <w:color w:val="auto"/>
        </w:rPr>
      </w:pPr>
      <w:r>
        <w:rPr>
          <w:rFonts w:ascii="Arial" w:cs="Arial" w:eastAsia="Arial" w:hAnsi="Arial"/>
          <w:sz w:val="18"/>
          <w:szCs w:val="18"/>
          <w:color w:val="auto"/>
        </w:rPr>
        <w:t>Various factors affect comparable store sales, including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is the difference between net sales and the cost of sales. Our cost of sales and gross margin may not be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of other entities, since some entities include all of the costs related to their buying and distribution functions, certain store-related costs and other costs, in cost of sales. We include certain of these costs in the line items “Selling, general and administrative expenses” and “Depreciation and amortization” in our Consolidated Statements of Income (Loss).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expanded to 41.6% during Fiscal 2021, compared with 38.2% during Fiscal 2020, driven primarily by inventory markdowns in Fiscal 2020 due to aged inventory at closed stores and warehouses, partially offset by increased freight costs in Fiscal 2021.</w:t>
      </w:r>
    </w:p>
    <w:p>
      <w:pPr>
        <w:spacing w:after="0" w:line="19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Inventory at January 29, 2022 increased to $1,021.0 million from $740.8 million at January 30, 2021. This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our 79 net new stores since the end of Fiscal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20" w:firstLine="509"/>
        <w:spacing w:after="0" w:line="243" w:lineRule="auto"/>
        <w:rPr>
          <w:sz w:val="20"/>
          <w:szCs w:val="20"/>
          <w:color w:val="auto"/>
        </w:rPr>
      </w:pPr>
      <w:r>
        <w:rPr>
          <w:rFonts w:ascii="Arial" w:cs="Arial" w:eastAsia="Arial" w:hAnsi="Arial"/>
          <w:sz w:val="18"/>
          <w:szCs w:val="18"/>
          <w:color w:val="auto"/>
        </w:rPr>
        <w:t>Comparable store inventory at January 29, 2022 decreased 30% compared to February 1, 2020, driven by the continued execution of our strategy to operate with leaner in-store inventory. Reserve inventory was 50% of total inventory as of January 29, 2022, compared with 33% as of February 1, 2020. Reserve inventory includes all inventory that is being stored by our warehouses and distribution centers for release either later in the season, or in a subsequent season. We intend to use our reserve merchandise to effectively chase sales trends.</w:t>
      </w:r>
    </w:p>
    <w:p>
      <w:pPr>
        <w:spacing w:after="0" w:line="188"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w:t>
      </w:r>
    </w:p>
    <w:p>
      <w:pPr>
        <w:spacing w:after="0" w:line="12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i w:val="1"/>
          <w:iCs w:val="1"/>
          <w:color w:val="auto"/>
        </w:rPr>
        <w:t>Store Payroll</w:t>
      </w:r>
      <w:r>
        <w:rPr>
          <w:rFonts w:ascii="Arial" w:cs="Arial" w:eastAsia="Arial" w:hAnsi="Arial"/>
          <w:sz w:val="18"/>
          <w:szCs w:val="18"/>
          <w:color w:val="auto"/>
        </w:rPr>
        <w:t>. The method of calculating store payroll varies across the retail industry. As a result, our store payroll may differ from other retailers.</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store payroll as regular and overtime payroll for all store personnel as well as regional and territory personnel, exclusive of payroll charges related to corporate and warehouse employees.</w:t>
      </w:r>
    </w:p>
    <w:p>
      <w:pPr>
        <w:spacing w:after="0" w:line="18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As a result of the COVID-19 pandemic, we temporarily furloughed most store associates in March 2020, while providing two weeks of financial support to impacted associates. We also continued to provide benefits to furloughed associates, including paying 100% of their current medical benefit premiums while they were furloughed. As a result of these actions, store payroll costs increased to $754.9 million during Fiscal 2021, compared with $572.0 million during Fiscal 2020.</w:t>
      </w:r>
    </w:p>
    <w:p>
      <w:pPr>
        <w:spacing w:after="0" w:line="188" w:lineRule="exact"/>
        <w:rPr>
          <w:sz w:val="20"/>
          <w:szCs w:val="20"/>
          <w:color w:val="auto"/>
        </w:rPr>
      </w:pPr>
    </w:p>
    <w:p>
      <w:pPr>
        <w:jc w:val="both"/>
        <w:ind w:right="640" w:firstLine="509"/>
        <w:spacing w:after="0" w:line="243"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Liquidity measures our ability to generate cash. Management measures liquidity through cash flow, which is the measure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or used in operating, financing, and investing activities. Cash and cash equivalents, including restricted cash and cash equivalents, decreased $289.2 million during Fiscal 2021, compared with an increase of $977.2 million during Fiscal 2020. Refer to the section below entitled “Liquidity and Capital Resources” for further explanation.</w:t>
      </w:r>
    </w:p>
    <w:p>
      <w:pPr>
        <w:spacing w:after="0" w:line="188"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During Fiscal 2020, we took several steps to effectively manage our liquidity during the COVID-19 pandemic, including careful management of operating expenses, working capital and capital expenditures, as well as temporarily suspending our share repurchase program. We resumed the share repurchase program during the third quarter of Fiscal 2021, with $250.0 million repurchased in total during the year.</w:t>
      </w:r>
    </w:p>
    <w:p>
      <w:pPr>
        <w:spacing w:after="0" w:line="164"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During Fiscal 2020, we borrowed $400 million on our existing ABL Line of Credit, issued $805 million of our Convertible Notes, and through Burlington Coat Factory Warehouse Corporation, an indirect subsidiary of the Company (BCFWC), issued $300 million of our Secured Notes.</w:t>
      </w:r>
    </w:p>
    <w:p>
      <w:pPr>
        <w:spacing w:after="0" w:line="12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repaid $150.0 million on the ABL Line of Credit during the second quarter of Fiscal 2020, and the remaining $250.0 million during the fourth quarter of Fiscal 2020. On June 11, 2021, BCFWC redeemed the full $300.0 million aggregate principal amount of the Secured Notes. During Fiscal 2021, we redeemed $160.4 million and $72.3 million related to partial repurchases of the Convertible Notes. At January 29, 2022, we had $594.6 million available under the ABL Line of Credit. We also had irrevocable letters of credit in the amount of $55.4 million as of January 29, 2022.</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certain items in the Consolidated Statements of Income (Loss) as a percentage of net sales for the periods indicated.</w:t>
      </w:r>
    </w:p>
    <w:p>
      <w:pPr>
        <w:spacing w:after="0" w:line="200" w:lineRule="exact"/>
        <w:rPr>
          <w:sz w:val="20"/>
          <w:szCs w:val="20"/>
          <w:color w:val="auto"/>
        </w:rPr>
      </w:pPr>
    </w:p>
    <w:p>
      <w:pPr>
        <w:spacing w:after="0" w:line="37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8"/>
              </w:rPr>
              <w:t>Percentage of Net Sales</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Fiscal Year Ended</w:t>
            </w: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900" w:type="dxa"/>
            <w:vAlign w:val="bottom"/>
          </w:tcPr>
          <w:p>
            <w:pPr>
              <w:spacing w:after="0"/>
              <w:rPr>
                <w:sz w:val="13"/>
                <w:szCs w:val="13"/>
                <w:color w:val="auto"/>
              </w:rPr>
            </w:pPr>
          </w:p>
        </w:tc>
        <w:tc>
          <w:tcPr>
            <w:tcW w:w="1260" w:type="dxa"/>
            <w:vAlign w:val="bottom"/>
            <w:gridSpan w:val="2"/>
          </w:tcPr>
          <w:p>
            <w:pPr>
              <w:jc w:val="right"/>
              <w:ind w:right="270"/>
              <w:spacing w:after="0" w:line="160" w:lineRule="exact"/>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3"/>
                <w:szCs w:val="13"/>
                <w:color w:val="auto"/>
              </w:rPr>
            </w:pPr>
          </w:p>
        </w:tc>
        <w:tc>
          <w:tcPr>
            <w:tcW w:w="1460" w:type="dxa"/>
            <w:vAlign w:val="bottom"/>
            <w:gridSpan w:val="2"/>
          </w:tcPr>
          <w:p>
            <w:pPr>
              <w:jc w:val="right"/>
              <w:ind w:right="510"/>
              <w:spacing w:after="0" w:line="160" w:lineRule="exact"/>
              <w:rPr>
                <w:sz w:val="20"/>
                <w:szCs w:val="20"/>
                <w:color w:val="auto"/>
              </w:rPr>
            </w:pPr>
            <w:r>
              <w:rPr>
                <w:rFonts w:ascii="Arial" w:cs="Arial" w:eastAsia="Arial" w:hAnsi="Arial"/>
                <w:sz w:val="14"/>
                <w:szCs w:val="14"/>
                <w:b w:val="1"/>
                <w:bCs w:val="1"/>
                <w:color w:val="auto"/>
              </w:rPr>
              <w:t>January 30,</w:t>
            </w:r>
          </w:p>
        </w:tc>
        <w:tc>
          <w:tcPr>
            <w:tcW w:w="1040" w:type="dxa"/>
            <w:vAlign w:val="bottom"/>
          </w:tcPr>
          <w:p>
            <w:pPr>
              <w:jc w:val="right"/>
              <w:ind w:right="72"/>
              <w:spacing w:after="0" w:line="160"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80" w:type="dxa"/>
            <w:vAlign w:val="bottom"/>
            <w:vMerge w:val="restart"/>
          </w:tcPr>
          <w:p>
            <w:pPr>
              <w:jc w:val="right"/>
              <w:ind w:right="230"/>
              <w:spacing w:after="0"/>
              <w:rPr>
                <w:sz w:val="20"/>
                <w:szCs w:val="20"/>
                <w:color w:val="auto"/>
              </w:rPr>
            </w:pPr>
            <w:r>
              <w:rPr>
                <w:rFonts w:ascii="Arial" w:cs="Arial" w:eastAsia="Arial" w:hAnsi="Arial"/>
                <w:sz w:val="18"/>
                <w:szCs w:val="18"/>
                <w:color w:val="auto"/>
                <w:w w:val="87"/>
              </w:rPr>
              <w:t>%</w:t>
            </w: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48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revenue</w:t>
            </w: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4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180"/>
              <w:spacing w:after="0" w:line="196" w:lineRule="exact"/>
              <w:rPr>
                <w:sz w:val="20"/>
                <w:szCs w:val="20"/>
                <w:color w:val="auto"/>
              </w:rPr>
            </w:pPr>
            <w:r>
              <w:rPr>
                <w:rFonts w:ascii="Arial" w:cs="Arial" w:eastAsia="Arial" w:hAnsi="Arial"/>
                <w:sz w:val="18"/>
                <w:szCs w:val="18"/>
                <w:color w:val="auto"/>
              </w:rPr>
              <w:t>Total revenue</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100.2</w:t>
            </w:r>
          </w:p>
        </w:tc>
        <w:tc>
          <w:tcPr>
            <w:tcW w:w="18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100.2</w:t>
            </w:r>
          </w:p>
        </w:tc>
        <w:tc>
          <w:tcPr>
            <w:tcW w:w="4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100.4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sales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61.8</w:t>
            </w: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18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w:t>
            </w: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Costs related to debt issuances and amendments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4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Impairment charges - long-lived assets</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Other income - net</w:t>
            </w: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(0.1 )</w:t>
            </w:r>
          </w:p>
        </w:tc>
        <w:tc>
          <w:tcPr>
            <w:tcW w:w="1660" w:type="dxa"/>
            <w:vAlign w:val="bottom"/>
            <w:gridSpan w:val="3"/>
          </w:tcPr>
          <w:p>
            <w:pPr>
              <w:jc w:val="right"/>
              <w:ind w:right="310"/>
              <w:spacing w:after="0" w:line="202" w:lineRule="exact"/>
              <w:rPr>
                <w:sz w:val="20"/>
                <w:szCs w:val="20"/>
                <w:color w:val="auto"/>
              </w:rPr>
            </w:pPr>
            <w:r>
              <w:rPr>
                <w:rFonts w:ascii="Arial" w:cs="Arial" w:eastAsia="Arial" w:hAnsi="Arial"/>
                <w:sz w:val="18"/>
                <w:szCs w:val="18"/>
                <w:color w:val="auto"/>
              </w:rPr>
              <w:t>(0.1 )</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extinguishment of debt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costs and expenses</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w:t>
            </w:r>
          </w:p>
        </w:tc>
        <w:tc>
          <w:tcPr>
            <w:tcW w:w="4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92.4</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 expense (benefit)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1660" w:type="dxa"/>
            <w:vAlign w:val="bottom"/>
            <w:gridSpan w:val="3"/>
          </w:tcPr>
          <w:p>
            <w:pPr>
              <w:jc w:val="right"/>
              <w:ind w:right="310"/>
              <w:spacing w:after="0" w:line="196" w:lineRule="exact"/>
              <w:rPr>
                <w:sz w:val="20"/>
                <w:szCs w:val="20"/>
                <w:color w:val="auto"/>
              </w:rPr>
            </w:pPr>
            <w:r>
              <w:rPr>
                <w:rFonts w:ascii="Arial" w:cs="Arial" w:eastAsia="Arial" w:hAnsi="Arial"/>
                <w:sz w:val="18"/>
                <w:szCs w:val="18"/>
                <w:color w:val="auto"/>
              </w:rPr>
              <w:t>(7.7 )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 (benefit)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(3.8 )</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4.4 %</w:t>
            </w:r>
          </w:p>
        </w:tc>
        <w:tc>
          <w:tcPr>
            <w:tcW w:w="1660" w:type="dxa"/>
            <w:vAlign w:val="bottom"/>
            <w:gridSpan w:val="3"/>
          </w:tcPr>
          <w:p>
            <w:pPr>
              <w:jc w:val="right"/>
              <w:ind w:right="170"/>
              <w:spacing w:after="0" w:line="182" w:lineRule="exact"/>
              <w:rPr>
                <w:sz w:val="20"/>
                <w:szCs w:val="20"/>
                <w:color w:val="auto"/>
              </w:rPr>
            </w:pPr>
            <w:r>
              <w:rPr>
                <w:rFonts w:ascii="Arial" w:cs="Arial" w:eastAsia="Arial" w:hAnsi="Arial"/>
                <w:sz w:val="18"/>
                <w:szCs w:val="18"/>
                <w:color w:val="auto"/>
              </w:rPr>
              <w:t>(3.9 )%</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-1727835</wp:posOffset>
            </wp:positionV>
            <wp:extent cx="1543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-1727835</wp:posOffset>
            </wp:positionV>
            <wp:extent cx="2057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-1727835</wp:posOffset>
            </wp:positionV>
            <wp:extent cx="1460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-424815</wp:posOffset>
            </wp:positionV>
            <wp:extent cx="15430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-424815</wp:posOffset>
            </wp:positionV>
            <wp:extent cx="2057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-424815</wp:posOffset>
            </wp:positionV>
            <wp:extent cx="1460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wp:posOffset>
            </wp:positionV>
            <wp:extent cx="1543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-159385</wp:posOffset>
            </wp:positionV>
            <wp:extent cx="2057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-159385</wp:posOffset>
            </wp:positionV>
            <wp:extent cx="14605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317" w:lineRule="exact"/>
        <w:rPr>
          <w:sz w:val="20"/>
          <w:szCs w:val="20"/>
          <w:color w:val="auto"/>
        </w:rPr>
      </w:pPr>
    </w:p>
    <w:p>
      <w:pPr>
        <w:ind w:right="1240"/>
        <w:spacing w:after="0" w:line="360" w:lineRule="auto"/>
        <w:rPr>
          <w:sz w:val="20"/>
          <w:szCs w:val="20"/>
          <w:color w:val="auto"/>
        </w:rPr>
      </w:pPr>
      <w:r>
        <w:rPr>
          <w:rFonts w:ascii="Arial" w:cs="Arial" w:eastAsia="Arial" w:hAnsi="Arial"/>
          <w:sz w:val="18"/>
          <w:szCs w:val="18"/>
          <w:b w:val="1"/>
          <w:bCs w:val="1"/>
          <w:i w:val="1"/>
          <w:iCs w:val="1"/>
          <w:color w:val="auto"/>
        </w:rPr>
        <w:t xml:space="preserve">Performance for Fiscal Year Ended January 29, 2022 (Fiscal 2021) Compared with Fiscal Year Ended January 30, 2021 (Fiscal 2020) </w:t>
      </w:r>
      <w:r>
        <w:rPr>
          <w:rFonts w:ascii="Arial" w:cs="Arial" w:eastAsia="Arial" w:hAnsi="Arial"/>
          <w:sz w:val="18"/>
          <w:szCs w:val="18"/>
          <w:i w:val="1"/>
          <w:iCs w:val="1"/>
          <w:color w:val="auto"/>
        </w:rPr>
        <w:t>Net sales</w:t>
      </w:r>
    </w:p>
    <w:p>
      <w:pPr>
        <w:ind w:firstLine="509"/>
        <w:spacing w:after="0" w:line="261" w:lineRule="auto"/>
        <w:rPr>
          <w:sz w:val="20"/>
          <w:szCs w:val="20"/>
          <w:color w:val="auto"/>
        </w:rPr>
      </w:pPr>
      <w:r>
        <w:rPr>
          <w:rFonts w:ascii="Arial" w:cs="Arial" w:eastAsia="Arial" w:hAnsi="Arial"/>
          <w:sz w:val="18"/>
          <w:szCs w:val="18"/>
          <w:color w:val="auto"/>
        </w:rPr>
        <w:t>Net sales improved $3,555.0 million, or 61.8%, to $9,306.5 million, primarily due to the temporary closure of all our stores during Fiscal 2020. This improvement was also driven by net sales from our 79 net new stores opened since the end of Fiscal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revenue improved $3.3 million to $15.7 million, primarily driven by increased revenue from our private label credit card.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Cost of sales as a percentage of net sales improved to 58.4% during Fiscal 2021, driven primarily by a $271.9 million charge against aged inventory in the first quarter of Fiscal 2020 due to the extended store closures, partially offset by increased industry-wide supply chain costs during Fiscal 2021. On a dollar basis, cost of sales increased $1,881.1 million, or 52.9%, primarily driven by our overall increase in sales as well as increased industry-wide supply chain costs. Product sourcing costs, which are included in the line item “Selling, general and administrative expenses” in our Consolidated Statements of Income (Loss), were $618.3 million during Fiscal 2021, compared to $433.8 million during Fiscal 2020.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details selling, general and administrative expenses for Fiscal 2021 compared with Fiscal 2020.</w:t>
      </w:r>
    </w:p>
    <w:p>
      <w:pPr>
        <w:spacing w:after="0" w:line="244"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12700</wp:posOffset>
            </wp:positionV>
            <wp:extent cx="44919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4" w:lineRule="exact"/>
        <w:rPr>
          <w:sz w:val="20"/>
          <w:szCs w:val="20"/>
          <w:color w:val="auto"/>
        </w:rPr>
      </w:pPr>
    </w:p>
    <w:p>
      <w:pPr>
        <w:jc w:val="center"/>
        <w:ind w:left="3140"/>
        <w:spacing w:after="0"/>
        <w:rPr>
          <w:sz w:val="20"/>
          <w:szCs w:val="20"/>
          <w:color w:val="auto"/>
        </w:rPr>
      </w:pPr>
      <w:r>
        <w:rPr>
          <w:rFonts w:ascii="Arial" w:cs="Arial" w:eastAsia="Arial" w:hAnsi="Arial"/>
          <w:sz w:val="14"/>
          <w:szCs w:val="14"/>
          <w:b w:val="1"/>
          <w:bCs w:val="1"/>
          <w:color w:val="auto"/>
        </w:rPr>
        <w:t>Fiscal Year Ended</w:t>
      </w:r>
    </w:p>
    <w:p>
      <w:pPr>
        <w:sectPr>
          <w:pgSz w:w="11900" w:h="16838" w:orient="portrait"/>
          <w:cols w:equalWidth="0" w:num="1">
            <w:col w:w="11220"/>
          </w:cols>
          <w:pgMar w:left="320" w:top="652"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Store related costs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Product sourcing costs</w:t>
      </w:r>
    </w:p>
    <w:p>
      <w:pPr>
        <w:ind w:left="300"/>
        <w:spacing w:after="0" w:line="234" w:lineRule="auto"/>
        <w:rPr>
          <w:sz w:val="20"/>
          <w:szCs w:val="20"/>
          <w:color w:val="auto"/>
        </w:rPr>
      </w:pPr>
      <w:r>
        <w:rPr>
          <w:rFonts w:ascii="Arial" w:cs="Arial" w:eastAsia="Arial" w:hAnsi="Arial"/>
          <w:sz w:val="18"/>
          <w:szCs w:val="18"/>
          <w:color w:val="auto"/>
        </w:rPr>
        <w:t>Corporate costs</w:t>
      </w:r>
    </w:p>
    <w:p>
      <w:pPr>
        <w:ind w:left="300"/>
        <w:spacing w:after="0" w:line="235" w:lineRule="auto"/>
        <w:rPr>
          <w:sz w:val="20"/>
          <w:szCs w:val="20"/>
          <w:color w:val="auto"/>
        </w:rPr>
      </w:pPr>
      <w:r>
        <w:rPr>
          <w:rFonts w:ascii="Arial" w:cs="Arial" w:eastAsia="Arial" w:hAnsi="Arial"/>
          <w:sz w:val="18"/>
          <w:szCs w:val="18"/>
          <w:color w:val="auto"/>
        </w:rPr>
        <w:t>Marketing and strategy costs</w:t>
      </w:r>
    </w:p>
    <w:p>
      <w:pPr>
        <w:spacing w:after="0" w:line="1" w:lineRule="exact"/>
        <w:rPr>
          <w:sz w:val="20"/>
          <w:szCs w:val="20"/>
          <w:color w:val="auto"/>
        </w:rPr>
      </w:pPr>
    </w:p>
    <w:p>
      <w:pPr>
        <w:ind w:left="300"/>
        <w:spacing w:after="0" w:line="219" w:lineRule="auto"/>
        <w:rPr>
          <w:sz w:val="20"/>
          <w:szCs w:val="20"/>
          <w:color w:val="auto"/>
        </w:rPr>
      </w:pPr>
      <w:r>
        <w:rPr>
          <w:rFonts w:ascii="Arial" w:cs="Arial" w:eastAsia="Arial" w:hAnsi="Arial"/>
          <w:sz w:val="18"/>
          <w:szCs w:val="18"/>
          <w:color w:val="auto"/>
        </w:rPr>
        <w:t>Other selling, general and administrative expenses</w:t>
      </w:r>
    </w:p>
    <w:p>
      <w:pPr>
        <w:ind w:left="300" w:right="260"/>
        <w:spacing w:after="0" w:line="226" w:lineRule="auto"/>
        <w:rPr>
          <w:sz w:val="20"/>
          <w:szCs w:val="20"/>
          <w:color w:val="auto"/>
        </w:rPr>
      </w:pPr>
      <w:r>
        <w:rPr>
          <w:rFonts w:ascii="Arial" w:cs="Arial" w:eastAsia="Arial" w:hAnsi="Arial"/>
          <w:sz w:val="18"/>
          <w:szCs w:val="18"/>
          <w:b w:val="1"/>
          <w:bCs w:val="1"/>
          <w:color w:val="auto"/>
        </w:rPr>
        <w:t>Selling, general and administrative 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w w:val="93"/>
              </w:rPr>
              <w:t>January 29,</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50"/>
              <w:spacing w:after="0" w:line="133"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w w:val="95"/>
              </w:rPr>
              <w:t>January 30,</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30"/>
              <w:spacing w:after="0" w:line="133"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 Variance</w:t>
            </w:r>
          </w:p>
        </w:tc>
        <w:tc>
          <w:tcPr>
            <w:tcW w:w="1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30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88"/>
              </w:rPr>
              <w:t>Net Sales</w:t>
            </w:r>
          </w:p>
        </w:tc>
        <w:tc>
          <w:tcPr>
            <w:tcW w:w="120" w:type="dxa"/>
            <w:vAlign w:val="bottom"/>
          </w:tcPr>
          <w:p>
            <w:pPr>
              <w:spacing w:after="0"/>
              <w:rPr>
                <w:sz w:val="16"/>
                <w:szCs w:val="16"/>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1,766.7</w:t>
            </w:r>
          </w:p>
        </w:tc>
        <w:tc>
          <w:tcPr>
            <w:tcW w:w="180" w:type="dxa"/>
            <w:vAlign w:val="bottom"/>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19.0</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1,494.4</w:t>
            </w:r>
          </w:p>
        </w:tc>
        <w:tc>
          <w:tcPr>
            <w:tcW w:w="160" w:type="dxa"/>
            <w:vAlign w:val="bottom"/>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26.0</w:t>
            </w:r>
          </w:p>
        </w:tc>
        <w:tc>
          <w:tcPr>
            <w:tcW w:w="320" w:type="dxa"/>
            <w:vAlign w:val="bottom"/>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272.3</w:t>
            </w:r>
          </w:p>
        </w:tc>
        <w:tc>
          <w:tcPr>
            <w:tcW w:w="160" w:type="dxa"/>
            <w:vAlign w:val="bottom"/>
          </w:tcPr>
          <w:p>
            <w:pPr>
              <w:spacing w:after="0"/>
              <w:rPr>
                <w:sz w:val="15"/>
                <w:szCs w:val="15"/>
                <w:color w:val="auto"/>
              </w:rPr>
            </w:pPr>
          </w:p>
        </w:tc>
        <w:tc>
          <w:tcPr>
            <w:tcW w:w="860" w:type="dxa"/>
            <w:vAlign w:val="bottom"/>
            <w:tcBorders>
              <w:top w:val="single" w:sz="8" w:color="auto"/>
            </w:tcBorders>
          </w:tcPr>
          <w:p>
            <w:pPr>
              <w:ind w:left="540"/>
              <w:spacing w:after="0" w:line="182" w:lineRule="exact"/>
              <w:rPr>
                <w:sz w:val="20"/>
                <w:szCs w:val="20"/>
                <w:color w:val="auto"/>
              </w:rPr>
            </w:pPr>
            <w:r>
              <w:rPr>
                <w:rFonts w:ascii="Arial" w:cs="Arial" w:eastAsia="Arial" w:hAnsi="Arial"/>
                <w:sz w:val="18"/>
                <w:szCs w:val="18"/>
                <w:color w:val="auto"/>
                <w:w w:val="85"/>
              </w:rPr>
              <w:t>18.2</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618.3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433.8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184.5</w:t>
            </w:r>
          </w:p>
        </w:tc>
        <w:tc>
          <w:tcPr>
            <w:tcW w:w="102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85"/>
              </w:rPr>
              <w:t>42.5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311.6</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265.4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102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85"/>
              </w:rPr>
              <w:t>17.4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w w:val="85"/>
              </w:rPr>
              <w:t>13.6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4"/>
                <w:szCs w:val="24"/>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5"/>
              </w:rPr>
              <w:t>39.4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2,868.5</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30.8 %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2,326.9</w:t>
            </w:r>
          </w:p>
        </w:tc>
        <w:tc>
          <w:tcPr>
            <w:tcW w:w="1400" w:type="dxa"/>
            <w:vAlign w:val="bottom"/>
            <w:gridSpan w:val="3"/>
          </w:tcPr>
          <w:p>
            <w:pPr>
              <w:jc w:val="right"/>
              <w:ind w:right="70"/>
              <w:spacing w:after="0"/>
              <w:rPr>
                <w:sz w:val="20"/>
                <w:szCs w:val="20"/>
                <w:color w:val="auto"/>
              </w:rPr>
            </w:pPr>
            <w:r>
              <w:rPr>
                <w:rFonts w:ascii="Arial" w:cs="Arial" w:eastAsia="Arial" w:hAnsi="Arial"/>
                <w:sz w:val="18"/>
                <w:szCs w:val="18"/>
                <w:color w:val="auto"/>
              </w:rPr>
              <w:t>40.5 %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541.7</w:t>
            </w: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w w:val="82"/>
              </w:rPr>
              <w:t>23.3 %</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-993775</wp:posOffset>
            </wp:positionV>
            <wp:extent cx="6772275"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2275" cy="12827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-736600</wp:posOffset>
            </wp:positionV>
            <wp:extent cx="677227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-479425</wp:posOffset>
            </wp:positionV>
            <wp:extent cx="677227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2275" cy="24003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240" w:space="420"/>
            <w:col w:w="7560"/>
          </w:cols>
          <w:pgMar w:left="320" w:top="652" w:right="359" w:bottom="1440" w:gutter="0" w:footer="0" w:header="0"/>
          <w:type w:val="continuous"/>
        </w:sectPr>
      </w:pPr>
    </w:p>
    <w:p>
      <w:pPr>
        <w:ind w:right="60" w:firstLine="584"/>
        <w:spacing w:after="0" w:line="262" w:lineRule="auto"/>
        <w:rPr>
          <w:sz w:val="20"/>
          <w:szCs w:val="20"/>
          <w:color w:val="auto"/>
        </w:rPr>
      </w:pPr>
      <w:r>
        <w:rPr>
          <w:rFonts w:ascii="Arial" w:cs="Arial" w:eastAsia="Arial" w:hAnsi="Arial"/>
          <w:sz w:val="17"/>
          <w:szCs w:val="17"/>
          <w:color w:val="auto"/>
        </w:rPr>
        <w:t>The decrease in selling, general and administrative expenses as a percentage of net sales was primarily driven by the overall increase in sales. On a dollar basis, the increase in selling, general and administrative expenses was primarily due to our higher store count and sales volume, which drove increases in store related costs, primarily store payroll and occupancy costs, as well as product sourcing costs. Additionally, significant steps were taken to reduce selling, general and administrative expenses during the period stores were closed during Fiscal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issuances and amendments</w:t>
      </w:r>
    </w:p>
    <w:p>
      <w:pPr>
        <w:spacing w:after="0" w:line="104"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During Fiscal 2021, we incurred $3.4 million of legal and placement fees related to the refinancing of our Term Loan Facility. During Fiscal 2020, we incurred legal fees related to the issuance of our Secured Notes of $2.5 million, as well as legal and placement fees of $1.1 million related to the refinancing our Term Loan Facility. Refer to Note 7, “Long Term Debt,” for further discussion regarding our debt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auto"/>
        </w:rPr>
        <w:t>Depreciation and amortization expense amounted to $249.2 million during Fiscal 2021, compared with $220.4 million during Fiscal 2020. The increase in depreciation and amortization expense was primarily driven by capital expenditures related to our new and non-comparable stores.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Impairment charges related to long-lived assets were $7.7 million and $6.0 million during Fiscal 2021 and Fiscal 2020, respectively, related to store-level assets and lease assets at 9 stores and 14 stores during Fiscal 2021 and Fiscal 2020, respectively.</w:t>
      </w:r>
    </w:p>
    <w:p>
      <w:pPr>
        <w:spacing w:after="0" w:line="17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recoverability assessment related to these store-level assets requires various judgments and estimates, including estimates related to future revenues, gross margin rates, store expenses, market rent rates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jc w:val="both"/>
        <w:ind w:right="400" w:firstLine="509"/>
        <w:spacing w:after="0" w:line="243" w:lineRule="auto"/>
        <w:rPr>
          <w:sz w:val="20"/>
          <w:szCs w:val="20"/>
          <w:color w:val="auto"/>
        </w:rPr>
      </w:pPr>
      <w:r>
        <w:rPr>
          <w:rFonts w:ascii="Arial" w:cs="Arial" w:eastAsia="Arial" w:hAnsi="Arial"/>
          <w:sz w:val="18"/>
          <w:szCs w:val="18"/>
          <w:color w:val="auto"/>
        </w:rPr>
        <w:t>Other income, net (consisting of gains and losses on insurance proceeds, interest income, net gains and losses on disposition of assets, gift card breakage, and other miscellaneous items) improved $3.3 million to $11.6 million during Fiscal 2021. The improvement in other income was primarily driven by increased recycling income due to store and distribution center closures in Fiscal 2020 and the sale of New Jersey Grow tax credits in Fiscal 2021, partially offset by losses on fixed asset disposal in Fiscal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During Fiscal 2021, we incurred debt extinguishment charges of $124.6 million related to the partial repurchases of the Convertible Notes, $30.2 million related to the premium paid on redemption of the Secured Notes, as well as $1.2 million related to the refinancing of our Term Loan Facility. Refer to Note 7, “Long Term Debt,” for further discussion regarding our debt transactions.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Interest expense improved $30.3 million to $67.5 million. The decrease was primarily driven by the adoption of ASU 2020-06, which eliminated the amortization of debt discount previously associated with the Convertible Notes. The decrease was also driven by the partial repurchase of $232.7 million of Convertible Notes and redemption in full of the $300.0 million Secured Notes in Fiscal 2021, as well as the paydown of our ABL Line of Credit during Fiscal 2020.</w:t>
      </w:r>
    </w:p>
    <w:p>
      <w:pPr>
        <w:spacing w:after="0" w:line="18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Our average interest rates and average balances related to our variable rate debt for Fiscal 2021 compared with Fiscal 2020 are summarized in the table below:</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Fiscal Year Ended</w:t>
            </w:r>
          </w:p>
        </w:tc>
        <w:tc>
          <w:tcPr>
            <w:tcW w:w="1260" w:type="dxa"/>
            <w:vAlign w:val="bottom"/>
            <w:tcBorders>
              <w:bottom w:val="single" w:sz="8" w:color="auto"/>
            </w:tcBorders>
          </w:tcPr>
          <w:p>
            <w:pPr>
              <w:spacing w:after="0"/>
              <w:rPr>
                <w:sz w:val="16"/>
                <w:szCs w:val="16"/>
                <w:color w:val="auto"/>
              </w:rPr>
            </w:pPr>
          </w:p>
        </w:tc>
      </w:tr>
      <w:tr>
        <w:trPr>
          <w:trHeight w:val="160"/>
        </w:trPr>
        <w:tc>
          <w:tcPr>
            <w:tcW w:w="4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ind w:left="460"/>
              <w:spacing w:after="0" w:line="160" w:lineRule="exact"/>
              <w:rPr>
                <w:sz w:val="20"/>
                <w:szCs w:val="20"/>
                <w:color w:val="auto"/>
              </w:rPr>
            </w:pPr>
            <w:r>
              <w:rPr>
                <w:rFonts w:ascii="Arial" w:cs="Arial" w:eastAsia="Arial" w:hAnsi="Arial"/>
                <w:sz w:val="14"/>
                <w:szCs w:val="14"/>
                <w:b w:val="1"/>
                <w:bCs w:val="1"/>
                <w:color w:val="auto"/>
              </w:rPr>
              <w:t>January 29,</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January 30,</w:t>
            </w:r>
          </w:p>
        </w:tc>
      </w:tr>
      <w:tr>
        <w:trPr>
          <w:trHeight w:val="185"/>
        </w:trPr>
        <w:tc>
          <w:tcPr>
            <w:tcW w:w="4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96"/>
              </w:rPr>
              <w:t>2022</w:t>
            </w:r>
          </w:p>
        </w:tc>
        <w:tc>
          <w:tcPr>
            <w:tcW w:w="4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Average balance – ABL Line of Credit (in millions)</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336"/>
              <w:spacing w:after="0" w:line="196" w:lineRule="exact"/>
              <w:rPr>
                <w:sz w:val="20"/>
                <w:szCs w:val="20"/>
                <w:color w:val="auto"/>
              </w:rPr>
            </w:pPr>
            <w:r>
              <w:rPr>
                <w:rFonts w:ascii="Arial" w:cs="Arial" w:eastAsia="Arial" w:hAnsi="Arial"/>
                <w:sz w:val="18"/>
                <w:szCs w:val="18"/>
                <w:color w:val="auto"/>
                <w:w w:val="88"/>
              </w:rPr>
              <w:t>256.6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Average interest rate – ABL Line of Credit</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center"/>
              <w:ind w:right="356"/>
              <w:spacing w:after="0" w:line="202" w:lineRule="exact"/>
              <w:rPr>
                <w:sz w:val="20"/>
                <w:szCs w:val="20"/>
                <w:color w:val="auto"/>
              </w:rPr>
            </w:pPr>
            <w:r>
              <w:rPr>
                <w:rFonts w:ascii="Arial" w:cs="Arial" w:eastAsia="Arial" w:hAnsi="Arial"/>
                <w:sz w:val="18"/>
                <w:szCs w:val="18"/>
                <w:color w:val="auto"/>
                <w:w w:val="92"/>
              </w:rPr>
              <w:t>1.9%</w:t>
            </w: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balance – Term Loan Facility (in millions) (a)</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center"/>
              <w:ind w:left="319"/>
              <w:spacing w:after="0" w:line="202" w:lineRule="exact"/>
              <w:rPr>
                <w:sz w:val="20"/>
                <w:szCs w:val="20"/>
                <w:color w:val="auto"/>
              </w:rPr>
            </w:pPr>
            <w:r>
              <w:rPr>
                <w:rFonts w:ascii="Arial" w:cs="Arial" w:eastAsia="Arial" w:hAnsi="Arial"/>
                <w:sz w:val="18"/>
                <w:szCs w:val="18"/>
                <w:color w:val="auto"/>
                <w:w w:val="93"/>
              </w:rPr>
              <w:t>960.4</w:t>
            </w:r>
          </w:p>
        </w:tc>
        <w:tc>
          <w:tcPr>
            <w:tcW w:w="4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336"/>
              <w:spacing w:after="0" w:line="202" w:lineRule="exact"/>
              <w:rPr>
                <w:sz w:val="20"/>
                <w:szCs w:val="20"/>
                <w:color w:val="auto"/>
              </w:rPr>
            </w:pPr>
            <w:r>
              <w:rPr>
                <w:rFonts w:ascii="Arial" w:cs="Arial" w:eastAsia="Arial" w:hAnsi="Arial"/>
                <w:sz w:val="18"/>
                <w:szCs w:val="18"/>
                <w:color w:val="auto"/>
                <w:w w:val="88"/>
              </w:rPr>
              <w:t>961.4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720" w:type="dxa"/>
            <w:vAlign w:val="bottom"/>
          </w:tcPr>
          <w:p>
            <w:pPr>
              <w:spacing w:after="0"/>
              <w:rPr>
                <w:sz w:val="20"/>
                <w:szCs w:val="20"/>
                <w:color w:val="auto"/>
              </w:rPr>
            </w:pPr>
          </w:p>
        </w:tc>
        <w:tc>
          <w:tcPr>
            <w:tcW w:w="1260" w:type="dxa"/>
            <w:vAlign w:val="bottom"/>
          </w:tcPr>
          <w:p>
            <w:pPr>
              <w:jc w:val="center"/>
              <w:ind w:left="319"/>
              <w:spacing w:after="0"/>
              <w:rPr>
                <w:sz w:val="20"/>
                <w:szCs w:val="20"/>
                <w:color w:val="auto"/>
              </w:rPr>
            </w:pPr>
            <w:r>
              <w:rPr>
                <w:rFonts w:ascii="Arial" w:cs="Arial" w:eastAsia="Arial" w:hAnsi="Arial"/>
                <w:sz w:val="18"/>
                <w:szCs w:val="18"/>
                <w:color w:val="auto"/>
                <w:w w:val="92"/>
              </w:rPr>
              <w:t>2.0%</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56"/>
              <w:spacing w:after="0"/>
              <w:rPr>
                <w:sz w:val="20"/>
                <w:szCs w:val="20"/>
                <w:color w:val="auto"/>
              </w:rPr>
            </w:pPr>
            <w:r>
              <w:rPr>
                <w:rFonts w:ascii="Arial" w:cs="Arial" w:eastAsia="Arial" w:hAnsi="Arial"/>
                <w:sz w:val="18"/>
                <w:szCs w:val="18"/>
                <w:color w:val="auto"/>
                <w:w w:val="92"/>
              </w:rPr>
              <w:t>2.2%</w:t>
            </w:r>
          </w:p>
        </w:tc>
      </w:tr>
    </w:tbl>
    <w:p>
      <w:pPr>
        <w:spacing w:after="0" w:line="16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Excludes original issue discount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Income tax expense (benefit) was an expense of $136.5 million for Fiscal 2021 compared with a benefit of $221.1 million for Fiscal 2020. The effective tax rate was 25.0% related to pretax income of $545.3 million for Fiscal 2021, and 50.5% related to pretax loss of $437.6 million for Fiscal 2020. The income tax benefit in the prior year was a result of the pre-tax loss and the carry-back of net operating losses arising in Fiscal 2020 to the five prior tax years, as permitted under the CARES Act. The higher effective tax rate in the prior year was a function of losses facilitating a refund receivable upon amending previously filed returns at a 35% tax rate. Additionally, excess tax benefit from stock compensation drove an increase in the tax rate related to pre-tax loss in Fiscal 2020, compared to a decrease in the tax rate related to pre-tax income in Fiscal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We earned net income of $408.8 million during Fiscal 2021 compared with a net loss of $216.5 million for Fiscal 2020. This improvement was primarily driven by the temporary closure of all our stores during Fiscal 2020, caused by the COVID-19 pandemic, as well as our sales growth during Fiscal 2021, partially offset by debt extinguishment charges during Fiscal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for Fiscal Year Ended January 30, 2021 (Fiscal 2020) Compared with Fiscal Year Ended February 1, 2020 (Fiscal 2019)</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For a discussion related to Fiscal 2020 performance compared to Fiscal 2019 performance, refer to Part II, Item 7, “Management’s Discussion and Analysis of Financial Condition and Results of Operations,” included in our Annual Report on Form 10-K for the fiscal year ended January 30, 2021 (Fiscal 2020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Our ability to satisfy interest and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and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66" w:lineRule="exact"/>
        <w:rPr>
          <w:sz w:val="20"/>
          <w:szCs w:val="20"/>
          <w:color w:val="auto"/>
        </w:rPr>
      </w:pPr>
    </w:p>
    <w:p>
      <w:pPr>
        <w:ind w:right="20" w:firstLine="578"/>
        <w:spacing w:after="0" w:line="270" w:lineRule="auto"/>
        <w:rPr>
          <w:sz w:val="20"/>
          <w:szCs w:val="20"/>
          <w:color w:val="auto"/>
        </w:rPr>
      </w:pPr>
      <w:r>
        <w:rPr>
          <w:rFonts w:ascii="Arial" w:cs="Arial" w:eastAsia="Arial" w:hAnsi="Arial"/>
          <w:sz w:val="17"/>
          <w:szCs w:val="17"/>
          <w:color w:val="auto"/>
        </w:rPr>
        <w:t>As a result of the uncertainty regarding the COVID-19 pandemic, we took a number of measures to manage its cash flow. These measures included carefully managing operating expenses, working capital and capital expenditures, as well as temporarily suspending our share repurchase program. We resumed the share repurchase program during the third quarter of Fiscal 2021, with $250.0 million repurchased in total during the year.</w:t>
      </w:r>
    </w:p>
    <w:p>
      <w:pPr>
        <w:spacing w:after="0" w:line="164" w:lineRule="exact"/>
        <w:rPr>
          <w:sz w:val="20"/>
          <w:szCs w:val="20"/>
          <w:color w:val="auto"/>
        </w:rPr>
      </w:pPr>
    </w:p>
    <w:p>
      <w:pPr>
        <w:ind w:firstLine="578"/>
        <w:spacing w:after="0" w:line="241" w:lineRule="auto"/>
        <w:rPr>
          <w:sz w:val="20"/>
          <w:szCs w:val="20"/>
          <w:color w:val="auto"/>
        </w:rPr>
      </w:pPr>
      <w:r>
        <w:rPr>
          <w:rFonts w:ascii="Arial" w:cs="Arial" w:eastAsia="Arial" w:hAnsi="Arial"/>
          <w:sz w:val="18"/>
          <w:szCs w:val="18"/>
          <w:color w:val="auto"/>
        </w:rPr>
        <w:t>We completed several debt transactions in order to facilitate increased financial flexibility in response to the COVID-19 pandemic. During March 2020, we borrowed $400.0 million on our existing ABL Line of Credit. We repaid $150.0 million on the ABL Line of Credit during the second quarter of Fiscal 2020, and the remaining $250.0 million during the fourth quarter of Fiscal 2020. On April 16, 2020, we issued $805.0 million of our Convertible Notes, and through BCFWC, issued $300.0 million of Secured Notes. The proceeds of the Convertible Notes are being used for general corporate purposes. On June 11, 2021, BCFWC redeemed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0" w:name="page41"/>
    <w:bookmarkEnd w:id="40"/>
    <w:p>
      <w:pPr>
        <w:ind w:right="60"/>
        <w:spacing w:after="0" w:line="248" w:lineRule="auto"/>
        <w:rPr>
          <w:sz w:val="20"/>
          <w:szCs w:val="20"/>
          <w:color w:val="auto"/>
        </w:rPr>
      </w:pPr>
      <w:r>
        <w:rPr>
          <w:rFonts w:ascii="Arial" w:cs="Arial" w:eastAsia="Arial" w:hAnsi="Arial"/>
          <w:sz w:val="18"/>
          <w:szCs w:val="18"/>
          <w:color w:val="auto"/>
        </w:rPr>
        <w:t>full $300.0 million aggregate principal amount of the Secured Notes. The redemption price of the Secured Notes was $323.7 million, plus accrued and unpaid interest to, but not including, the date of redemption. Additionally, we repurchased $160.4 million and $72.3 million of principal on the Convertible Notes during the third quarter and fourth quarter of Fiscal 2021, respectively.</w:t>
      </w:r>
    </w:p>
    <w:p>
      <w:pPr>
        <w:spacing w:after="0" w:line="182" w:lineRule="exact"/>
        <w:rPr>
          <w:sz w:val="20"/>
          <w:szCs w:val="20"/>
          <w:color w:val="auto"/>
        </w:rPr>
      </w:pPr>
    </w:p>
    <w:p>
      <w:pPr>
        <w:ind w:right="220" w:firstLine="578"/>
        <w:spacing w:after="0" w:line="294" w:lineRule="auto"/>
        <w:rPr>
          <w:sz w:val="20"/>
          <w:szCs w:val="20"/>
          <w:color w:val="auto"/>
        </w:rPr>
      </w:pPr>
      <w:r>
        <w:rPr>
          <w:rFonts w:ascii="Arial" w:cs="Arial" w:eastAsia="Arial" w:hAnsi="Arial"/>
          <w:sz w:val="16"/>
          <w:szCs w:val="16"/>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147"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As market conditions warrant, we may, from time to time, repurchase our outstanding debt securities in the open market, in privately negotiated transactions, by tender offer, by exchange transaction or otherwise. Such repurchases, if any, will depend on prevailing market conditions, our liquidity and other factors and may be commenced or suspended at any time. The amounts involved and total consideration paid may be material.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2021 Compared with Fiscal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used $289.2 million of cash flows during Fiscal 2021 compared with net proceeds of $977.2 million during Fiscal 2020.</w:t>
      </w:r>
    </w:p>
    <w:p>
      <w:pPr>
        <w:spacing w:after="0" w:line="104"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Net cash provided by operating activities amounted to $833.2 million and $219.2 million during Fiscal 2021 and Fiscal 2020, respectively. The increase in our operating cash flows was primarily driven by the temporary closure of all our stores during Fiscal 2020, caused by the COVID-19 pandemic, as well as our strong sales performance during Fiscal 2021.</w:t>
      </w:r>
    </w:p>
    <w:p>
      <w:pPr>
        <w:spacing w:after="0" w:line="182"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Net cash used in investing activities was $344.4 million and $274.1 million during Fiscal 2021 and Fiscal 2020, respectively. This change was primarily the result of an increase in capital expenditures related to our stores (new stores, remodels and other store expenditures), reflective of our cash management decisions due to COVID-19.</w:t>
      </w:r>
    </w:p>
    <w:p>
      <w:pPr>
        <w:spacing w:after="0" w:line="182"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Net cash used in financing activities was $778.0 million during Fiscal 2021 compared to proceeds of $1,032.2 million during Fiscal 2020. This change was primarily driven by our cash flow management efforts during Fiscal 2020 in response to the COVID-19 pandemic, including our borrowings on the Secured Notes and the Convertible Notes during Fiscal 2020. During Fiscal 2021, BCFWC redeemed the Secured Notes in full, and we partially redeemed the Convertible Notes. Additionally, we repurchased shares of common stock for $150.0 million and $100.0 million under our share repurchase program during the third quarter and fourth quarter of Fiscal 2021, respectively. The share repurchase program was suspended during Fiscal 2020.</w:t>
      </w:r>
    </w:p>
    <w:p>
      <w:pPr>
        <w:spacing w:after="0" w:line="159"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Changes in working capital also impact our cash flows. Working capital equals current assets (exclusive of restricted cash) minus current liabilities. We had working capital at January 29, 2022 of $593.4 million compared with $820.0 million at January 30, 2021. The decrease in working capital was primarily driven by the decreased cash balance due to the Convertible Notes repurchases during the third quarter and fourth quarter of Fiscal 2021 and redemption of the Secured Notes, as well as an increased accounts payable balance, partially offset by increased merchandise inventory balance.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2020 Compared with Fiscal 2019</w:t>
      </w:r>
    </w:p>
    <w:p>
      <w:pPr>
        <w:spacing w:after="0" w:line="212"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For a discussion of our cash flows for Fiscal 2020 compared to Fiscal 2019, refer to Part II, Item 7, “Management’s Discussion and Analysis of Financial Condition and Results of Operations,” included in our Fiscal 2020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For Fiscal 2021, cash spend for capital expenditures, net of $34.1 million of landlord allowances, amounted to $318.4 million. These capital expenditures include approximately $140.8 million, net of the previously mentioned landlord allowances, for store expenditures (new stores, remodels and other store expenditures). In addition, we made capital expenditures of $109.8 million to support our supply chain initiatives, with the remaining capital to support information technology and other business initiatives. We incurred cash spend on capital expenditures of $232.4 million, net of approximately $40.7 million of landlord allowances, during Fiscal 2020.</w:t>
      </w:r>
    </w:p>
    <w:p>
      <w:pPr>
        <w:spacing w:after="0" w:line="18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estimate that we will spend approximately $725 million, net of approximately $10 million of landlord allowances, in capital expenditures during Fiscal 2022, including approximately $250 million, net of the previously mentioned landlord allowances, for store expenditures (new stores, remodels and other store expenditures). In addition, we estimate that we will spend approximately $290 million to support our supply chain initiatives, with the remaining capital used to support our information technology and other business initiatives.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On August 18, 2021, our Board of Directors authorized the repurchase of up to $400.0 million of common stock, which is authorized to be executed through August 2023.This repurchase program was funded using our available cash and borrowings on our ABL Line of Credit.</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During Fiscal 2021, we repurchased 856,855 shares of common stock for $250.0 million under our share repurchase program. As of January 29, 2022, we had $150.0 million remaining under our share repurchase authorization.</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Subsequent to January 29, 2022 (February 16, 2022), our Board of Directors authorized the repurchase of up to $500.0 million of common stock, which is authorized to be executed through February 2024.</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currently do, and intend to continue to, retain all available funds and any future earnings to fund all of our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16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Hedging</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January 29, 2022, our obligations, inclusive of original issue discount, include $950.7 million under our Term Loan Facility, $572.3 million of Convertible Notes and no outstanding borrowings on our ABL Line of Credit. Our debt obligations also include $43.9 million of finance lease obligations as of January 29, 2022. Refer to Note 7 to our Consolidated Financial Statements, “Long Term Debt,” for an overview of the terms and conditions of these instruments.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1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On June 24, 2021, BCFWC entered into Amendment No. 9 (the Ninth Amendment) to the Term Loan Credit Agreement governing the Term Loan Facility. The Ninth Amendment, among other things, extended the maturity date from November 17, 2024 to June 24, 2028, and changed the interest rate margins applicable to the Term Loan Facility from 0.75% to 1.00%, in the case of prime rate loans, and from 1.75% to 2.00%, in the case of LIBOR loans, with a 0.00% LIBOR floor. Refer to Note 7, “Long Term Debt,” for further discussion regarding our debt transactions.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 January 29, 2022, our borrowing rate related to the Term Loan Facility was 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At January 29, 2022, we had $594.6 million available under the ABL Line of Credit. We did not have any borrowings during Fiscal 2021.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Convertible Notes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April 16, 2020, we issued $805.0 million of Convertible Notes. The Convertible Notes have an initial conversion rate of 4.5418 shares per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Notes (equivalent to an initial conversion price of approximately $220.18 per share of our common stock), subject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adjustment if certain events occur.</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Convertible Notes are our general unsecured obligations. The Convertible Notes bear interest at a rate of 2.25% per year, payable semi-annually in cash, in arrears on April 15 and October 15 of each year, beginning on October 15, 2020. The Convertible Notes will mature on April 15, 2025, unless earlier converted, redeemed or repurchased.</w:t>
      </w:r>
    </w:p>
    <w:p>
      <w:pPr>
        <w:spacing w:after="0" w:line="18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During the third quarter of Fiscal 2021, we entered into separate, privately negotiated exchange agreements with certain holders of the Convertible Notes. Under the terms of the exchange agreements, the holders exchanged $160.4 million in aggregate principal amount of Convertible Notes held by them for a combination of an aggregate of $90.8 million in cash and 513,991 shares of our common stock. During the fourth quarter of Fiscal 2021, we entered into additional separate, privately negotiated exchange agreements with certain holders of the Convertible Notes. Under the terms of the exchange agreements, the holders exchanged $72.3 million in aggregate principal amount of Convertible Notes held by them for $109.0 million in cash. These exchanges resulted in aggregate pre-tax debt extinguishment charges of $124.6 million in Fiscal 2021. See Note 7, “Long Term Debt,” for additional information.</w:t>
      </w:r>
    </w:p>
    <w:p>
      <w:pPr>
        <w:spacing w:after="0" w:line="191"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Subsequent to January 29, 2022 (March 15, 2022), we entered into separate, privately negotiated exchange agreements with certain holders of the Convertible Notes. Under the terms of the exchange agreements, the holders have agreed to exchange $55.6 million in aggregate principal amount of Convertible Notes held by them for an amount in cash to be calculated based on the volume-weighted average price of our common stock over a two-day measurement period beginning on March 16, 2022. These exchange transactions are expected to close on March 21, 2022, subject to the satisfaction of customary closing conditions.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212" w:lineRule="exact"/>
        <w:rPr>
          <w:sz w:val="20"/>
          <w:szCs w:val="20"/>
          <w:color w:val="auto"/>
        </w:rPr>
      </w:pPr>
    </w:p>
    <w:p>
      <w:pPr>
        <w:ind w:right="100" w:firstLine="578"/>
        <w:spacing w:after="0" w:line="262" w:lineRule="auto"/>
        <w:rPr>
          <w:sz w:val="20"/>
          <w:szCs w:val="20"/>
          <w:color w:val="auto"/>
        </w:rPr>
      </w:pPr>
      <w:r>
        <w:rPr>
          <w:rFonts w:ascii="Arial" w:cs="Arial" w:eastAsia="Arial" w:hAnsi="Arial"/>
          <w:sz w:val="17"/>
          <w:szCs w:val="17"/>
          <w:color w:val="auto"/>
        </w:rPr>
        <w:t>On April 16, 2020, BCFWC, issued $300.0 million of Senior Secured Notes. The Secured Notes were senior, secured obligations of BCFWC, and interest was payable semiannually in cash at a rate of 6.25% per annum on April 15 and October 15 of each year, beginning on October 15, 2020. The Secured Notes were guaranteed on a senior secured basis by Burlington Coat Factory Holdings, LLC, Burlington Coat Factory Investments Holdings, Inc. and BCFWC’s subsidiaries that guarantee the loans under the Term Loan Facility and ABL Line of Credit.</w:t>
      </w:r>
    </w:p>
    <w:p>
      <w:pPr>
        <w:spacing w:after="0" w:line="172" w:lineRule="exact"/>
        <w:rPr>
          <w:sz w:val="20"/>
          <w:szCs w:val="20"/>
          <w:color w:val="auto"/>
        </w:rPr>
      </w:pPr>
    </w:p>
    <w:p>
      <w:pPr>
        <w:ind w:right="320" w:firstLine="578"/>
        <w:spacing w:after="0" w:line="270" w:lineRule="auto"/>
        <w:rPr>
          <w:sz w:val="20"/>
          <w:szCs w:val="20"/>
          <w:color w:val="auto"/>
        </w:rPr>
      </w:pPr>
      <w:r>
        <w:rPr>
          <w:rFonts w:ascii="Arial" w:cs="Arial" w:eastAsia="Arial" w:hAnsi="Arial"/>
          <w:sz w:val="17"/>
          <w:szCs w:val="17"/>
          <w:color w:val="auto"/>
        </w:rPr>
        <w:t>On June 11, 2021, BCFWC redeemed the full $300.0 million aggregate principal amount of the Secured Notes. The redemption price of the Secured Notes was $323.7 million, plus accrued and unpaid interest to, but not including, the date of redemption. This redemption resulted in a pre-tax debt extinguishment charge of $30.2 million. Refer to Note 7, “Long Term Debt,” for further discussion regarding our debt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June 24, 2021, we terminated its previous interest rate swap and entered into a new interest rate swap. The new interest rate swap, which hedges $450 million of variable rate exposure under our Term Loan Facility, is designated as a cash flow hedge and expires on June 24, 2028. Refer to Note 8, “Derivative Instruments and Hedging Activities,” for further discussion regarding our derivative transactions.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Certain Information Concerning Material Cash Requirements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our obligations to make future payments under current contracts as of January 29,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0"/>
              </w:rPr>
              <w:t>Payments Due By Period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8"/>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2-3 Years</w:t>
            </w:r>
          </w:p>
        </w:tc>
        <w:tc>
          <w:tcPr>
            <w:tcW w:w="160" w:type="dxa"/>
            <w:vAlign w:val="bottom"/>
          </w:tcPr>
          <w:p>
            <w:pPr>
              <w:spacing w:after="0"/>
              <w:rPr>
                <w:sz w:val="11"/>
                <w:szCs w:val="11"/>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4-5 Years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Debt obligations(1)</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1,528,929</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9,614</w:t>
            </w:r>
          </w:p>
        </w:tc>
        <w:tc>
          <w:tcPr>
            <w:tcW w:w="36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19,228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591,550</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908,537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Interest on debt obligations(2)</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167,692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33,064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66,146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41,586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obligations(3)</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61,143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obligations(4)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3,526,468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494,529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932,903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792,516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1,306,520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obligations(5)</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1,396,392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1,396,392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Other(6)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948</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6,681,572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1,941,665</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1,033,678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1,436,263</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2,269,966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6"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future principal payments on outstanding borrowings as of January 29, 2022.</w:t>
      </w:r>
    </w:p>
    <w:p>
      <w:pPr>
        <w:spacing w:after="0" w:line="36" w:lineRule="exact"/>
        <w:rPr>
          <w:rFonts w:ascii="Arial" w:cs="Arial" w:eastAsia="Arial" w:hAnsi="Arial"/>
          <w:sz w:val="18"/>
          <w:szCs w:val="18"/>
          <w:color w:val="auto"/>
        </w:rPr>
      </w:pPr>
    </w:p>
    <w:p>
      <w:pPr>
        <w:ind w:left="520" w:right="220" w:hanging="512"/>
        <w:spacing w:after="0" w:line="244"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interest payments on (i) the outstanding balance of the Term Loan Facility, with an average interest rate of 2.0% during Fiscal 2021; and (ii) the outstanding balance of the Convertible Notes, with an interest rate of 2.25%.</w:t>
      </w:r>
    </w:p>
    <w:p>
      <w:pPr>
        <w:ind w:left="360" w:hanging="352"/>
        <w:spacing w:after="0" w:line="234"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Finance lease obligations include future interest payments.</w:t>
      </w:r>
    </w:p>
    <w:p>
      <w:pPr>
        <w:ind w:left="360" w:hanging="352"/>
        <w:spacing w:after="0" w:line="234"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minimum rent payments for operating leases under the current terms.</w:t>
      </w:r>
    </w:p>
    <w:p>
      <w:pPr>
        <w:ind w:left="520" w:right="100" w:hanging="512"/>
        <w:spacing w:after="0" w:line="234"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commitments to purchase goods that have not been received as of January 29, 2022. The table above excludes estimated commitments for services used in our business of up to approximately $105 million over the next five years.</w:t>
      </w:r>
    </w:p>
    <w:p>
      <w:pPr>
        <w:spacing w:after="0" w:line="1" w:lineRule="exact"/>
        <w:rPr>
          <w:rFonts w:ascii="Arial" w:cs="Arial" w:eastAsia="Arial" w:hAnsi="Arial"/>
          <w:sz w:val="18"/>
          <w:szCs w:val="18"/>
          <w:color w:val="auto"/>
        </w:rPr>
      </w:pPr>
    </w:p>
    <w:p>
      <w:pPr>
        <w:ind w:left="520" w:right="260" w:hanging="512"/>
        <w:spacing w:after="0" w:line="243" w:lineRule="auto"/>
        <w:tabs>
          <w:tab w:leader="none" w:pos="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severance payments in the normal course of business that are included in the line item “Selling, general and administrative expenses” in our Consolidated Statements of Income (Loss).</w:t>
      </w:r>
    </w:p>
    <w:p>
      <w:pPr>
        <w:spacing w:after="0" w:line="18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agreements with three former employees to pay their respective beneficiaries $1.0 million upon their deaths for a total of $3.0 million is not reflected in the table above because the timing of the payments is unpredictable.</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table above excludes ASC Topic No. 740 “Income Taxes” (Topic No. 740) liabilities which represent uncertain tax positions related to temporary differences. The total Topic No. 740 liability was $13.9 million, inclusive of $9.1 million of interest and penalties included in our total Topic No. 740 liability neither of which is presented in the table above as we are not certain if and when these payments would be required.</w:t>
      </w:r>
    </w:p>
    <w:p>
      <w:pPr>
        <w:spacing w:after="0" w:line="16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table above excludes our irrevocable letters of credit guaranteeing payment and performance under certain leases, insurance contracts, debt agreements, merchandising agreements and utility agreements in the amount of $55.4 million as of January 29, 2022.</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As of January 29, 2022, insurance reserves amounted to $81.6 million. These amounts are excluded from the table above as we are not certain if and when these payments would be required.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As of the end of Fiscal 2021, the impact of the COVID-19 pandemic continues to unfold. As a result, many of our estimates and judgments carry a higher degree of variability and volatility. As events continue to evolve and additional information becomes available, our estimates may change materially in future periods.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4" w:name="page45"/>
    <w:bookmarkEnd w:id="44"/>
    <w:p>
      <w:pPr>
        <w:ind w:right="180" w:firstLine="509"/>
        <w:spacing w:after="0" w:line="324" w:lineRule="auto"/>
        <w:rPr>
          <w:sz w:val="20"/>
          <w:szCs w:val="20"/>
          <w:color w:val="auto"/>
        </w:rPr>
      </w:pPr>
      <w:r>
        <w:rPr>
          <w:rFonts w:ascii="Arial" w:cs="Arial" w:eastAsia="Arial" w:hAnsi="Arial"/>
          <w:sz w:val="16"/>
          <w:szCs w:val="16"/>
          <w:color w:val="auto"/>
        </w:rPr>
        <w:t>While there are a number of accounting policies, methods and estimates affecting our Consolidated Financial Statements as addressed in Note 1 to our Consolidated Financial Statements, “Summary of Significant Accounting Policies,” areas that are particularly critical and significant include:</w:t>
      </w:r>
    </w:p>
    <w:p>
      <w:pPr>
        <w:spacing w:after="0" w:line="12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While our revenue recognition does not involve significant judgment, it represents an important accounting policy. We record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at the time control of goods are transferred to the customer, which we determine to be at point of sale and delivery of merchandise, net of allowances for estimated future returns, which is estimated based on historical return rates. We present sales, net of sales taxes, in our Consolidated Statements of Income (Loss). We account for layaway sales in compliance with ASC Topic No. 606 “Revenue from Contracts with Customers.” Layaway sales are recognized upon delivery of merchandise to the customer. The amount of cash received upon initiation of the layaway is recorded as a deposit liability within the line item “Other current liabilities” in our Consolidated Balance Sheets. Stored value cards (gift cards and store credits issued for merchandise returns) are recorded as a liability at the time of issuance, and the related sale is recorded upon redemption.</w:t>
      </w:r>
    </w:p>
    <w:p>
      <w:pPr>
        <w:spacing w:after="0" w:line="163"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We estimate and recognize stored value card breakage income in proportion to actual stored value card redemptions. We determine an estimated stored value card breakage rate by continuously evaluating historical redemption data. Breakage income is recognized on a monthly basis in proportion to the historical redemption patterns for those stored value cards for which the likelihood of redemption is remote.</w:t>
      </w:r>
    </w:p>
    <w:p>
      <w:pPr>
        <w:spacing w:after="0" w:line="164"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 Our inventory is valued at the lower of cost or market using the retail inventory method. Under the retail inventory method, the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inventory and the resulting gross margin are determined by applying a calculated cost to retail ratio to the retail value of inventory. The retail inventory method is an averaging 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markups, markdowns and shortage,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retail markdowns would have resulted in an increase in markdown dollars, at cost, of approximately $2.3 million for Fiscal 2021.</w:t>
      </w:r>
    </w:p>
    <w:p>
      <w:pPr>
        <w:spacing w:after="0" w:line="171"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Estimates are used to record inventory shortage at retail stores between physical inventories. Actual physical inventories are conducted at least annually to calculate actual shortage. While we make estimates on the basis of the best information available to us at the time the estimates are made, over accruals or under accruals of shortage may be identified as a result of the physical inventory counts, requiring adjustments.</w:t>
      </w:r>
    </w:p>
    <w:p>
      <w:pPr>
        <w:spacing w:after="0" w:line="1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Insurance Reserves</w:t>
      </w:r>
      <w:r>
        <w:rPr>
          <w:rFonts w:ascii="Arial" w:cs="Arial" w:eastAsia="Arial" w:hAnsi="Arial"/>
          <w:sz w:val="18"/>
          <w:szCs w:val="18"/>
          <w:color w:val="auto"/>
        </w:rPr>
        <w:t>. We have risk participation agreements with insurance carriers with respect to workers’ compensation, general liability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$81.6 million and $80.9 million at January 29, 2022 and January 30,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980" w:firstLine="509"/>
        <w:spacing w:after="0" w:line="261" w:lineRule="auto"/>
        <w:rPr>
          <w:sz w:val="20"/>
          <w:szCs w:val="20"/>
          <w:color w:val="auto"/>
        </w:rPr>
      </w:pPr>
      <w:r>
        <w:rPr>
          <w:rFonts w:ascii="Arial" w:cs="Arial" w:eastAsia="Arial" w:hAnsi="Arial"/>
          <w:sz w:val="18"/>
          <w:szCs w:val="18"/>
          <w:color w:val="auto"/>
        </w:rPr>
        <w:t>Refer to Note 2 to our Consolidated Financial Statements, “Recent Accounting Pronouncements,” for a discussion of recent accounting pronouncements and their impact 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expect that our revenues and operating results may fluctuate from fiscal quarter to fiscal quarter or over the longer term. Certain of the general factors that may cause such fluctuations are discussed in Item 1A, Risk Factors and elsewhere in this Annual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12"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During Fiscal 2021, we have experienced inflationary pressure in our supply chain and with respect to raw materials and finished goods. There can be no assurance that we will be able to offset inflationary pressure in the future, or that our business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our business, operations, liquidity, financial results and/or stock price, particularly if consumer spending levels are depressed for a prolonged period of time.</w:t>
      </w:r>
    </w:p>
    <w:p>
      <w:pPr>
        <w:spacing w:after="0" w:line="51"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We do not believe that our operating results were materially affected by inflation during Fiscal 2020 or Fiscal 2019. Historically, as the costs of merchandising and related operating expenses have increased, we have been able to mitigate the effect of such impact on our operations.</w:t>
      </w:r>
    </w:p>
    <w:p>
      <w:pPr>
        <w:spacing w:after="0" w:line="12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U.S. retail industry continues to face increased pressure on margins as commodity prices increase and the overall challenging retail conditions have led consumers to be more value conscious. Our strategy of chasing sales,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0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We are exposed to market risks relating to fluctuations in interest rates. Our borrowings contain floating rate obligations and are subject to interest rate fluctuations. The objective of our financial risk management is to minimize the negative impact of interest rate fluctuations on our earnings and cash flows. We manage interest rate risk through the use of our interest rate cap contracts.</w:t>
      </w:r>
    </w:p>
    <w:p>
      <w:pPr>
        <w:spacing w:after="0" w:line="18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more fully described in Note 8 to our Consolidated Financial Statements, “Derivative Instruments and Hedging Activities,” we enter into interest rate derivative contracts to manage interest rate risks associated with our long term debt obligations. The effective portion of changes in the fair value of derivatives designated and that qualify as cash flow hedges is recorded in the line item “Accumulated other comprehensive loss” on the Consolidated Balance Sheets and is subsequently reclassified into earnings in the period that the hedged forecasted transaction affects earnings. We continue to have exposure to interest rate risks to the extent they are not hedged.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are exposed to certain market risks as part of our ongoing business operations. Primary exposures include changes in interest rates, as borrowings under our ABL Line of Credit and Term Loan Facility bear interest at floating rates based on LIBOR or the base rate, in each case plus an applicable borrowing margin. The interest rate of our Term Loan Facility is also dependent on the prime rate, and the federal funds rate as further discussed in Note 7 to our Consolidated Financial Statements, “Long Term Debt.” To address the transition away from LIBOR, the Term Loan Facility and ABL Line of Credit agreements each provide for an agreed upon methodology to amend such agreements to substitute LIBOR with an agreed replacement rate, subject to our consent and the applicable administrative agent, and in each case subject to a short lender negative consent period.</w:t>
      </w:r>
    </w:p>
    <w:p>
      <w:pPr>
        <w:spacing w:after="0" w:line="175"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We manage our interest rate risk through the use of interest rate derivative contracts. For our floating-rate debt, interest rate changes generally impact our earnings and cash flows, assuming other factors are held constant.</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June 24, 2021, we terminated our previous interest rate swap and entered into a new interest rate swap. The new interest rate swap, which hedges $450.0 million of variable rate exposure under our Term Loan Facility, is designated as a cash flow hedge and expires on June 24, 2028. Refer to Note 8, “Derivative Instruments and Hedging Activities,” for further discussion regarding our derivative transactions.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ind w:right="80" w:firstLine="509"/>
        <w:spacing w:after="0" w:line="243" w:lineRule="auto"/>
        <w:rPr>
          <w:sz w:val="20"/>
          <w:szCs w:val="20"/>
          <w:color w:val="auto"/>
        </w:rPr>
      </w:pPr>
      <w:r>
        <w:rPr>
          <w:rFonts w:ascii="Arial" w:cs="Arial" w:eastAsia="Arial" w:hAnsi="Arial"/>
          <w:sz w:val="18"/>
          <w:szCs w:val="18"/>
          <w:color w:val="auto"/>
        </w:rPr>
        <w:t>On June 24, 2021, we entered into Amendment No. 9 (the Ninth Amendment) to the Term Loan Credit Agreement governing the Term Loan Facility. The Ninth Amendment, among other things, extended the maturity date from November 17, 2024 to June 24, 2028, and changed the interest rate margins applicable to the Term Loan Facility from 0.75% to 1.00%, in the case of prime rate loans, and from 1.75% to 2.00%, in the case of LIBOR loans, with a 0.00% LIBOR floor.</w:t>
      </w:r>
    </w:p>
    <w:p>
      <w:pPr>
        <w:spacing w:after="0" w:line="18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We have unlimited interest rate risk related to borrowings on our variable rate debt in excess of the notional principal amount of our interest rate swap contract.</w:t>
      </w:r>
    </w:p>
    <w:p>
      <w:pPr>
        <w:spacing w:after="0" w:line="17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 xml:space="preserve">At January 29, 2022, we had $956.6 million of floating-rate debt, exclusive of original issue discount. Based on $956.6 million outstanding as floating-rate debt, a one percentage point interest rate increase as of January 29, 2022 </w:t>
      </w:r>
      <w:r>
        <w:rPr>
          <w:rFonts w:ascii="Arial" w:cs="Arial" w:eastAsia="Arial" w:hAnsi="Arial"/>
          <w:sz w:val="17"/>
          <w:szCs w:val="17"/>
          <w:color w:val="auto"/>
        </w:rPr>
        <w:t>(</w:t>
      </w:r>
      <w:r>
        <w:rPr>
          <w:rFonts w:ascii="Arial" w:cs="Arial" w:eastAsia="Arial" w:hAnsi="Arial"/>
          <w:sz w:val="18"/>
          <w:szCs w:val="18"/>
          <w:color w:val="auto"/>
        </w:rPr>
        <w:t>after considering our interest rate swap contract and assuming current borrowing level remains constant), would cause an increase to cash interest expense of $5.1 million per year. This sensitivity analysis assumes our mix of financial instruments and all other variables will remain constant in future periods. These assumptions are made in order to facilitate the analysis and are not necessarily indicative of our future intentions.</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7" w:name="page48"/>
    <w:bookmarkEnd w:id="47"/>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0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900" w:type="dxa"/>
            <w:vAlign w:val="bottom"/>
          </w:tcPr>
          <w:p>
            <w:pPr>
              <w:jc w:val="right"/>
              <w:ind w:right="1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8300" w:type="dxa"/>
            <w:vAlign w:val="bottom"/>
            <w:gridSpan w:val="15"/>
            <w:vMerge w:val="continue"/>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220" w:type="dxa"/>
            <w:vAlign w:val="bottom"/>
            <w:tcBorders>
              <w:bottom w:val="single" w:sz="8" w:color="0000FF"/>
            </w:tcBorders>
            <w:gridSpan w:val="7"/>
          </w:tcPr>
          <w:p>
            <w:pPr>
              <w:spacing w:after="0" w:line="170"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16"/>
                <w:szCs w:val="16"/>
                <w:color w:val="auto"/>
              </w:rPr>
            </w:pPr>
          </w:p>
        </w:tc>
        <w:tc>
          <w:tcPr>
            <w:tcW w:w="3620" w:type="dxa"/>
            <w:vAlign w:val="bottom"/>
            <w:gridSpan w:val="6"/>
          </w:tcPr>
          <w:p>
            <w:pPr>
              <w:spacing w:after="0"/>
              <w:rPr>
                <w:sz w:val="16"/>
                <w:szCs w:val="16"/>
                <w:color w:val="auto"/>
              </w:rPr>
            </w:pPr>
          </w:p>
        </w:tc>
        <w:tc>
          <w:tcPr>
            <w:tcW w:w="2900" w:type="dxa"/>
            <w:vAlign w:val="bottom"/>
          </w:tcPr>
          <w:p>
            <w:pPr>
              <w:jc w:val="right"/>
              <w:spacing w:after="0" w:line="170"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8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Income (Loss) for the fiscal years ended January 29, 2022, January 30, 2021 and</w:t>
              </w:r>
            </w:hyperlink>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280" w:type="dxa"/>
            <w:vAlign w:val="bottom"/>
            <w:tcBorders>
              <w:bottom w:val="single" w:sz="8" w:color="0000EE"/>
            </w:tcBorders>
            <w:gridSpan w:val="3"/>
          </w:tcPr>
          <w:p>
            <w:pPr>
              <w:spacing w:after="0" w:line="15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February 2, 2019</w:t>
              </w:r>
            </w:hyperlink>
          </w:p>
        </w:tc>
        <w:tc>
          <w:tcPr>
            <w:tcW w:w="6580" w:type="dxa"/>
            <w:vAlign w:val="bottom"/>
            <w:gridSpan w:val="11"/>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7860" w:type="dxa"/>
            <w:vAlign w:val="bottom"/>
            <w:gridSpan w:val="14"/>
          </w:tcPr>
          <w:p>
            <w:pPr>
              <w:spacing w:after="0" w:line="182" w:lineRule="exact"/>
              <w:rPr>
                <w:rFonts w:ascii="Arial" w:cs="Arial" w:eastAsia="Arial" w:hAnsi="Arial"/>
                <w:sz w:val="18"/>
                <w:szCs w:val="18"/>
                <w:color w:val="0000FF"/>
                <w:w w:val="94"/>
              </w:rPr>
            </w:pPr>
            <w:hyperlink w:anchor="page52">
              <w:r>
                <w:rPr>
                  <w:rFonts w:ascii="Arial" w:cs="Arial" w:eastAsia="Arial" w:hAnsi="Arial"/>
                  <w:sz w:val="18"/>
                  <w:szCs w:val="18"/>
                  <w:color w:val="0000FF"/>
                  <w:w w:val="94"/>
                </w:rPr>
                <w:t>Consolidated Statements of Comprehensive Income (Loss) for the fiscal years ended January 29, 2022,</w:t>
              </w:r>
            </w:hyperlink>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74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January 30, 2021 and February 2, 2019</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5380" w:type="dxa"/>
            <w:vAlign w:val="bottom"/>
            <w:tcBorders>
              <w:bottom w:val="single" w:sz="8" w:color="0000EE"/>
            </w:tcBorders>
            <w:gridSpan w:val="9"/>
          </w:tcPr>
          <w:p>
            <w:pPr>
              <w:spacing w:after="0" w:line="169" w:lineRule="exact"/>
              <w:rPr>
                <w:rFonts w:ascii="Arial" w:cs="Arial" w:eastAsia="Arial" w:hAnsi="Arial"/>
                <w:sz w:val="18"/>
                <w:szCs w:val="18"/>
                <w:color w:val="0000FF"/>
                <w:w w:val="88"/>
              </w:rPr>
            </w:pPr>
            <w:hyperlink w:anchor="page53">
              <w:r>
                <w:rPr>
                  <w:rFonts w:ascii="Arial" w:cs="Arial" w:eastAsia="Arial" w:hAnsi="Arial"/>
                  <w:sz w:val="18"/>
                  <w:szCs w:val="18"/>
                  <w:color w:val="0000FF"/>
                  <w:w w:val="88"/>
                </w:rPr>
                <w:t>Consolidated Balance Sheets as of January 29, 2022 and January 30, 2021</w:t>
              </w:r>
            </w:hyperlink>
          </w:p>
        </w:tc>
        <w:tc>
          <w:tcPr>
            <w:tcW w:w="2480" w:type="dxa"/>
            <w:vAlign w:val="bottom"/>
            <w:gridSpan w:val="5"/>
          </w:tcPr>
          <w:p>
            <w:pPr>
              <w:spacing w:after="0"/>
              <w:rPr>
                <w:sz w:val="15"/>
                <w:szCs w:val="15"/>
                <w:color w:val="auto"/>
              </w:rPr>
            </w:pPr>
          </w:p>
        </w:tc>
        <w:tc>
          <w:tcPr>
            <w:tcW w:w="2900" w:type="dxa"/>
            <w:vAlign w:val="bottom"/>
          </w:tcPr>
          <w:p>
            <w:pPr>
              <w:jc w:val="right"/>
              <w:spacing w:after="0" w:line="16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Consolidated Statements of Cash Flows for the fiscal years ended January 29, 2022, January 30, 2021 and</w:t>
              </w:r>
            </w:hyperlink>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54">
              <w:r>
                <w:rPr>
                  <w:rFonts w:ascii="Arial" w:cs="Arial" w:eastAsia="Arial" w:hAnsi="Arial"/>
                  <w:sz w:val="18"/>
                  <w:szCs w:val="18"/>
                  <w:color w:val="0000FF"/>
                  <w:w w:val="88"/>
                </w:rPr>
                <w:t>February 2,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642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7860" w:type="dxa"/>
            <w:vAlign w:val="bottom"/>
            <w:gridSpan w:val="14"/>
          </w:tcPr>
          <w:p>
            <w:pPr>
              <w:spacing w:after="0" w:line="182"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Consolidated Statements of Stockholders’ Equity for the fiscal years ended January 29, 2022, January 30,</w:t>
              </w:r>
            </w:hyperlink>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76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55">
              <w:r>
                <w:rPr>
                  <w:rFonts w:ascii="Arial" w:cs="Arial" w:eastAsia="Arial" w:hAnsi="Arial"/>
                  <w:sz w:val="18"/>
                  <w:szCs w:val="18"/>
                  <w:color w:val="0000FF"/>
                </w:rPr>
                <w:t>2021 and February 2, 2019</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860" w:type="dxa"/>
            <w:vAlign w:val="bottom"/>
            <w:gridSpan w:val="14"/>
          </w:tcPr>
          <w:p>
            <w:pPr>
              <w:spacing w:after="0" w:line="18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Notes to Consolidated Financial Statements for the fiscal years ended January 29, 2022, January 30, 2021</w:t>
              </w:r>
            </w:hyperlink>
          </w:p>
        </w:tc>
        <w:tc>
          <w:tcPr>
            <w:tcW w:w="29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76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56">
              <w:r>
                <w:rPr>
                  <w:rFonts w:ascii="Arial" w:cs="Arial" w:eastAsia="Arial" w:hAnsi="Arial"/>
                  <w:sz w:val="18"/>
                  <w:szCs w:val="18"/>
                  <w:color w:val="0000FF"/>
                </w:rPr>
                <w:t>and February 2, 2019</w:t>
              </w:r>
            </w:hyperlink>
          </w:p>
        </w:tc>
        <w:tc>
          <w:tcPr>
            <w:tcW w:w="200" w:type="dxa"/>
            <w:vAlign w:val="bottom"/>
            <w:gridSpan w:val="2"/>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Burlington Stores,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have audited the accompanying consolidated balance sheets of Burlington Stores, Inc. and subsidiaries (the "Company") as of January 29, 2022 and January 30, 2021, the related consolidated statements of income (loss), comprehensive income (loss), stockholders’ equity, and cash flows, for each of the three years in the period ended January 29, 2022, and the related notes and the schedules listed in the Index at Item 15 (collectively referred to as the "financial statements"). In our opinion, the financial statements present fairly, in all material respects, the financial position of the Company as of January 29, 2022 and January 30, 2021, and the results of its operations and its cash flows for each of the three years in the period ended January 29, 2022, in conformity with accounting principles generally accepted in the United States of America.</w:t>
      </w:r>
    </w:p>
    <w:p>
      <w:pPr>
        <w:spacing w:after="0" w:line="200" w:lineRule="exact"/>
        <w:rPr>
          <w:sz w:val="20"/>
          <w:szCs w:val="20"/>
          <w:color w:val="auto"/>
        </w:rPr>
      </w:pPr>
    </w:p>
    <w:p>
      <w:pPr>
        <w:spacing w:after="0" w:line="32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29,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16, 2022, expressed an unqualified opinion on the Company's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62"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color w:val="auto"/>
        </w:rPr>
        <w:t>As discussed in Note 2 to the financial statements, on January 31, 2021, the Company adopted Financial Accounting Standards Board Accounting Standards Update (ASU) 2020-06, “Accounting for Convertible Instruments and Contracts in an Entity’s Own Equity.”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33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8" w:name="page49"/>
    <w:bookmarkEnd w:id="48"/>
    <w:p>
      <w:pPr>
        <w:ind w:right="60"/>
        <w:spacing w:after="0" w:line="243" w:lineRule="auto"/>
        <w:rPr>
          <w:sz w:val="20"/>
          <w:szCs w:val="20"/>
          <w:color w:val="auto"/>
        </w:rPr>
      </w:pPr>
      <w:r>
        <w:rPr>
          <w:rFonts w:ascii="Arial" w:cs="Arial" w:eastAsia="Arial" w:hAnsi="Arial"/>
          <w:sz w:val="18"/>
          <w:szCs w:val="18"/>
          <w:color w:val="auto"/>
        </w:rPr>
        <w:t>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5" w:lineRule="exact"/>
        <w:rPr>
          <w:sz w:val="20"/>
          <w:szCs w:val="20"/>
          <w:color w:val="auto"/>
        </w:rPr>
      </w:pPr>
    </w:p>
    <w:p>
      <w:pPr>
        <w:ind w:right="4280"/>
        <w:spacing w:after="0" w:line="422" w:lineRule="auto"/>
        <w:rPr>
          <w:sz w:val="20"/>
          <w:szCs w:val="20"/>
          <w:color w:val="auto"/>
        </w:rPr>
      </w:pPr>
      <w:r>
        <w:rPr>
          <w:rFonts w:ascii="Arial" w:cs="Arial" w:eastAsia="Arial" w:hAnsi="Arial"/>
          <w:sz w:val="18"/>
          <w:szCs w:val="18"/>
          <w:b w:val="1"/>
          <w:bCs w:val="1"/>
          <w:i w:val="1"/>
          <w:iCs w:val="1"/>
          <w:color w:val="auto"/>
        </w:rPr>
        <w:t xml:space="preserve">Retail Inventory Method—Impact of Markdowns—Refer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Company values merchandise inventories at the lower of cost or market using the retail inventory method. Under this method, the valuation of inventories at cost and the resulting gross margins are determined by applying a calculated cost-to-retail ratio to the retail value of inventories. The retail inventory method is an averaging method that results in valuing inventory at the lower of cost or market provided markdowns are taken timely to reduce the retail value of inventory. Merchandise inventories as of January 29, 2022, were $1,021 million.</w:t>
      </w:r>
    </w:p>
    <w:p>
      <w:pPr>
        <w:spacing w:after="0" w:line="200" w:lineRule="exact"/>
        <w:rPr>
          <w:sz w:val="20"/>
          <w:szCs w:val="20"/>
          <w:color w:val="auto"/>
        </w:rPr>
      </w:pPr>
    </w:p>
    <w:p>
      <w:pPr>
        <w:spacing w:after="0" w:line="323"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The judgments involved in determining when to record markdowns can significantly impact the ending inventory valuation and the resulting gross profit. Given the significant judgments necessary to identify and record markdowns timely, performing audit procedures to evaluate the timeliness of markdowns involved a high degree of auditor judgment.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timing of markdowns taken included the following, among others:</w:t>
      </w:r>
    </w:p>
    <w:p>
      <w:pPr>
        <w:spacing w:after="0" w:line="158"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controls over inventory valuation, specifically those over the determination and execution of markdowns.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made a selection of markdowns recorded throughout the year to test the accuracy and timeliness of markdowns taken.</w:t>
      </w:r>
    </w:p>
    <w:p>
      <w:pPr>
        <w:spacing w:after="0" w:line="344" w:lineRule="exact"/>
        <w:rPr>
          <w:sz w:val="20"/>
          <w:szCs w:val="20"/>
          <w:color w:val="auto"/>
        </w:rPr>
      </w:pPr>
    </w:p>
    <w:p>
      <w:pPr>
        <w:ind w:left="380" w:right="60" w:hanging="372"/>
        <w:spacing w:after="0" w:line="26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made a selection of markdowns recorded after year-end to determine if the selected markdowns should have been taken as of the year-end balance sheet date.</w:t>
      </w:r>
    </w:p>
    <w:p>
      <w:pPr>
        <w:spacing w:after="0" w:line="319" w:lineRule="exact"/>
        <w:rPr>
          <w:rFonts w:ascii="Arial" w:cs="Arial" w:eastAsia="Arial" w:hAnsi="Arial"/>
          <w:sz w:val="18"/>
          <w:szCs w:val="18"/>
          <w:color w:val="auto"/>
        </w:rPr>
      </w:pPr>
    </w:p>
    <w:p>
      <w:pPr>
        <w:ind w:left="380" w:right="260" w:hanging="372"/>
        <w:spacing w:after="0" w:line="26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made a selection of purchases made throughout the year; determined if those purchases were subsequently marked down; and, if marked down, that the markdown was recorded timely.</w:t>
      </w:r>
    </w:p>
    <w:p>
      <w:pPr>
        <w:spacing w:after="0" w:line="31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analyzed trends in the aging of inventory to determine if there were any significant fluctuations in aged inventory that would indicate markdowns were not taken timely.</w:t>
      </w:r>
    </w:p>
    <w:p>
      <w:pPr>
        <w:spacing w:after="0" w:line="31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developed an expectation of markdowns in ending inventory based on historical relationships between markdowns and inventory balances on hand and compared to recorded markdowns.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CONSOLIDATED STATEMENTS OF INCOME (LOSS)</w:t>
      </w:r>
    </w:p>
    <w:p>
      <w:pPr>
        <w:ind w:left="370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January 30,</w:t>
            </w:r>
          </w:p>
        </w:tc>
        <w:tc>
          <w:tcPr>
            <w:tcW w:w="1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February 1,</w:t>
            </w:r>
          </w:p>
        </w:tc>
      </w:tr>
      <w:tr>
        <w:trPr>
          <w:trHeight w:val="228"/>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20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9,306,549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5,751,541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7,261,243</w:t>
            </w:r>
          </w:p>
        </w:tc>
        <w:tc>
          <w:tcPr>
            <w:tcW w:w="80" w:type="dxa"/>
            <w:vAlign w:val="bottom"/>
            <w:shd w:val="clear" w:color="auto" w:fill="CFF0FC"/>
          </w:tcPr>
          <w:p>
            <w:pPr>
              <w:spacing w:after="0"/>
              <w:rPr>
                <w:sz w:val="18"/>
                <w:szCs w:val="18"/>
                <w:color w:val="auto"/>
              </w:rPr>
            </w:pPr>
          </w:p>
        </w:tc>
      </w:tr>
      <w:tr>
        <w:trPr>
          <w:trHeight w:val="202"/>
        </w:trPr>
        <w:tc>
          <w:tcPr>
            <w:tcW w:w="6940" w:type="dxa"/>
            <w:vAlign w:val="bottom"/>
          </w:tcPr>
          <w:p>
            <w:pPr>
              <w:ind w:left="40"/>
              <w:spacing w:after="0" w:line="202" w:lineRule="exact"/>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15,707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12,439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25,155</w:t>
            </w:r>
          </w:p>
        </w:tc>
        <w:tc>
          <w:tcPr>
            <w:tcW w:w="80" w:type="dxa"/>
            <w:vAlign w:val="bottom"/>
          </w:tcPr>
          <w:p>
            <w:pPr>
              <w:spacing w:after="0"/>
              <w:rPr>
                <w:sz w:val="17"/>
                <w:szCs w:val="17"/>
                <w:color w:val="auto"/>
              </w:rPr>
            </w:pPr>
          </w:p>
        </w:tc>
      </w:tr>
      <w:tr>
        <w:trPr>
          <w:trHeight w:val="210"/>
        </w:trPr>
        <w:tc>
          <w:tcPr>
            <w:tcW w:w="6940" w:type="dxa"/>
            <w:vAlign w:val="bottom"/>
            <w:shd w:val="clear" w:color="auto" w:fill="CFF0FC"/>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9,322,256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5,763,980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7,286,398</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5,436,155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3,555,024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4,228,740</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2,868,527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2,326,928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2,228,178</w:t>
            </w: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Costs related to debt issuances and amendments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(375 )</w:t>
            </w: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249,217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210,720</w:t>
            </w:r>
          </w:p>
        </w:tc>
        <w:tc>
          <w:tcPr>
            <w:tcW w:w="80" w:type="dxa"/>
            <w:vAlign w:val="bottom"/>
          </w:tcPr>
          <w:p>
            <w:pPr>
              <w:spacing w:after="0"/>
              <w:rPr>
                <w:sz w:val="18"/>
                <w:szCs w:val="18"/>
                <w:color w:val="auto"/>
              </w:rPr>
            </w:pPr>
          </w:p>
        </w:tc>
      </w:tr>
      <w:tr>
        <w:trPr>
          <w:trHeight w:val="216"/>
        </w:trPr>
        <w:tc>
          <w:tcPr>
            <w:tcW w:w="6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Impairment charges - long-lived assets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80" w:type="dxa"/>
            <w:vAlign w:val="bottom"/>
            <w:shd w:val="clear" w:color="auto" w:fill="CFF0FC"/>
          </w:tcPr>
          <w:p>
            <w:pPr>
              <w:spacing w:after="0"/>
              <w:rPr>
                <w:sz w:val="18"/>
                <w:szCs w:val="18"/>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rPr>
              <w:t>Other income - net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(11,630 )</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(8,353 )</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(16,531 )</w:t>
            </w:r>
          </w:p>
        </w:tc>
      </w:tr>
      <w:tr>
        <w:trPr>
          <w:trHeight w:val="216"/>
        </w:trPr>
        <w:tc>
          <w:tcPr>
            <w:tcW w:w="6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ind w:left="4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67,502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97,767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50,826</w:t>
            </w:r>
          </w:p>
        </w:tc>
        <w:tc>
          <w:tcPr>
            <w:tcW w:w="80" w:type="dxa"/>
            <w:vAlign w:val="bottom"/>
          </w:tcPr>
          <w:p>
            <w:pPr>
              <w:spacing w:after="0"/>
              <w:rPr>
                <w:sz w:val="17"/>
                <w:szCs w:val="17"/>
                <w:color w:val="auto"/>
              </w:rPr>
            </w:pPr>
          </w:p>
        </w:tc>
      </w:tr>
      <w:tr>
        <w:trPr>
          <w:trHeight w:val="196"/>
        </w:trPr>
        <w:tc>
          <w:tcPr>
            <w:tcW w:w="694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8,776,958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6,201,603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6,705,873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1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 expense (benefit)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(437,623 )</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580,525</w:t>
            </w:r>
          </w:p>
        </w:tc>
        <w:tc>
          <w:tcPr>
            <w:tcW w:w="80" w:type="dxa"/>
            <w:vAlign w:val="bottom"/>
          </w:tcPr>
          <w:p>
            <w:pPr>
              <w:spacing w:after="0"/>
              <w:rPr>
                <w:sz w:val="18"/>
                <w:szCs w:val="18"/>
                <w:color w:val="auto"/>
              </w:rPr>
            </w:pPr>
          </w:p>
        </w:tc>
      </w:tr>
      <w:tr>
        <w:trPr>
          <w:trHeight w:val="203"/>
        </w:trPr>
        <w:tc>
          <w:tcPr>
            <w:tcW w:w="69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136,459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(221,124 )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115,409</w:t>
            </w:r>
          </w:p>
        </w:tc>
        <w:tc>
          <w:tcPr>
            <w:tcW w:w="80" w:type="dxa"/>
            <w:vAlign w:val="bottom"/>
            <w:shd w:val="clear" w:color="auto" w:fill="CFF0FC"/>
          </w:tcPr>
          <w:p>
            <w:pPr>
              <w:spacing w:after="0"/>
              <w:rPr>
                <w:sz w:val="17"/>
                <w:szCs w:val="17"/>
                <w:color w:val="auto"/>
              </w:rPr>
            </w:pPr>
          </w:p>
        </w:tc>
      </w:tr>
      <w:tr>
        <w:trPr>
          <w:trHeight w:val="20"/>
        </w:trPr>
        <w:tc>
          <w:tcPr>
            <w:tcW w:w="6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940" w:type="dxa"/>
            <w:vAlign w:val="bottom"/>
          </w:tcPr>
          <w:p>
            <w:pPr>
              <w:ind w:left="200"/>
              <w:spacing w:after="0" w:line="182" w:lineRule="exact"/>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408,839</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(216,499 )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465,116</w:t>
            </w:r>
          </w:p>
        </w:tc>
        <w:tc>
          <w:tcPr>
            <w:tcW w:w="8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6940" w:type="dxa"/>
            <w:vAlign w:val="bottom"/>
          </w:tcPr>
          <w:p>
            <w:pPr>
              <w:ind w:left="40"/>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94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Common stock - basic</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(3.28 )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7.05</w:t>
            </w:r>
          </w:p>
        </w:tc>
        <w:tc>
          <w:tcPr>
            <w:tcW w:w="8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940" w:type="dxa"/>
            <w:vAlign w:val="bottom"/>
          </w:tcPr>
          <w:p>
            <w:pPr>
              <w:ind w:left="220"/>
              <w:spacing w:after="0" w:line="183" w:lineRule="exact"/>
              <w:rPr>
                <w:sz w:val="20"/>
                <w:szCs w:val="20"/>
                <w:color w:val="auto"/>
              </w:rPr>
            </w:pPr>
            <w:r>
              <w:rPr>
                <w:rFonts w:ascii="Arial" w:cs="Arial" w:eastAsia="Arial" w:hAnsi="Arial"/>
                <w:sz w:val="18"/>
                <w:szCs w:val="18"/>
                <w:color w:val="auto"/>
              </w:rPr>
              <w:t>Common stock - diluted</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6.00</w:t>
            </w:r>
          </w:p>
        </w:tc>
        <w:tc>
          <w:tcPr>
            <w:tcW w:w="22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(3.28 )</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6.91</w:t>
            </w:r>
          </w:p>
        </w:tc>
        <w:tc>
          <w:tcPr>
            <w:tcW w:w="80" w:type="dxa"/>
            <w:vAlign w:val="bottom"/>
          </w:tcPr>
          <w:p>
            <w:pPr>
              <w:spacing w:after="0"/>
              <w:rPr>
                <w:sz w:val="15"/>
                <w:szCs w:val="15"/>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Weighted average number of common shares: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Common stock - basic</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66,588</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65,962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65,943</w:t>
            </w:r>
          </w:p>
        </w:tc>
        <w:tc>
          <w:tcPr>
            <w:tcW w:w="8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94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8"/>
                <w:szCs w:val="18"/>
                <w:color w:val="auto"/>
              </w:rPr>
              <w:t>Common stock - diluted</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68,126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65,962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67,293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3240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60"/>
        <w:spacing w:after="0"/>
        <w:rPr>
          <w:sz w:val="20"/>
          <w:szCs w:val="20"/>
          <w:color w:val="auto"/>
        </w:rPr>
      </w:pPr>
      <w:r>
        <w:rPr>
          <w:rFonts w:ascii="Arial" w:cs="Arial" w:eastAsia="Arial" w:hAnsi="Arial"/>
          <w:sz w:val="18"/>
          <w:szCs w:val="18"/>
          <w:b w:val="1"/>
          <w:bCs w:val="1"/>
          <w:color w:val="auto"/>
        </w:rPr>
        <w:t>(All amounts in thousands)</w:t>
      </w:r>
    </w:p>
    <w:p>
      <w:pPr>
        <w:sectPr>
          <w:pgSz w:w="11900" w:h="16838" w:orient="portrait"/>
          <w:cols w:equalWidth="0" w:num="1">
            <w:col w:w="11220"/>
          </w:cols>
          <w:pgMar w:left="34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80"/>
        <w:spacing w:after="0" w:line="234" w:lineRule="auto"/>
        <w:rPr>
          <w:sz w:val="20"/>
          <w:szCs w:val="20"/>
          <w:color w:val="auto"/>
        </w:rPr>
      </w:pPr>
      <w:r>
        <w:rPr>
          <w:rFonts w:ascii="Arial" w:cs="Arial" w:eastAsia="Arial" w:hAnsi="Arial"/>
          <w:sz w:val="18"/>
          <w:szCs w:val="18"/>
          <w:color w:val="auto"/>
        </w:rPr>
        <w:t>Interest rate derivative contracts: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unrealized gains (losses) arising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Net reclassification into earnings during the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comprehensive income (loss)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Fiscal Year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5"/>
              <w:spacing w:after="0" w:line="160" w:lineRule="exact"/>
              <w:rPr>
                <w:sz w:val="20"/>
                <w:szCs w:val="20"/>
                <w:color w:val="auto"/>
              </w:rPr>
            </w:pPr>
            <w:r>
              <w:rPr>
                <w:rFonts w:ascii="Arial" w:cs="Arial" w:eastAsia="Arial" w:hAnsi="Arial"/>
                <w:sz w:val="14"/>
                <w:szCs w:val="14"/>
                <w:b w:val="1"/>
                <w:bCs w:val="1"/>
                <w:color w:val="auto"/>
              </w:rPr>
              <w:t>January 29,</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1"/>
              <w:spacing w:after="0" w:line="160" w:lineRule="exact"/>
              <w:rPr>
                <w:sz w:val="20"/>
                <w:szCs w:val="20"/>
                <w:color w:val="auto"/>
              </w:rPr>
            </w:pPr>
            <w:r>
              <w:rPr>
                <w:rFonts w:ascii="Arial" w:cs="Arial" w:eastAsia="Arial" w:hAnsi="Arial"/>
                <w:sz w:val="14"/>
                <w:szCs w:val="14"/>
                <w:b w:val="1"/>
                <w:bCs w:val="1"/>
                <w:color w:val="auto"/>
              </w:rPr>
              <w:t>January 30,</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35"/>
              <w:spacing w:after="0" w:line="160" w:lineRule="exact"/>
              <w:rPr>
                <w:sz w:val="20"/>
                <w:szCs w:val="20"/>
                <w:color w:val="auto"/>
              </w:rPr>
            </w:pPr>
            <w:r>
              <w:rPr>
                <w:rFonts w:ascii="Arial" w:cs="Arial" w:eastAsia="Arial" w:hAnsi="Arial"/>
                <w:sz w:val="14"/>
                <w:szCs w:val="14"/>
                <w:b w:val="1"/>
                <w:bCs w:val="1"/>
                <w:color w:val="auto"/>
              </w:rPr>
              <w:t>February 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408,839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(216,499 )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465,116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(11,458 )</w:t>
            </w: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(16,606 )</w:t>
            </w:r>
          </w:p>
        </w:tc>
        <w:tc>
          <w:tcPr>
            <w:tcW w:w="0" w:type="dxa"/>
            <w:vAlign w:val="bottom"/>
          </w:tcPr>
          <w:p>
            <w:pPr>
              <w:spacing w:after="0"/>
              <w:rPr>
                <w:sz w:val="1"/>
                <w:szCs w:val="1"/>
                <w:color w:val="auto"/>
              </w:rPr>
            </w:pPr>
          </w:p>
        </w:tc>
      </w:tr>
      <w:tr>
        <w:trPr>
          <w:trHeight w:val="217"/>
        </w:trPr>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18,574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(4,055</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(15,347</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427,413</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(220,554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449,769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20"/>
          </w:cols>
          <w:pgMar w:left="340" w:top="324" w:right="3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52" w:name="page53"/>
    <w:bookmarkEnd w:id="52"/>
    <w:p>
      <w:pPr>
        <w:ind w:left="4400"/>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ind w:left="3300"/>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January 29,</w:t>
            </w:r>
          </w:p>
        </w:tc>
        <w:tc>
          <w:tcPr>
            <w:tcW w:w="2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1,091,091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1,380,276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6,582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receivable—net of allowance for doubtful accounts of $3,305 and $4,855, respectively</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Merchandise inventories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1,021,009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740,788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Assets held for disposal</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370,515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314,154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2,547,644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2,510,616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equipment—net</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1,552,237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1,438,863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2,638,473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2,469,366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238,000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47,064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3,959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62,136</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72,761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7,089,513</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6,781,092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1,080,802</w:t>
            </w:r>
          </w:p>
        </w:tc>
        <w:tc>
          <w:tcPr>
            <w:tcW w:w="22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862,638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operating lease liabilities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358,793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304,629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493,695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512,830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maturities of long term debt</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14,357</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3,899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1,947,647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1,683,996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 term debt</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1,541,102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1,927,770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Long term operating lease liabilities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2,539,420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2,400,782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80,904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220,023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199,850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16)</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Preferred stock, $0.0001 par value: authorized: 50,000,000</w:t>
            </w:r>
          </w:p>
        </w:tc>
        <w:tc>
          <w:tcPr>
            <w:tcW w:w="280" w:type="dxa"/>
            <w:vAlign w:val="bottom"/>
            <w:shd w:val="clear" w:color="auto" w:fill="CFF0FC"/>
          </w:tcPr>
          <w:p>
            <w:pPr>
              <w:spacing w:after="0"/>
              <w:rPr>
                <w:sz w:val="14"/>
                <w:szCs w:val="14"/>
                <w:color w:val="auto"/>
              </w:rPr>
            </w:pPr>
          </w:p>
        </w:tc>
        <w:tc>
          <w:tcPr>
            <w:tcW w:w="16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no shares issued and outstanding</w:t>
            </w:r>
          </w:p>
        </w:tc>
        <w:tc>
          <w:tcPr>
            <w:tcW w:w="280" w:type="dxa"/>
            <w:vAlign w:val="bottom"/>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Common stock, $0.0001 par value:</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Authorized: 500,000,000 shares;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Issued: 81,677,315 shares and 80,661,453 shares, respectively;</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66,491,555 shares and 66,386,331 shares, respectively</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1,927,554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1,809,831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earnings (deficit)</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414,292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(11,702 )</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7"/>
                <w:szCs w:val="17"/>
                <w:color w:val="auto"/>
              </w:rPr>
            </w:pPr>
          </w:p>
        </w:tc>
        <w:tc>
          <w:tcPr>
            <w:tcW w:w="1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(4,441 )</w:t>
            </w:r>
          </w:p>
        </w:tc>
        <w:tc>
          <w:tcPr>
            <w:tcW w:w="2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(23,015 )</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Treasury stock, at cost</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(1,576,995 )</w:t>
            </w:r>
          </w:p>
        </w:tc>
        <w:tc>
          <w:tcPr>
            <w:tcW w:w="2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(1,310,367 )</w:t>
            </w:r>
          </w:p>
        </w:tc>
        <w:tc>
          <w:tcPr>
            <w:tcW w:w="0" w:type="dxa"/>
            <w:vAlign w:val="bottom"/>
          </w:tcPr>
          <w:p>
            <w:pPr>
              <w:spacing w:after="0"/>
              <w:rPr>
                <w:sz w:val="1"/>
                <w:szCs w:val="1"/>
                <w:color w:val="auto"/>
              </w:rPr>
            </w:pPr>
          </w:p>
        </w:tc>
      </w:tr>
      <w:tr>
        <w:trPr>
          <w:trHeight w:val="196"/>
        </w:trPr>
        <w:tc>
          <w:tcPr>
            <w:tcW w:w="77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760,417</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464,754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7,089,513</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6,781,092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-3536950</wp:posOffset>
            </wp:positionV>
            <wp:extent cx="514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-3536950</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-2473960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-2473960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-296545</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59"/>
        <w:spacing w:after="0"/>
        <w:rPr>
          <w:sz w:val="20"/>
          <w:szCs w:val="20"/>
          <w:color w:val="auto"/>
        </w:rPr>
      </w:pPr>
      <w:r>
        <w:rPr>
          <w:rFonts w:ascii="Arial" w:cs="Arial" w:eastAsia="Arial" w:hAnsi="Arial"/>
          <w:sz w:val="18"/>
          <w:szCs w:val="18"/>
          <w:b w:val="1"/>
          <w:bCs w:val="1"/>
          <w:color w:val="auto"/>
        </w:rPr>
        <w:t>(All amounts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02"/>
              <w:spacing w:after="0" w:line="160"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200" w:type="dxa"/>
            <w:vAlign w:val="bottom"/>
            <w:gridSpan w:val="2"/>
          </w:tcPr>
          <w:p>
            <w:pPr>
              <w:jc w:val="right"/>
              <w:ind w:right="344"/>
              <w:spacing w:after="0" w:line="160" w:lineRule="exact"/>
              <w:rPr>
                <w:sz w:val="20"/>
                <w:szCs w:val="20"/>
                <w:color w:val="auto"/>
              </w:rPr>
            </w:pPr>
            <w:r>
              <w:rPr>
                <w:rFonts w:ascii="Arial" w:cs="Arial" w:eastAsia="Arial" w:hAnsi="Arial"/>
                <w:sz w:val="14"/>
                <w:szCs w:val="14"/>
                <w:b w:val="1"/>
                <w:bCs w:val="1"/>
                <w:color w:val="auto"/>
                <w:w w:val="98"/>
              </w:rPr>
              <w:t>January 30,</w:t>
            </w:r>
          </w:p>
        </w:tc>
        <w:tc>
          <w:tcPr>
            <w:tcW w:w="140" w:type="dxa"/>
            <w:vAlign w:val="bottom"/>
          </w:tcPr>
          <w:p>
            <w:pPr>
              <w:spacing w:after="0"/>
              <w:rPr>
                <w:sz w:val="13"/>
                <w:szCs w:val="13"/>
                <w:color w:val="auto"/>
              </w:rPr>
            </w:pPr>
          </w:p>
        </w:tc>
        <w:tc>
          <w:tcPr>
            <w:tcW w:w="1040" w:type="dxa"/>
            <w:vAlign w:val="bottom"/>
          </w:tcPr>
          <w:p>
            <w:pPr>
              <w:jc w:val="right"/>
              <w:ind w:right="164"/>
              <w:spacing w:after="0" w:line="160" w:lineRule="exact"/>
              <w:rPr>
                <w:sz w:val="20"/>
                <w:szCs w:val="20"/>
                <w:color w:val="auto"/>
              </w:rPr>
            </w:pPr>
            <w:r>
              <w:rPr>
                <w:rFonts w:ascii="Arial" w:cs="Arial" w:eastAsia="Arial" w:hAnsi="Arial"/>
                <w:sz w:val="14"/>
                <w:szCs w:val="14"/>
                <w:b w:val="1"/>
                <w:bCs w:val="1"/>
                <w:color w:val="auto"/>
              </w:rPr>
              <w:t>February 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60" w:type="dxa"/>
            <w:vAlign w:val="bottom"/>
            <w:vMerge w:val="restart"/>
          </w:tcPr>
          <w:p>
            <w:pPr>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408,839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(216,499 )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465,116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line="136" w:lineRule="exact"/>
              <w:rPr>
                <w:sz w:val="20"/>
                <w:szCs w:val="20"/>
                <w:color w:val="auto"/>
              </w:rPr>
            </w:pPr>
            <w:r>
              <w:rPr>
                <w:rFonts w:ascii="Arial" w:cs="Arial" w:eastAsia="Arial" w:hAnsi="Arial"/>
                <w:sz w:val="15"/>
                <w:szCs w:val="15"/>
                <w:color w:val="auto"/>
                <w:w w:val="97"/>
              </w:rPr>
              <w:t>Adjustments to reconcile net income (loss) to net cash provided by operating</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Arial" w:cs="Arial" w:eastAsia="Arial" w:hAnsi="Arial"/>
                <w:sz w:val="15"/>
                <w:szCs w:val="15"/>
                <w:color w:val="auto"/>
              </w:rPr>
              <w:t>activities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Depreciation and amortization</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249,217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220,390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210,720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rPr>
                <w:sz w:val="20"/>
                <w:szCs w:val="20"/>
                <w:color w:val="auto"/>
              </w:rPr>
            </w:pPr>
            <w:r>
              <w:rPr>
                <w:rFonts w:ascii="Arial" w:cs="Arial" w:eastAsia="Arial" w:hAnsi="Arial"/>
                <w:sz w:val="15"/>
                <w:szCs w:val="15"/>
                <w:color w:val="auto"/>
              </w:rPr>
              <w:t>Impairment charges—long-lived assets</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7,748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Amortization of deferred financing costs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5,323</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rPr>
                <w:sz w:val="20"/>
                <w:szCs w:val="20"/>
                <w:color w:val="auto"/>
              </w:rPr>
            </w:pPr>
            <w:r>
              <w:rPr>
                <w:rFonts w:ascii="Arial" w:cs="Arial" w:eastAsia="Arial" w:hAnsi="Arial"/>
                <w:sz w:val="15"/>
                <w:szCs w:val="15"/>
                <w:color w:val="auto"/>
              </w:rPr>
              <w:t>Accretion of long term debt instruments</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889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24,775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Deferred income taxes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51,952</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(24,959 )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156,020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Non-cash stock compensation expense</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58,546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55,845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43,928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180"/>
              <w:spacing w:after="0"/>
              <w:rPr>
                <w:sz w:val="20"/>
                <w:szCs w:val="20"/>
                <w:color w:val="auto"/>
              </w:rPr>
            </w:pPr>
            <w:r>
              <w:rPr>
                <w:rFonts w:ascii="Arial" w:cs="Arial" w:eastAsia="Arial" w:hAnsi="Arial"/>
                <w:sz w:val="15"/>
                <w:szCs w:val="15"/>
                <w:color w:val="auto"/>
              </w:rPr>
              <w:t>Non-cash lease expense</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(10,294 )</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(1,530 )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Cash received from landlord allowances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34,051</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56,280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Changes in assets and liabilities: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Accounts receivable</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10,186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26,858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(8,816 )</w:t>
            </w: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rPr>
                <w:sz w:val="20"/>
                <w:szCs w:val="20"/>
                <w:color w:val="auto"/>
              </w:rPr>
            </w:pPr>
            <w:r>
              <w:rPr>
                <w:rFonts w:ascii="Arial" w:cs="Arial" w:eastAsia="Arial" w:hAnsi="Arial"/>
                <w:sz w:val="15"/>
                <w:szCs w:val="15"/>
                <w:color w:val="auto"/>
              </w:rPr>
              <w:t>Merchandise inventories</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(280,220 )</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36,459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176,430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Prepaid and other current assets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(56,363 )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(177,454 )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(13,598 )</w:t>
            </w: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214,792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104,607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(90,899 )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180"/>
              <w:spacing w:after="0"/>
              <w:rPr>
                <w:sz w:val="20"/>
                <w:szCs w:val="20"/>
                <w:color w:val="auto"/>
              </w:rPr>
            </w:pPr>
            <w:r>
              <w:rPr>
                <w:rFonts w:ascii="Arial" w:cs="Arial" w:eastAsia="Arial" w:hAnsi="Arial"/>
                <w:sz w:val="15"/>
                <w:szCs w:val="15"/>
                <w:color w:val="auto"/>
              </w:rPr>
              <w:t>Other current liabilities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(33,129 )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103,871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180"/>
              <w:spacing w:after="0"/>
              <w:rPr>
                <w:sz w:val="20"/>
                <w:szCs w:val="20"/>
                <w:color w:val="auto"/>
              </w:rPr>
            </w:pPr>
            <w:r>
              <w:rPr>
                <w:rFonts w:ascii="Arial" w:cs="Arial" w:eastAsia="Arial" w:hAnsi="Arial"/>
                <w:sz w:val="15"/>
                <w:szCs w:val="15"/>
                <w:color w:val="auto"/>
              </w:rPr>
              <w:t>Other long term assets and long term liabilities</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(2,782 )</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Other operating activities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18,384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14,929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(3,858 )</w:t>
            </w:r>
          </w:p>
        </w:tc>
        <w:tc>
          <w:tcPr>
            <w:tcW w:w="0" w:type="dxa"/>
            <w:vAlign w:val="bottom"/>
          </w:tcPr>
          <w:p>
            <w:pPr>
              <w:spacing w:after="0"/>
              <w:rPr>
                <w:sz w:val="1"/>
                <w:szCs w:val="1"/>
                <w:color w:val="auto"/>
              </w:rPr>
            </w:pPr>
          </w:p>
        </w:tc>
      </w:tr>
      <w:tr>
        <w:trPr>
          <w:trHeight w:val="169"/>
        </w:trPr>
        <w:tc>
          <w:tcPr>
            <w:tcW w:w="4960" w:type="dxa"/>
            <w:vAlign w:val="bottom"/>
            <w:tcBorders>
              <w:top w:val="single" w:sz="8" w:color="CFF0FC"/>
            </w:tcBorders>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833,159</w:t>
            </w: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219,181</w:t>
            </w:r>
          </w:p>
        </w:tc>
        <w:tc>
          <w:tcPr>
            <w:tcW w:w="1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891,725</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5"/>
                <w:szCs w:val="15"/>
                <w:color w:val="auto"/>
              </w:rPr>
              <w:t>Cash paid for property and equipment</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(352,467 )</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(273,282 )</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(328,357 )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Lease acquisition costs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(576 )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(1,983 )</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5"/>
                <w:szCs w:val="15"/>
                <w:color w:val="auto"/>
              </w:rPr>
              <w:t>Proceeds from insurance recoveries related to property and equipment</w:t>
            </w:r>
          </w:p>
        </w:tc>
        <w:tc>
          <w:tcPr>
            <w:tcW w:w="160" w:type="dxa"/>
            <w:vAlign w:val="bottom"/>
          </w:tcPr>
          <w:p>
            <w:pPr>
              <w:spacing w:after="0"/>
              <w:rPr>
                <w:sz w:val="15"/>
                <w:szCs w:val="15"/>
                <w:color w:val="auto"/>
              </w:rPr>
            </w:pPr>
          </w:p>
        </w:tc>
        <w:tc>
          <w:tcPr>
            <w:tcW w:w="124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 of property and equipment and assets held for sale</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8,654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5"/>
                <w:szCs w:val="15"/>
                <w:color w:val="auto"/>
              </w:rPr>
              <w:t>Other investing activities</w:t>
            </w:r>
          </w:p>
        </w:tc>
        <w:tc>
          <w:tcPr>
            <w:tcW w:w="160" w:type="dxa"/>
            <w:vAlign w:val="bottom"/>
          </w:tcPr>
          <w:p>
            <w:pPr>
              <w:spacing w:after="0"/>
              <w:rPr>
                <w:sz w:val="15"/>
                <w:szCs w:val="15"/>
                <w:color w:val="auto"/>
              </w:rPr>
            </w:pPr>
          </w:p>
        </w:tc>
        <w:tc>
          <w:tcPr>
            <w:tcW w:w="124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(1,070 )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cash (used in) investing activities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(344,389</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(274,132</w:t>
            </w:r>
          </w:p>
        </w:tc>
        <w:tc>
          <w:tcPr>
            <w:tcW w:w="180" w:type="dxa"/>
            <w:vAlign w:val="bottom"/>
            <w:tcBorders>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9"/>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(324,598</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9"/>
        </w:trPr>
        <w:tc>
          <w:tcPr>
            <w:tcW w:w="4960" w:type="dxa"/>
            <w:vAlign w:val="bottom"/>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long term debt—ABL Line of Credit</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400,000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1,294,400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5"/>
                <w:szCs w:val="15"/>
                <w:color w:val="auto"/>
              </w:rPr>
              <w:t>Principal payments on long term debt—ABL Line of Credit</w:t>
            </w:r>
          </w:p>
        </w:tc>
        <w:tc>
          <w:tcPr>
            <w:tcW w:w="160" w:type="dxa"/>
            <w:vAlign w:val="bottom"/>
          </w:tcPr>
          <w:p>
            <w:pPr>
              <w:spacing w:after="0"/>
              <w:rPr>
                <w:sz w:val="15"/>
                <w:szCs w:val="15"/>
                <w:color w:val="auto"/>
              </w:rPr>
            </w:pPr>
          </w:p>
        </w:tc>
        <w:tc>
          <w:tcPr>
            <w:tcW w:w="124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(400,000 )</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(1,294,400 )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long term debt—Term B-6 Loans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956,608</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Principal payments on long term debt—Term B-6 Loans</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(4,807 )</w:t>
            </w:r>
          </w:p>
        </w:tc>
        <w:tc>
          <w:tcPr>
            <w:tcW w:w="160" w:type="dxa"/>
            <w:vAlign w:val="bottom"/>
          </w:tcPr>
          <w:p>
            <w:pPr>
              <w:spacing w:after="0"/>
              <w:rPr>
                <w:sz w:val="15"/>
                <w:szCs w:val="15"/>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Principal payments on long term debt—Term B-5 Loans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(961,415 )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Proceeds from long term debt—Convertible Note</w:t>
            </w:r>
          </w:p>
        </w:tc>
        <w:tc>
          <w:tcPr>
            <w:tcW w:w="160" w:type="dxa"/>
            <w:vAlign w:val="bottom"/>
          </w:tcPr>
          <w:p>
            <w:pPr>
              <w:spacing w:after="0"/>
              <w:rPr>
                <w:sz w:val="15"/>
                <w:szCs w:val="15"/>
                <w:color w:val="auto"/>
              </w:rPr>
            </w:pPr>
          </w:p>
        </w:tc>
        <w:tc>
          <w:tcPr>
            <w:tcW w:w="124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805,000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Principal payment on long term debt—Convertible Notes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(201,695 )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5"/>
                <w:szCs w:val="15"/>
                <w:color w:val="auto"/>
              </w:rPr>
              <w:t>Proceeds from long term debt—Secured Note</w:t>
            </w:r>
          </w:p>
        </w:tc>
        <w:tc>
          <w:tcPr>
            <w:tcW w:w="160" w:type="dxa"/>
            <w:vAlign w:val="bottom"/>
          </w:tcPr>
          <w:p>
            <w:pPr>
              <w:spacing w:after="0"/>
              <w:rPr>
                <w:sz w:val="15"/>
                <w:szCs w:val="15"/>
                <w:color w:val="auto"/>
              </w:rPr>
            </w:pPr>
          </w:p>
        </w:tc>
        <w:tc>
          <w:tcPr>
            <w:tcW w:w="1240" w:type="dxa"/>
            <w:vAlign w:val="bottom"/>
            <w:gridSpan w:val="2"/>
          </w:tcPr>
          <w:p>
            <w:pPr>
              <w:jc w:val="right"/>
              <w:ind w:right="16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300,000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Principal payments on long term debt—Secured Notes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(323,905 )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Purchase of treasury shares</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(266,628 )</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(65,526 )</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(323,080 )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stock option exercises</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39,887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34,924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34,222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Deferred financing costs</w:t>
            </w:r>
          </w:p>
        </w:tc>
        <w:tc>
          <w:tcPr>
            <w:tcW w:w="160" w:type="dxa"/>
            <w:vAlign w:val="bottom"/>
          </w:tcPr>
          <w:p>
            <w:pPr>
              <w:spacing w:after="0"/>
              <w:rPr>
                <w:sz w:val="15"/>
                <w:szCs w:val="15"/>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5"/>
                <w:szCs w:val="15"/>
                <w:color w:val="auto"/>
              </w:rPr>
              <w:t>(2,143 )</w:t>
            </w:r>
          </w:p>
        </w:tc>
        <w:tc>
          <w:tcPr>
            <w:tcW w:w="160" w:type="dxa"/>
            <w:vAlign w:val="bottom"/>
          </w:tcPr>
          <w:p>
            <w:pPr>
              <w:spacing w:after="0"/>
              <w:rPr>
                <w:sz w:val="15"/>
                <w:szCs w:val="15"/>
                <w:color w:val="auto"/>
              </w:rPr>
            </w:pPr>
          </w:p>
        </w:tc>
        <w:tc>
          <w:tcPr>
            <w:tcW w:w="1200" w:type="dxa"/>
            <w:vAlign w:val="bottom"/>
            <w:gridSpan w:val="2"/>
          </w:tcPr>
          <w:p>
            <w:pPr>
              <w:jc w:val="right"/>
              <w:ind w:right="44"/>
              <w:spacing w:after="0"/>
              <w:rPr>
                <w:sz w:val="20"/>
                <w:szCs w:val="20"/>
                <w:color w:val="auto"/>
              </w:rPr>
            </w:pPr>
            <w:r>
              <w:rPr>
                <w:rFonts w:ascii="Arial" w:cs="Arial" w:eastAsia="Arial" w:hAnsi="Arial"/>
                <w:sz w:val="15"/>
                <w:szCs w:val="15"/>
                <w:color w:val="auto"/>
              </w:rPr>
              <w:t>(28,815 )</w:t>
            </w: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Other financing activities</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(13,857 )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(13,430 )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(2,769 )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(used in) provided by financing activities</w:t>
            </w:r>
          </w:p>
        </w:tc>
        <w:tc>
          <w:tcPr>
            <w:tcW w:w="160" w:type="dxa"/>
            <w:vAlign w:val="bottom"/>
          </w:tcPr>
          <w:p>
            <w:pPr>
              <w:spacing w:after="0"/>
              <w:rPr>
                <w:sz w:val="14"/>
                <w:szCs w:val="14"/>
                <w:color w:val="auto"/>
              </w:rPr>
            </w:pPr>
          </w:p>
        </w:tc>
        <w:tc>
          <w:tcPr>
            <w:tcW w:w="1240" w:type="dxa"/>
            <w:vAlign w:val="bottom"/>
            <w:gridSpan w:val="2"/>
          </w:tcPr>
          <w:p>
            <w:pPr>
              <w:jc w:val="right"/>
              <w:ind w:right="102"/>
              <w:spacing w:after="0" w:line="169" w:lineRule="exact"/>
              <w:rPr>
                <w:sz w:val="20"/>
                <w:szCs w:val="20"/>
                <w:color w:val="auto"/>
              </w:rPr>
            </w:pPr>
            <w:r>
              <w:rPr>
                <w:rFonts w:ascii="Arial" w:cs="Arial" w:eastAsia="Arial" w:hAnsi="Arial"/>
                <w:sz w:val="15"/>
                <w:szCs w:val="15"/>
                <w:color w:val="auto"/>
              </w:rPr>
              <w:t>(777,955 )</w:t>
            </w:r>
          </w:p>
        </w:tc>
        <w:tc>
          <w:tcPr>
            <w:tcW w:w="16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1,032,153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(291,627 )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60" w:type="dxa"/>
            <w:vAlign w:val="bottom"/>
            <w:shd w:val="clear" w:color="auto" w:fill="CFF0FC"/>
          </w:tcPr>
          <w:p>
            <w:pPr>
              <w:spacing w:after="0" w:line="129" w:lineRule="exact"/>
              <w:rPr>
                <w:sz w:val="20"/>
                <w:szCs w:val="20"/>
                <w:color w:val="auto"/>
              </w:rPr>
            </w:pPr>
            <w:r>
              <w:rPr>
                <w:rFonts w:ascii="Arial" w:cs="Arial" w:eastAsia="Arial" w:hAnsi="Arial"/>
                <w:sz w:val="14"/>
                <w:szCs w:val="14"/>
                <w:color w:val="auto"/>
              </w:rPr>
              <w:t>(Decrease) increase in cash, cash equivalents, restricted cash and restricted</w:t>
            </w:r>
          </w:p>
        </w:tc>
        <w:tc>
          <w:tcPr>
            <w:tcW w:w="16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102"/>
              <w:spacing w:after="0"/>
              <w:rPr>
                <w:sz w:val="20"/>
                <w:szCs w:val="20"/>
                <w:color w:val="auto"/>
              </w:rPr>
            </w:pPr>
            <w:r>
              <w:rPr>
                <w:rFonts w:ascii="Arial" w:cs="Arial" w:eastAsia="Arial" w:hAnsi="Arial"/>
                <w:sz w:val="15"/>
                <w:szCs w:val="15"/>
                <w:color w:val="auto"/>
              </w:rPr>
              <w:t>(289,185 )</w:t>
            </w:r>
          </w:p>
        </w:tc>
        <w:tc>
          <w:tcPr>
            <w:tcW w:w="16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977,202</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275,500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FF0FC"/>
          </w:tcPr>
          <w:p>
            <w:pPr>
              <w:spacing w:after="0"/>
              <w:rPr>
                <w:sz w:val="20"/>
                <w:szCs w:val="20"/>
                <w:color w:val="auto"/>
              </w:rPr>
            </w:pPr>
            <w:r>
              <w:rPr>
                <w:rFonts w:ascii="Arial" w:cs="Arial" w:eastAsia="Arial" w:hAnsi="Arial"/>
                <w:sz w:val="15"/>
                <w:szCs w:val="15"/>
                <w:color w:val="auto"/>
              </w:rPr>
              <w:t>cash equivalents</w:t>
            </w:r>
          </w:p>
        </w:tc>
        <w:tc>
          <w:tcPr>
            <w:tcW w:w="16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line="136" w:lineRule="exact"/>
              <w:rPr>
                <w:sz w:val="20"/>
                <w:szCs w:val="20"/>
                <w:color w:val="auto"/>
              </w:rPr>
            </w:pPr>
            <w:r>
              <w:rPr>
                <w:rFonts w:ascii="Arial" w:cs="Arial" w:eastAsia="Arial" w:hAnsi="Arial"/>
                <w:sz w:val="15"/>
                <w:szCs w:val="15"/>
                <w:color w:val="auto"/>
              </w:rPr>
              <w:t>Cash, cash equivalents, restricted cash and restricted cash equivalents at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1,386,858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409,656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134,156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beginning of period</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6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Cash, cash equivalents, restricted cash and restricted cash equivalents at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1,097,673</w:t>
            </w:r>
          </w:p>
        </w:tc>
        <w:tc>
          <w:tcPr>
            <w:tcW w:w="1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1,386,858</w:t>
            </w:r>
          </w:p>
        </w:tc>
        <w:tc>
          <w:tcPr>
            <w:tcW w:w="1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409,656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end of period</w:t>
            </w: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line="156"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96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Interest paid</w:t>
            </w:r>
          </w:p>
        </w:tc>
        <w:tc>
          <w:tcPr>
            <w:tcW w:w="1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52,671</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48,392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47,071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line="156" w:lineRule="exact"/>
              <w:rPr>
                <w:sz w:val="20"/>
                <w:szCs w:val="20"/>
                <w:color w:val="auto"/>
              </w:rPr>
            </w:pPr>
            <w:r>
              <w:rPr>
                <w:rFonts w:ascii="Arial" w:cs="Arial" w:eastAsia="Arial" w:hAnsi="Arial"/>
                <w:sz w:val="15"/>
                <w:szCs w:val="15"/>
                <w:color w:val="auto"/>
              </w:rPr>
              <w:t>Income tax payments - net</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130,247</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44,993</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110,588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Non-cash investing and financing activities:</w:t>
            </w: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5"/>
                <w:szCs w:val="15"/>
                <w:color w:val="auto"/>
              </w:rPr>
              <w:t>Shares issued to repurchase Convertible Notes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151,206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Accrued purchases of property and equipment</w:t>
            </w:r>
          </w:p>
        </w:tc>
        <w:tc>
          <w:tcPr>
            <w:tcW w:w="1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63,296</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44,490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62,814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line="156" w:lineRule="exact"/>
              <w:rPr>
                <w:sz w:val="20"/>
                <w:szCs w:val="20"/>
                <w:color w:val="auto"/>
              </w:rPr>
            </w:pPr>
            <w:r>
              <w:rPr>
                <w:rFonts w:ascii="Arial" w:cs="Arial" w:eastAsia="Arial" w:hAnsi="Arial"/>
                <w:sz w:val="15"/>
                <w:szCs w:val="15"/>
                <w:color w:val="auto"/>
              </w:rPr>
              <w:t>Acquisition of finance leases</w:t>
            </w:r>
          </w:p>
        </w:tc>
        <w:tc>
          <w:tcPr>
            <w:tcW w:w="160" w:type="dxa"/>
            <w:vAlign w:val="bottom"/>
          </w:tcPr>
          <w:p>
            <w:pPr>
              <w:jc w:val="right"/>
              <w:spacing w:after="0" w:line="156" w:lineRule="exact"/>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162"/>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19,875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-4137025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-4137025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-4137025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-3219450</wp:posOffset>
            </wp:positionV>
            <wp:extent cx="6032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-3219450</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-3219450</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-1651000</wp:posOffset>
            </wp:positionV>
            <wp:extent cx="6032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-1651000</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-1651000</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-933450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-916305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-933450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-916305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-685165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-668020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-685165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-668020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-685165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-668020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-161925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-145415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-161925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-145415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-161925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-145415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rPr>
          <w:sz w:val="20"/>
          <w:szCs w:val="20"/>
          <w:color w:val="auto"/>
        </w:rPr>
      </w:pPr>
      <w:r>
        <w:rPr>
          <w:rFonts w:ascii="Arial" w:cs="Arial" w:eastAsia="Arial" w:hAnsi="Arial"/>
          <w:sz w:val="18"/>
          <w:szCs w:val="18"/>
          <w:b w:val="1"/>
          <w:bCs w:val="1"/>
          <w:color w:val="auto"/>
        </w:rPr>
        <w:t>(All dollar amounts in thousands)</w:t>
      </w:r>
    </w:p>
    <w:tbl>
      <w:tblPr>
        <w:tblLayout w:type="fixed"/>
        <w:tblInd w:w="0" w:type="dxa"/>
        <w:tblCellMar>
          <w:top w:w="0" w:type="dxa"/>
          <w:left w:w="0" w:type="dxa"/>
          <w:bottom w:w="0" w:type="dxa"/>
          <w:right w:w="0" w:type="dxa"/>
        </w:tblCellMar>
      </w:tblPr>
      <w:tr>
        <w:trPr>
          <w:trHeight w:val="133"/>
        </w:trPr>
        <w:tc>
          <w:tcPr>
            <w:tcW w:w="2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79"/>
              <w:spacing w:after="0" w:line="133" w:lineRule="exact"/>
              <w:rPr>
                <w:sz w:val="20"/>
                <w:szCs w:val="20"/>
                <w:color w:val="auto"/>
              </w:rPr>
            </w:pPr>
            <w:r>
              <w:rPr>
                <w:rFonts w:ascii="Arial" w:cs="Arial" w:eastAsia="Arial" w:hAnsi="Arial"/>
                <w:sz w:val="14"/>
                <w:szCs w:val="14"/>
                <w:b w:val="1"/>
                <w:bCs w:val="1"/>
                <w:color w:val="auto"/>
                <w:w w:val="90"/>
              </w:rPr>
              <w:t>Accumulated</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82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Other</w:t>
            </w:r>
          </w:p>
        </w:tc>
        <w:tc>
          <w:tcPr>
            <w:tcW w:w="2160" w:type="dxa"/>
            <w:vAlign w:val="bottom"/>
            <w:gridSpan w:val="5"/>
            <w:vMerge w:val="restart"/>
          </w:tcPr>
          <w:p>
            <w:pPr>
              <w:jc w:val="right"/>
              <w:ind w:right="619"/>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continue"/>
          </w:tcPr>
          <w:p>
            <w:pPr>
              <w:spacing w:after="0"/>
              <w:rPr>
                <w:sz w:val="14"/>
                <w:szCs w:val="14"/>
                <w:color w:val="auto"/>
              </w:rPr>
            </w:pPr>
          </w:p>
        </w:tc>
        <w:tc>
          <w:tcPr>
            <w:tcW w:w="126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1"/>
              </w:rPr>
              <w:t>Comprehensive</w:t>
            </w:r>
          </w:p>
        </w:tc>
        <w:tc>
          <w:tcPr>
            <w:tcW w:w="21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tcBorders>
              <w:top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February 2, 2019</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79,224,669</w:t>
            </w:r>
          </w:p>
        </w:tc>
        <w:tc>
          <w:tcPr>
            <w:tcW w:w="1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1,508,996</w:t>
            </w: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(260,919</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(3,613</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(12,079,572</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(921,761</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322,710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465,116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465,116</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710,964</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34,222</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Shares used for tax withholding</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(132,222 )</w:t>
            </w: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(23,200 )</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(23,200 )</w:t>
            </w: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Shares purchased as part of publicly</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(1,740,740 )</w:t>
            </w:r>
          </w:p>
        </w:tc>
        <w:tc>
          <w:tcPr>
            <w:tcW w:w="14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(299,880 )</w:t>
            </w: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93"/>
              </w:rPr>
              <w:t>(299,880 )</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announced programs</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6"/>
                <w:szCs w:val="16"/>
                <w:color w:val="auto"/>
              </w:rPr>
              <w:t>Forfeiture of restricted shares, net of</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(53,127 )</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4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rPr>
                <w:sz w:val="20"/>
                <w:szCs w:val="20"/>
                <w:color w:val="auto"/>
              </w:rPr>
            </w:pPr>
            <w:r>
              <w:rPr>
                <w:rFonts w:ascii="Arial" w:cs="Arial" w:eastAsia="Arial" w:hAnsi="Arial"/>
                <w:sz w:val="16"/>
                <w:szCs w:val="16"/>
                <w:color w:val="auto"/>
              </w:rPr>
              <w:t>issuances of 1,759 restricted shares</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based compensation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43,928</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43,928</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6"/>
                <w:szCs w:val="16"/>
                <w:color w:val="auto"/>
              </w:rPr>
              <w:t>Unrealized losses on interest rate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6"/>
                <w:szCs w:val="16"/>
                <w:color w:val="auto"/>
                <w:w w:val="95"/>
              </w:rPr>
              <w:t>derivative contracts, net of related taxes of</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(16,606 )</w:t>
            </w:r>
          </w:p>
        </w:tc>
        <w:tc>
          <w:tcPr>
            <w:tcW w:w="11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(16,606 )</w:t>
            </w: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rPr>
                <w:sz w:val="20"/>
                <w:szCs w:val="20"/>
                <w:color w:val="auto"/>
              </w:rPr>
            </w:pPr>
            <w:r>
              <w:rPr>
                <w:rFonts w:ascii="Arial" w:cs="Arial" w:eastAsia="Arial" w:hAnsi="Arial"/>
                <w:sz w:val="16"/>
                <w:szCs w:val="16"/>
                <w:color w:val="auto"/>
              </w:rPr>
              <w:t>$6.4 million</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Amount reclassified into earnings, net of</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140" w:type="dxa"/>
            <w:vAlign w:val="bottom"/>
            <w:shd w:val="clear" w:color="auto" w:fill="CFF0FC"/>
          </w:tcPr>
          <w:p>
            <w:pPr>
              <w:spacing w:after="0"/>
              <w:rPr>
                <w:sz w:val="13"/>
                <w:szCs w:val="13"/>
                <w:color w:val="auto"/>
              </w:rPr>
            </w:pPr>
          </w:p>
        </w:tc>
        <w:tc>
          <w:tcPr>
            <w:tcW w:w="11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related taxes of $0.5 million</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Cumulative-effect adjustment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3"/>
        </w:trPr>
        <w:tc>
          <w:tcPr>
            <w:tcW w:w="29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February 1, 2020</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79,882,506</w:t>
            </w:r>
          </w:p>
        </w:tc>
        <w:tc>
          <w:tcPr>
            <w:tcW w:w="1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1,587,146</w:t>
            </w: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204,797</w:t>
            </w: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(18,960</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(13,952,534</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(1,244,841</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528,149</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(216,499 )</w:t>
            </w: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3"/>
              </w:rPr>
              <w:t>(216,499 )</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731,954</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34,924</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Shares used for tax withholding</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(79,015 )</w:t>
            </w: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(15,368 )</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(15,368 )</w:t>
            </w: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Shares purchased as part of publicly</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(243,573 )</w:t>
            </w:r>
          </w:p>
        </w:tc>
        <w:tc>
          <w:tcPr>
            <w:tcW w:w="14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(50,158 )</w:t>
            </w: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(50,158 )</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announced programs</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20" w:type="dxa"/>
            <w:vAlign w:val="bottom"/>
          </w:tcPr>
          <w:p>
            <w:pPr>
              <w:ind w:left="20"/>
              <w:spacing w:after="0" w:line="158" w:lineRule="exact"/>
              <w:rPr>
                <w:sz w:val="20"/>
                <w:szCs w:val="20"/>
                <w:color w:val="auto"/>
              </w:rPr>
            </w:pPr>
            <w:r>
              <w:rPr>
                <w:rFonts w:ascii="Arial" w:cs="Arial" w:eastAsia="Arial" w:hAnsi="Arial"/>
                <w:sz w:val="17"/>
                <w:szCs w:val="17"/>
                <w:color w:val="auto"/>
              </w:rPr>
              <w:t>Vesting of restricted shares, net of</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7"/>
                <w:szCs w:val="17"/>
                <w:color w:val="auto"/>
              </w:rPr>
              <w:t>forfeitures of 9,437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46,993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based compensation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55,845</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55,845</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6"/>
                <w:szCs w:val="16"/>
                <w:color w:val="auto"/>
              </w:rPr>
              <w:t>Equity component of convertible notes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6"/>
                <w:szCs w:val="16"/>
                <w:color w:val="auto"/>
              </w:rPr>
              <w:t>issuance, net of related taxes of</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131,916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131,916</w:t>
            </w: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rPr>
                <w:sz w:val="20"/>
                <w:szCs w:val="20"/>
                <w:color w:val="auto"/>
              </w:rPr>
            </w:pPr>
            <w:r>
              <w:rPr>
                <w:rFonts w:ascii="Arial" w:cs="Arial" w:eastAsia="Arial" w:hAnsi="Arial"/>
                <w:sz w:val="16"/>
                <w:szCs w:val="16"/>
                <w:color w:val="auto"/>
              </w:rPr>
              <w:t>$44.1 million</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Unrealized losses on interest rate</w:t>
            </w: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w w:val="95"/>
              </w:rPr>
              <w:t>derivative contracts, net of related taxes of</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(11,458 )</w:t>
            </w:r>
          </w:p>
        </w:tc>
        <w:tc>
          <w:tcPr>
            <w:tcW w:w="11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(11,458 )</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$4.1 million</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6"/>
                <w:szCs w:val="16"/>
                <w:color w:val="auto"/>
              </w:rPr>
              <w:t>Amount reclassified into earnings, net of</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7,403</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6"/>
                <w:szCs w:val="16"/>
                <w:color w:val="auto"/>
              </w:rPr>
              <w:t>related taxes of $2.8 million</w:t>
            </w: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January 30, 2021</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80,661,453</w:t>
            </w:r>
          </w:p>
        </w:tc>
        <w:tc>
          <w:tcPr>
            <w:tcW w:w="1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1,809,831</w:t>
            </w: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(11,702</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(23,015</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(14,275,122</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(1,310,367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464,754</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408,839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408,839</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418,173</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39,887</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39,887</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Shares used for tax withholding</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(53,783 )</w:t>
            </w: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(16,612 )</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(16,612 )</w:t>
            </w: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Shares purchased as part of publicly</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(856,855 )</w:t>
            </w:r>
          </w:p>
        </w:tc>
        <w:tc>
          <w:tcPr>
            <w:tcW w:w="14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(250,016 )</w:t>
            </w: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93"/>
              </w:rPr>
              <w:t>(250,016 )</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announced programs</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20" w:type="dxa"/>
            <w:vAlign w:val="bottom"/>
          </w:tcPr>
          <w:p>
            <w:pPr>
              <w:ind w:left="20"/>
              <w:spacing w:after="0" w:line="158" w:lineRule="exact"/>
              <w:rPr>
                <w:sz w:val="20"/>
                <w:szCs w:val="20"/>
                <w:color w:val="auto"/>
              </w:rPr>
            </w:pPr>
            <w:r>
              <w:rPr>
                <w:rFonts w:ascii="Arial" w:cs="Arial" w:eastAsia="Arial" w:hAnsi="Arial"/>
                <w:sz w:val="17"/>
                <w:szCs w:val="17"/>
                <w:color w:val="auto"/>
              </w:rPr>
              <w:t>Vesting of restricted shares, net of</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7"/>
                <w:szCs w:val="17"/>
                <w:color w:val="auto"/>
              </w:rPr>
              <w:t>forfeitures of 2,886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83,698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based compensation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58,546</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58,546</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w w:val="94"/>
              </w:rPr>
              <w:t>Shares issued to redeem convertible notes</w:t>
            </w:r>
          </w:p>
        </w:tc>
        <w:tc>
          <w:tcPr>
            <w:tcW w:w="900" w:type="dxa"/>
            <w:vAlign w:val="bottom"/>
          </w:tcPr>
          <w:p>
            <w:pPr>
              <w:jc w:val="right"/>
              <w:spacing w:after="0"/>
              <w:rPr>
                <w:sz w:val="20"/>
                <w:szCs w:val="20"/>
                <w:color w:val="auto"/>
              </w:rPr>
            </w:pPr>
            <w:r>
              <w:rPr>
                <w:rFonts w:ascii="Arial" w:cs="Arial" w:eastAsia="Arial" w:hAnsi="Arial"/>
                <w:sz w:val="16"/>
                <w:szCs w:val="16"/>
                <w:color w:val="auto"/>
              </w:rPr>
              <w:t>513,991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151,206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151,206</w:t>
            </w: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Unrealized gains on interest rate</w:t>
            </w: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w w:val="95"/>
              </w:rPr>
              <w:t>derivative contracts, net of related taxes of</w:t>
            </w: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7,931</w:t>
            </w:r>
          </w:p>
        </w:tc>
        <w:tc>
          <w:tcPr>
            <w:tcW w:w="14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7,931</w:t>
            </w:r>
          </w:p>
        </w:tc>
        <w:tc>
          <w:tcPr>
            <w:tcW w:w="0" w:type="dxa"/>
            <w:vAlign w:val="bottom"/>
          </w:tcPr>
          <w:p>
            <w:pPr>
              <w:spacing w:after="0"/>
              <w:rPr>
                <w:sz w:val="1"/>
                <w:szCs w:val="1"/>
                <w:color w:val="auto"/>
              </w:rPr>
            </w:pPr>
          </w:p>
        </w:tc>
      </w:tr>
      <w:tr>
        <w:trPr>
          <w:trHeight w:val="19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$3.0 million</w:t>
            </w: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6"/>
                <w:szCs w:val="16"/>
                <w:color w:val="auto"/>
              </w:rPr>
              <w:t>Amount reclassified into earnings, net of</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10,643</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10,643</w:t>
            </w: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rPr>
                <w:sz w:val="20"/>
                <w:szCs w:val="20"/>
                <w:color w:val="auto"/>
              </w:rPr>
            </w:pPr>
            <w:r>
              <w:rPr>
                <w:rFonts w:ascii="Arial" w:cs="Arial" w:eastAsia="Arial" w:hAnsi="Arial"/>
                <w:sz w:val="16"/>
                <w:szCs w:val="16"/>
                <w:color w:val="auto"/>
              </w:rPr>
              <w:t>related taxes of $4.0 million</w:t>
            </w: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Adoption of ASU 2020-06 (Note 2)</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(131,916 )</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3"/>
              </w:rPr>
              <w:t>(114,761 )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January 29, 2022</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81,677,315</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1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1,927,554</w:t>
            </w:r>
          </w:p>
        </w:tc>
        <w:tc>
          <w:tcPr>
            <w:tcW w:w="140" w:type="dxa"/>
            <w:vAlign w:val="bottom"/>
          </w:tcPr>
          <w:p>
            <w:pPr>
              <w:spacing w:after="0"/>
              <w:rPr>
                <w:sz w:val="15"/>
                <w:szCs w:val="15"/>
                <w:color w:val="auto"/>
              </w:rPr>
            </w:pPr>
          </w:p>
        </w:tc>
        <w:tc>
          <w:tcPr>
            <w:tcW w:w="180" w:type="dxa"/>
            <w:vAlign w:val="bottom"/>
          </w:tcPr>
          <w:p>
            <w:pPr>
              <w:jc w:val="right"/>
              <w:ind w:right="2"/>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414,292</w:t>
            </w:r>
          </w:p>
        </w:tc>
        <w:tc>
          <w:tcPr>
            <w:tcW w:w="14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(4,441 )</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(15,185,760 )</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4"/>
              </w:rPr>
              <w:t>(1,576,995 )</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760,417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-150495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-150495</wp:posOffset>
            </wp:positionV>
            <wp:extent cx="342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-150495</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-150495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-150495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-150495</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-150495</wp:posOffset>
            </wp:positionV>
            <wp:extent cx="431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BURLINGTON STORES,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8" w:lineRule="exact"/>
        <w:rPr>
          <w:sz w:val="20"/>
          <w:szCs w:val="20"/>
          <w:color w:val="auto"/>
        </w:rPr>
      </w:pPr>
    </w:p>
    <w:p>
      <w:pPr>
        <w:ind w:right="7640" w:firstLine="8"/>
        <w:spacing w:after="0" w:line="362" w:lineRule="auto"/>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Business</w:t>
      </w:r>
    </w:p>
    <w:p>
      <w:pPr>
        <w:spacing w:after="0" w:line="1" w:lineRule="exact"/>
        <w:rPr>
          <w:sz w:val="20"/>
          <w:szCs w:val="20"/>
          <w:color w:val="auto"/>
        </w:rPr>
      </w:pPr>
    </w:p>
    <w:p>
      <w:pPr>
        <w:ind w:right="40" w:firstLine="509"/>
        <w:spacing w:after="0" w:line="292" w:lineRule="auto"/>
        <w:rPr>
          <w:sz w:val="20"/>
          <w:szCs w:val="20"/>
          <w:color w:val="auto"/>
        </w:rPr>
      </w:pPr>
      <w:r>
        <w:rPr>
          <w:rFonts w:ascii="Arial" w:cs="Arial" w:eastAsia="Arial" w:hAnsi="Arial"/>
          <w:sz w:val="16"/>
          <w:szCs w:val="16"/>
          <w:color w:val="auto"/>
        </w:rPr>
        <w:t>As of January 29, 2022, Burlington Stores, Inc., a Delaware corporation (collectively with its subsidiaries, the Company), has expanded its store base to 840 retail stores in 45 states and Puerto Rico. The Company sells in-season, fashion-focused merchandise at up to 60% off other retailers’ prices, including: women’s ready-to-wear apparel, menswear, youth apparel, baby, beauty, footwear, accessories, home, toys, gifts and coats. As of January 29, 2022, the Company operated stores under the names “Burlington Stores” (837 stores), “Cohoes Fashions” (2 stores), and “MJM Designer Shoes” (1 store). Cohoes Fashions offers products similar to those offered by Burlington Stores. MJM Designer Shoes offers moderately priced designer and fashion shoes.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0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Company defines its fiscal year as the 52 or 53-week period ending on the Saturday closest to January 31. The fiscal years ended January 29, 2022 (Fiscal 2021), January 30, 2021 (Fiscal 2020) and February 1, 2020 (Fiscal 2019) each consisted of 52 weeks.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ind w:right="20" w:firstLine="849"/>
        <w:spacing w:after="0" w:line="241" w:lineRule="auto"/>
        <w:rPr>
          <w:sz w:val="20"/>
          <w:szCs w:val="20"/>
          <w:color w:val="auto"/>
        </w:rPr>
      </w:pPr>
      <w:r>
        <w:rPr>
          <w:rFonts w:ascii="Arial" w:cs="Arial" w:eastAsia="Arial" w:hAnsi="Arial"/>
          <w:sz w:val="18"/>
          <w:szCs w:val="18"/>
          <w:color w:val="auto"/>
        </w:rPr>
        <w:t>On March 11, 2020, the World Health Organization declared the novel coronavirus (known as COVID-19) outbreak to be a global pandemic. As a result, the Company began the temporary closing of some its stores, and effective March 22, 2020, the Company made the decision to temporarily close all of its stores, distribution centers (other than processing of received inventory) and corporate offices to combat the rapid spread of COVID-19. The Company began re-opening stores on May 11, 2020, with the majority of stores, as well as all distribution centers, re-opened by mid-June 2020, and substantially all stores re-opened by the end of the second quarter of Fiscal 2020.</w:t>
      </w:r>
    </w:p>
    <w:p>
      <w:pPr>
        <w:spacing w:after="0" w:line="189" w:lineRule="exact"/>
        <w:rPr>
          <w:sz w:val="20"/>
          <w:szCs w:val="20"/>
          <w:color w:val="auto"/>
        </w:rPr>
      </w:pPr>
    </w:p>
    <w:p>
      <w:pPr>
        <w:ind w:firstLine="578"/>
        <w:spacing w:after="0" w:line="259" w:lineRule="auto"/>
        <w:rPr>
          <w:sz w:val="20"/>
          <w:szCs w:val="20"/>
          <w:color w:val="auto"/>
        </w:rPr>
      </w:pPr>
      <w:r>
        <w:rPr>
          <w:rFonts w:ascii="Arial" w:cs="Arial" w:eastAsia="Arial" w:hAnsi="Arial"/>
          <w:sz w:val="17"/>
          <w:szCs w:val="17"/>
          <w:color w:val="auto"/>
        </w:rPr>
        <w:t>In response to the COVID-19 pandemic and the temporary closing of stores, the Company provided two weeks of financial support to associates impacted by these store closures and by the shutdown of distribution centers. The Company temporarily furloughed most store and distribution center associates, as well as some corporate associates, but continued to provide benefits to furloughed associates in accordance with its benefit plans. In addition, the Company paid 100% of medical benefit premiums during the period they were furloughed. During the second quarter, the Company recalled all furloughed associates at re-opened stores, as well as corporate and distribution facilities.</w:t>
      </w:r>
    </w:p>
    <w:p>
      <w:pPr>
        <w:spacing w:after="0" w:line="174" w:lineRule="exact"/>
        <w:rPr>
          <w:sz w:val="20"/>
          <w:szCs w:val="20"/>
          <w:color w:val="auto"/>
        </w:rPr>
      </w:pPr>
    </w:p>
    <w:p>
      <w:pPr>
        <w:ind w:firstLine="578"/>
        <w:spacing w:after="0" w:line="261" w:lineRule="auto"/>
        <w:rPr>
          <w:sz w:val="20"/>
          <w:szCs w:val="20"/>
          <w:color w:val="auto"/>
        </w:rPr>
      </w:pPr>
      <w:r>
        <w:rPr>
          <w:rFonts w:ascii="Arial" w:cs="Arial" w:eastAsia="Arial" w:hAnsi="Arial"/>
          <w:sz w:val="18"/>
          <w:szCs w:val="18"/>
          <w:color w:val="auto"/>
        </w:rPr>
        <w:t>In order to maintain financial flexibility during these uncertain times, the Company completed several debt transactions in the first quarter of Fiscal 2020. Refer to Note 7, "Long Term Debt," for further discussion regarding these debt transactions.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the Company took the following steps to further enhance its financial flexibility:</w:t>
      </w:r>
    </w:p>
    <w:p>
      <w:pPr>
        <w:spacing w:after="0" w:line="212" w:lineRule="exact"/>
        <w:rPr>
          <w:sz w:val="20"/>
          <w:szCs w:val="20"/>
          <w:color w:val="auto"/>
        </w:rPr>
      </w:pPr>
    </w:p>
    <w:p>
      <w:pPr>
        <w:ind w:left="1320" w:right="180" w:hanging="368"/>
        <w:spacing w:after="0" w:line="248"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Carefully managed operating expenses, working capital and capital expenditures, including ceasing substantially all buying activities while stores were closed. The Company subsequently resumed its buying activities, while continuing its conservative approach toward operating expenses and capital expenditures;</w:t>
      </w:r>
    </w:p>
    <w:p>
      <w:pPr>
        <w:spacing w:after="0" w:line="181" w:lineRule="exact"/>
        <w:rPr>
          <w:rFonts w:ascii="Arial" w:cs="Arial" w:eastAsia="Arial" w:hAnsi="Arial"/>
          <w:sz w:val="18"/>
          <w:szCs w:val="18"/>
          <w:color w:val="auto"/>
        </w:rPr>
      </w:pPr>
    </w:p>
    <w:p>
      <w:pPr>
        <w:ind w:left="1320" w:hanging="368"/>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Negotiated rent deferral agreements with landlords, which were substantially complete as of the end of Fiscal 2021;</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6" w:name="page57"/>
    <w:bookmarkEnd w:id="56"/>
    <w:p>
      <w:pPr>
        <w:ind w:left="1320" w:hanging="368"/>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Temporarily suspended the Company’s share repurchase program, which resumed during the third quarter of Fiscal 2021;</w:t>
      </w:r>
    </w:p>
    <w:p>
      <w:pPr>
        <w:spacing w:after="0" w:line="211" w:lineRule="exact"/>
        <w:rPr>
          <w:rFonts w:ascii="Arial" w:cs="Arial" w:eastAsia="Arial" w:hAnsi="Arial"/>
          <w:sz w:val="18"/>
          <w:szCs w:val="18"/>
          <w:color w:val="auto"/>
        </w:rPr>
      </w:pPr>
    </w:p>
    <w:p>
      <w:pPr>
        <w:ind w:left="1320" w:hanging="368"/>
        <w:spacing w:after="0" w:line="243"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CEO voluntarily agreed to not take a salary; the Company’s Board of Directors voluntarily forfeited their cash compensation; the Company’s executive leadership team voluntarily agreed to decrease their salary by 50%; and smaller salary reductions were temporarily put in place for all associates through a certain level. This compensation was reinstated once substantially all of the Company’s stores re-opened; and</w:t>
      </w:r>
    </w:p>
    <w:p>
      <w:pPr>
        <w:spacing w:after="0" w:line="187" w:lineRule="exact"/>
        <w:rPr>
          <w:rFonts w:ascii="Arial" w:cs="Arial" w:eastAsia="Arial" w:hAnsi="Arial"/>
          <w:sz w:val="18"/>
          <w:szCs w:val="18"/>
          <w:color w:val="auto"/>
        </w:rPr>
      </w:pPr>
    </w:p>
    <w:p>
      <w:pPr>
        <w:ind w:left="1320" w:right="220" w:hanging="368"/>
        <w:spacing w:after="0" w:line="261"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incentive bonus payments related to Fiscal 2019 performance were delayed to the second quarter of Fiscal 2020, and merit pay increases for Fiscal 2020 were delayed to the third quarter of Fiscal 2020.</w:t>
      </w:r>
    </w:p>
    <w:p>
      <w:pPr>
        <w:spacing w:after="0" w:line="17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Due to the aging of inventory related to the temporary store closures discussed above, as well as the impact of seasonality on the Company’s merchandise, the Company recognized inventory markdown reserves of $271.9 million during the three month period ended May 2, 2020. These reserves covered markdowns taken during the second quarter of Fiscal 2020. These charges were included in “Cost of sales” on the Company’s Consolidated Statement of Income (Loss).</w:t>
      </w:r>
    </w:p>
    <w:p>
      <w:pPr>
        <w:spacing w:after="0" w:line="18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 March 27, 2020, the Coronavirus Aid, Relief, and Economic Security Act (the CARES Act) was signed into law, which provided emergency economic assistance for American workers, families and businesses affected by the COVID-19 pandemic. As a result of amending prior returns to carry back the federal net operating loss generated on the Fiscal 2020 tax return, the Company expects to obtain a one-time tax refund of $245.5 million, which is included in the line item “Prepaid and other current assets” on the Company's Consolidated Balance Sheet.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and cash equivalents represent cash and short-term, highly liquid investments with maturities of three months or less at the time of 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Book cash overdrafts are included in the line item “Accounts payable” on the Company’s Consolidated Balance Sheets.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04" w:lineRule="exact"/>
        <w:rPr>
          <w:sz w:val="20"/>
          <w:szCs w:val="20"/>
          <w:color w:val="auto"/>
        </w:rPr>
      </w:pPr>
    </w:p>
    <w:p>
      <w:pPr>
        <w:ind w:right="700" w:firstLine="509"/>
        <w:spacing w:after="0" w:line="324" w:lineRule="auto"/>
        <w:rPr>
          <w:sz w:val="20"/>
          <w:szCs w:val="20"/>
          <w:color w:val="auto"/>
        </w:rPr>
      </w:pPr>
      <w:r>
        <w:rPr>
          <w:rFonts w:ascii="Arial" w:cs="Arial" w:eastAsia="Arial" w:hAnsi="Arial"/>
          <w:sz w:val="16"/>
          <w:szCs w:val="16"/>
          <w:color w:val="auto"/>
        </w:rPr>
        <w:t>Accounts receivable consist of credit card receivables, insurance receivables and other receivables. Accounts receivable are recorded at net realizable value, which approximates fair value. The Company provides an allowance for doubtful accounts for amounts deemed uncollectible.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Merchandise inventories are valued at the lower of cost or market, as determined by the retail inventory method. Under the retail inventory method, the valuation of inventories at cost and the resulting gross margins are calculated by applying a calculated cost to retail ratio to the retail value of inventories. The Company regularly records a provision for estimated shortage,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w:t>
      </w:r>
    </w:p>
    <w:p>
      <w:pPr>
        <w:spacing w:after="0" w:line="18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Income (Loss).</w:t>
      </w:r>
    </w:p>
    <w:p>
      <w:pPr>
        <w:spacing w:after="0" w:line="18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Costs associated with the Company’s distribution, buying, and store receiving functions (product sourcing costs) are included in the line items “Selling, general and administrative expenses” and “Depreciation and amortization” in the Company’s Consolidated Statements of Income (Loss). Product sourcing costs included within the line item “Selling, general and administrative expenses” amounted to $618.3 million, $433.8 million and $339.1 million during Fiscal 2021, Fiscal 2020 and Fiscal 2019, respectively. Depreciation and amortization related to the distribution and purchasing functions for the same periods amounted to $45.0 million, $30.8 million and $31.9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range from 20 to 40 years for buildings, depending upon the expected useful life of the facility, and 3 to 15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ind w:right="20"/>
        <w:spacing w:after="0" w:line="254" w:lineRule="auto"/>
        <w:rPr>
          <w:sz w:val="20"/>
          <w:szCs w:val="20"/>
          <w:color w:val="auto"/>
        </w:rPr>
      </w:pPr>
      <w:r>
        <w:rPr>
          <w:rFonts w:ascii="Arial" w:cs="Arial" w:eastAsia="Arial" w:hAnsi="Arial"/>
          <w:sz w:val="17"/>
          <w:szCs w:val="17"/>
          <w:color w:val="auto"/>
        </w:rPr>
        <w:t xml:space="preserve">years for store fixtures and equipment. Leasehold improvements are amortized over the lease term, including any reasonably assured renewal options or the expected economic life of the improvement, whichever is less. Repairs and maintenance expenditures are expensed as incurred. Renewals and betterments, which significantly extend the useful lives of existing property and equipment, are capitalized. Assets recorded under capital leases are recorded at the present value of minimum lease payments and are amortized over the lease term. Amortization of assets recorded as capital leases is included in the line item “Depreciation and amortization” in the Company’s Consolidated Statements of Income (Loss). The carrying value of all long-lived assets is reviewed for impairment whenever events or changes in circumstances indicate that the carrying value of an asset may not be recoverable, in accordance with ASC Topic No. 360 </w:t>
      </w:r>
      <w:r>
        <w:rPr>
          <w:rFonts w:ascii="Arial" w:cs="Arial" w:eastAsia="Arial" w:hAnsi="Arial"/>
          <w:sz w:val="17"/>
          <w:szCs w:val="17"/>
          <w:i w:val="1"/>
          <w:iCs w:val="1"/>
          <w:color w:val="auto"/>
        </w:rPr>
        <w:t>“</w:t>
      </w:r>
      <w:r>
        <w:rPr>
          <w:rFonts w:ascii="Arial" w:cs="Arial" w:eastAsia="Arial" w:hAnsi="Arial"/>
          <w:sz w:val="17"/>
          <w:szCs w:val="17"/>
          <w:color w:val="auto"/>
        </w:rPr>
        <w:t>Property, Plant, and Equipment” (Topic No. 360). Refer to Note 6, “Impairment Charges,” for further discussion of the Company’s measurement of impairment of long-lived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0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charge is recognized for the amount by which the carrying amount of the assets exceeds the fair value of such assets. Refer to Note 6, “Impairment Charges,” for further discussion of the Company’s measurement of impairment of long-lived assets.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Computer Software Costs</w:t>
      </w:r>
    </w:p>
    <w:p>
      <w:pPr>
        <w:spacing w:after="0" w:line="10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The Company accounts for capitalized software in accordance with ASC Topic No. 350 “Intangibles—Goodwill and Other” (Topic No. 350) which requires the capitalization of certain costs incurred in connection with developing or obtaining software for internal use. The Company capitalized $25.3 million, $12.2 million, and $18.0 million relating to these costs during Fiscal 2021, Fiscal 2020, and Fiscal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04"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The Company accounts for intangible assets in accordance with Topic No. 350. The Company’s intangible assets represent tradenames. The tradename asset “Burlington” is expected to generate cash flows indefinitely and, therefore, is accounted for as an indefinite-lived asset not subject to amortization. The Company evaluates its intangible assets for possible impairment as follows: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Indefinite-lived intangible assets: 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On the first business day of the second quarter, the Company’s annual assessment date, the Company performed a quantitative analysis and determined that the fair values of each of the Company’s identifiable intangible assets are greater than their respective carrying values. There were no impairment charges recorded during Fiscal 2021, Fiscal 2020 or Fiscal 2019 related to indefinite-lived intangible assets.</w:t>
      </w:r>
    </w:p>
    <w:p>
      <w:pPr>
        <w:spacing w:after="0" w:line="19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Finite-lived intangible assets: Identifiable intangible assets that are subject to amortization are evaluated for impairment in accordance with Topic No. 360 using a process similar to that used to evaluate other long-lived assets as described in Note 6, “Impairment Charges.” An impairment charge is recognized for the amount by which the carrying value exceeds the fair value of the asset. There were no impairment charges related to finite-lived intangible assets during Fiscal 2021, Fiscal 2020, and Fiscal 2019. Refer to Note 6, “Impairment Charges,” for further discussion of the Company’s measurement of impairment of long-lived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On the first business day of the second fiscal quarter, the Company’s annual assessment date, the Company performed a quantitative analysis and determined that the fair value of the Company’s reporting unit was greater than its carrying value. There were no impairment charges related to goodwill during Fiscal 2021, Fiscal 2020 or Fiscal 2019.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Other Assets</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Other assets consist primarily of landlord-owned store assets that the Company has paid for as part of its lease and deferred financing costs associated with the Company’s senior secured asset-based revolving credit facility (the ABL Line of Credit). Landlord-owned assets represent leasehold improvements at certain stores for which the Company has paid and derives a benefit, but the landlord has retained title. These assets are amortized over the lease term inclusive of reasonably assured renewal options, and are included in the line item “Depreciation and amortization” in the Company’s Consolidated Statements of Income (Loss). Deferred financing costs are amortized over the life of the ABL Line of Credit using the interest method of amortization. Amortization of deferred financing costs is recorded in the line item “Interest expense” in the Company’s Consolidated Statements of Income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Liabilities</w:t>
      </w:r>
    </w:p>
    <w:p>
      <w:pPr>
        <w:spacing w:after="0" w:line="90"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Other current liabilities primarily consist of accrued payroll costs, self-insurance reserves, customer liabilities, accrued operating expenses, sales tax payable, payroll taxes payable and other miscellaneous items. Customer liabilities totaled $35.5 million and $30.2 million as of January 29, 2022 and January 30, 2021, respectively.</w:t>
      </w:r>
    </w:p>
    <w:p>
      <w:pPr>
        <w:spacing w:after="0" w:line="175"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The Company has risk participation agreements with insurance carriers with respect to workers’ compensation, general liability insurance and health insurance. Pursuant to these arrangements, the Company is 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Self-insurance reserves as of January 29, 2022 and January 30, 2021 were:</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5"/>
                <w:szCs w:val="15"/>
                <w:color w:val="auto"/>
              </w:rPr>
            </w:pPr>
          </w:p>
        </w:tc>
      </w:tr>
      <w:tr>
        <w:trPr>
          <w:trHeight w:val="133"/>
        </w:trPr>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rPr>
              <w:t>January 30,</w:t>
            </w:r>
          </w:p>
        </w:tc>
        <w:tc>
          <w:tcPr>
            <w:tcW w:w="60" w:type="dxa"/>
            <w:vAlign w:val="bottom"/>
          </w:tcPr>
          <w:p>
            <w:pPr>
              <w:spacing w:after="0"/>
              <w:rPr>
                <w:sz w:val="11"/>
                <w:szCs w:val="11"/>
                <w:color w:val="auto"/>
              </w:rPr>
            </w:pPr>
          </w:p>
        </w:tc>
      </w:tr>
      <w:tr>
        <w:trPr>
          <w:trHeight w:val="185"/>
        </w:trPr>
        <w:tc>
          <w:tcPr>
            <w:tcW w:w="5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Short-term self-insurance reserve(a)</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33,734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33,191</w:t>
            </w:r>
          </w:p>
        </w:tc>
        <w:tc>
          <w:tcPr>
            <w:tcW w:w="6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Long-term self-insurance reserve(b)</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47,841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47,721</w:t>
            </w:r>
          </w:p>
        </w:tc>
        <w:tc>
          <w:tcPr>
            <w:tcW w:w="60" w:type="dxa"/>
            <w:vAlign w:val="bottom"/>
          </w:tcPr>
          <w:p>
            <w:pPr>
              <w:spacing w:after="0"/>
              <w:rPr>
                <w:sz w:val="17"/>
                <w:szCs w:val="17"/>
                <w:color w:val="auto"/>
              </w:rPr>
            </w:pPr>
          </w:p>
        </w:tc>
      </w:tr>
      <w:tr>
        <w:trPr>
          <w:trHeight w:val="236"/>
        </w:trPr>
        <w:tc>
          <w:tcPr>
            <w:tcW w:w="51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81,575</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80,912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ind w:left="520" w:right="480" w:hanging="512"/>
        <w:spacing w:after="0" w:line="244" w:lineRule="auto"/>
        <w:tabs>
          <w:tab w:leader="none" w:pos="3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the next twelve months, which were recorded in the line item “Other current liabilities” in the Company’s Consolidated Balance Sheets.</w:t>
      </w:r>
    </w:p>
    <w:p>
      <w:pPr>
        <w:ind w:left="520" w:right="460" w:hanging="512"/>
        <w:spacing w:after="0" w:line="243" w:lineRule="auto"/>
        <w:tabs>
          <w:tab w:leader="none" w:pos="3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excess of twelve months, which was recorded in the line item “Other liabilities” in the Company’s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700" w:firstLine="509"/>
        <w:spacing w:after="0" w:line="307" w:lineRule="auto"/>
        <w:rPr>
          <w:sz w:val="20"/>
          <w:szCs w:val="20"/>
          <w:color w:val="auto"/>
        </w:rPr>
      </w:pPr>
      <w:r>
        <w:rPr>
          <w:rFonts w:ascii="Arial" w:cs="Arial" w:eastAsia="Arial" w:hAnsi="Arial"/>
          <w:sz w:val="16"/>
          <w:szCs w:val="16"/>
          <w:color w:val="auto"/>
        </w:rPr>
        <w:t>Other liabilities primarily consist of the long term portion of self-insurance reserves, the fair value of derivative contracts and tax liabilities associated with the uncertain tax positions recognized by the Company in accordance with ASC Topic No. 740 “Income Taxes” (Topic No. 740).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Company records revenue at the time control of the goods are transferred to the customer, which the Company determines to be at point of sale and delivery of merchandise, net of allowances for estimated future returns, which is estimated based on historical return rates. The Company presents sales, net of sales taxes, in its Consolidated Statements of Income (Loss). The Company accounts for layaway sales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the Company’s Consolidated Balance Sheets. Stored value cards (gift cards and store credits issued for merchandise returns) are recorded as a liability at the time of issuance, and the related sale is recorded upon redemption.</w:t>
      </w:r>
    </w:p>
    <w:p>
      <w:pPr>
        <w:spacing w:after="0" w:line="180"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The Company determines an estimated stored value card breakage rate by continuously evaluating historical redemption data. Breakage income is recognized monthly in proportion to the historical redemption patterns for those stored value cards for which the likelihood of redemption is remote.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Other Revenue</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Other revenue consists of service fees (layaway and other miscellaneous service charges), subleased rental income and revenue from the Company's private label credit card (PLCC) as shown in the table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3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January 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320"/>
              <w:spacing w:after="0" w:line="133" w:lineRule="exact"/>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February 1,</w:t>
            </w:r>
          </w:p>
        </w:tc>
        <w:tc>
          <w:tcPr>
            <w:tcW w:w="60" w:type="dxa"/>
            <w:vAlign w:val="bottom"/>
          </w:tcPr>
          <w:p>
            <w:pPr>
              <w:spacing w:after="0"/>
              <w:rPr>
                <w:sz w:val="11"/>
                <w:szCs w:val="11"/>
                <w:color w:val="auto"/>
              </w:rPr>
            </w:pPr>
          </w:p>
        </w:tc>
      </w:tr>
      <w:tr>
        <w:trPr>
          <w:trHeight w:val="185"/>
        </w:trPr>
        <w:tc>
          <w:tcPr>
            <w:tcW w:w="3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Service fees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3,186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16,051</w:t>
            </w:r>
          </w:p>
        </w:tc>
        <w:tc>
          <w:tcPr>
            <w:tcW w:w="60" w:type="dxa"/>
            <w:vAlign w:val="bottom"/>
            <w:shd w:val="clear" w:color="auto" w:fill="CFF0FC"/>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Subleased rental income, PLCC and other</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12,529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9,253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9,104</w:t>
            </w:r>
          </w:p>
        </w:tc>
        <w:tc>
          <w:tcPr>
            <w:tcW w:w="60" w:type="dxa"/>
            <w:vAlign w:val="bottom"/>
          </w:tcPr>
          <w:p>
            <w:pPr>
              <w:spacing w:after="0"/>
              <w:rPr>
                <w:sz w:val="17"/>
                <w:szCs w:val="17"/>
                <w:color w:val="auto"/>
              </w:rPr>
            </w:pPr>
          </w:p>
        </w:tc>
      </w:tr>
      <w:tr>
        <w:trPr>
          <w:trHeight w:val="236"/>
        </w:trPr>
        <w:tc>
          <w:tcPr>
            <w:tcW w:w="39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15,707</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12,439</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25,155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-24765</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Label Credit Card</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has a private label credit card program, in which customers earn reward points for purchases made using the card. The Company reduces net sales for the dollar value of any points earned at the time of the initial transaction, and subsequently recognizes net sales at the time the points are redeemed or expired. The Company receives royalty revenue based on a percentage of all purchases made on the card, which is recognized at the time of the initial transaction. The Company also receives a fee for each card activated. Revenue from activation fees are deferred and amortized over the period the Company performs its obligations under the card to the customer.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04" w:lineRule="exact"/>
        <w:rPr>
          <w:sz w:val="20"/>
          <w:szCs w:val="20"/>
          <w:color w:val="auto"/>
        </w:rPr>
      </w:pPr>
    </w:p>
    <w:p>
      <w:pPr>
        <w:ind w:right="380" w:firstLine="509"/>
        <w:spacing w:after="0" w:line="294" w:lineRule="auto"/>
        <w:rPr>
          <w:sz w:val="20"/>
          <w:szCs w:val="20"/>
          <w:color w:val="auto"/>
        </w:rPr>
      </w:pPr>
      <w:r>
        <w:rPr>
          <w:rFonts w:ascii="Arial" w:cs="Arial" w:eastAsia="Arial" w:hAnsi="Arial"/>
          <w:sz w:val="16"/>
          <w:szCs w:val="16"/>
          <w:color w:val="auto"/>
        </w:rPr>
        <w:t>The Company’s advertising costs consist primarily of video, audio and digital marketing. Advertising costs are expensed the first time the advertising takes place, and are included in the line item “Selling, general and administrative expenses” on the Company’s Consolidated Statements of Income (Loss). During Fiscal 2021, Fiscal 2020 and Fiscal 2019, advertising costs were $48.5 million, $43.8 million and $73.1 million,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 assumptions and to apply judgment, including forecasting future earnings, taxable income, and the mix of earnings in the jurisdictions in which the Company operates. Management periodically assesses the need for a valuation allowance based on the Company’s current and anticipated results of operations. The need for and the amount of a valuation allowance can change in the near term if operating results and projections change significantly.</w:t>
      </w:r>
    </w:p>
    <w:p>
      <w:pPr>
        <w:spacing w:after="0" w:line="18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Topic No. 740 requires the recognition in the Company’s Consolidated Financial Statements of the impact of a tax position taken or expected to be taken in a tax return, if that position is “more likely than not” to be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Other income, net, consists of gains and losses on insurance proceeds, interest income, net gains and losses on disposition of assets, gift card breakage, and other miscellaneous items. The Company recognized $1.5 million, $3.2 million and $8.1 million of gain on insurance recoveries during Fiscal 2021, Fiscal 2020 and Fiscal 2019, respectively. The Company also recognized $3.7 million during Fiscal 2021, related to the sale of certain state tax credits. There were no sales of tax credits during Fiscal 2020 or Fiscal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Comprehensive income (loss) is comprised of net income (loss) and the effective portion of changes in the fair value of derivatives designated and that qualify as cash flow hedges, less amounts reclassified into earnings.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Lease Accounting</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Company leases store locations, distribution centers and office space used in its operations. Beginning in Fiscal 2019, as a result of adopting Accounting Standards Update (ASU) 2016-02, “Leases” (ASU 2016-02), the Company accounts for these types of leases in accordance with ASC Topic No. 842, “Leases” (Topic No. 842), which requires that leases be evaluated and classified as operating or finance leases for financial reporting purposes. The lease liability is calculated as the present value of the remaining future lease payments over the lease term, including reasonably assured renewal options. The discount rates used in valuing the Company’s leases are not readily determinable, and are based on the Company’s incremental borrowing rate on a fully collateralized basis. In calculating its incremental borrowing rate, the Company uses a retail industry yield curve, adjusted for the Company’s credit profile. The right-of-use asset for operating leases is based on the lease liability plus initial direct costs and prepaid lease payments, less landlord incentives received.</w:t>
      </w:r>
    </w:p>
    <w:p>
      <w:pPr>
        <w:spacing w:after="0" w:line="86"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The Company’s operating lease cost, included in the line item “Selling, general and administrative expenses” on its Consolidated Statements of Income (Loss), includes amortization of right-of-use assets, interest on lease liabilities, as well as any variable and short-term lease cost. The Company commences recording operating lease cost when the underlying asset is made available for use.</w:t>
      </w:r>
    </w:p>
    <w:p>
      <w:pPr>
        <w:spacing w:after="0" w:line="7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Assets held under finance leases are included in the line item “Property and equipment—net of accumulated depreciation and amortization” in the Company’s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04"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The Company accounts for stock-based compensation in accordance with ASC Topic No. 718, “Stock Compensation” (Topic No. 718), which requires companies to record stock compensation expense for all non-vested and new awards beginning as of the grant date and through the end of the vesting period. Refer to Note 11, “Stock-Based Compensation,” for further details.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income (loss) per share is calculated using the treasury stock method. Refer to Note 10, “Net Income (Loss) Per Share,” for further details.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from maintaining cash accounts in excess of such limits. Management believes that it is not exposed to any significant risks on its cash and cash equivalent accounts.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04"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The Company reports segment information in accordance with ASC Topic No. 280 “Segment Reporting.” The Company has one reportable segment. The Company is an off-price retailer that offers customers a complete line of value-priced apparel, including: women’s ready-to-wear apparel, accessories, footwear, menswear, youth apparel, baby, home, coats, beauty, toys and gifts. Sales percentage by major product category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Category</w:t>
            </w:r>
          </w:p>
        </w:tc>
        <w:tc>
          <w:tcPr>
            <w:tcW w:w="160" w:type="dxa"/>
            <w:vAlign w:val="bottom"/>
          </w:tcPr>
          <w:p>
            <w:pPr>
              <w:spacing w:after="0"/>
              <w:rPr>
                <w:sz w:val="16"/>
                <w:szCs w:val="16"/>
                <w:color w:val="auto"/>
              </w:rPr>
            </w:pPr>
          </w:p>
        </w:tc>
        <w:tc>
          <w:tcPr>
            <w:tcW w:w="162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Fiscal 2021</w:t>
            </w:r>
          </w:p>
        </w:tc>
        <w:tc>
          <w:tcPr>
            <w:tcW w:w="15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Fiscal 2020</w:t>
            </w: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Fiscal 2019</w:t>
            </w:r>
          </w:p>
        </w:tc>
      </w:tr>
      <w:tr>
        <w:trPr>
          <w:trHeight w:val="196"/>
        </w:trPr>
        <w:tc>
          <w:tcPr>
            <w:tcW w:w="64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Ladies apparel</w:t>
            </w:r>
          </w:p>
        </w:tc>
        <w:tc>
          <w:tcPr>
            <w:tcW w:w="1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Accessories and shoes</w:t>
            </w:r>
          </w:p>
        </w:tc>
        <w:tc>
          <w:tcPr>
            <w:tcW w:w="178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23 %</w:t>
            </w:r>
          </w:p>
        </w:tc>
        <w:tc>
          <w:tcPr>
            <w:tcW w:w="1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24 %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Home</w:t>
            </w:r>
          </w:p>
        </w:tc>
        <w:tc>
          <w:tcPr>
            <w:tcW w:w="178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20 %</w:t>
            </w:r>
          </w:p>
        </w:tc>
        <w:tc>
          <w:tcPr>
            <w:tcW w:w="15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Mens apparel</w:t>
            </w:r>
          </w:p>
        </w:tc>
        <w:tc>
          <w:tcPr>
            <w:tcW w:w="178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16 %</w:t>
            </w:r>
          </w:p>
        </w:tc>
        <w:tc>
          <w:tcPr>
            <w:tcW w:w="15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Kids apparel and baby</w:t>
            </w:r>
          </w:p>
        </w:tc>
        <w:tc>
          <w:tcPr>
            <w:tcW w:w="178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14 %</w:t>
            </w:r>
          </w:p>
        </w:tc>
        <w:tc>
          <w:tcPr>
            <w:tcW w:w="15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Outerwear</w:t>
            </w:r>
          </w:p>
        </w:tc>
        <w:tc>
          <w:tcPr>
            <w:tcW w:w="1780" w:type="dxa"/>
            <w:vAlign w:val="bottom"/>
            <w:gridSpan w:val="3"/>
          </w:tcPr>
          <w:p>
            <w:pPr>
              <w:jc w:val="right"/>
              <w:ind w:right="130"/>
              <w:spacing w:after="0"/>
              <w:rPr>
                <w:sz w:val="20"/>
                <w:szCs w:val="20"/>
                <w:color w:val="auto"/>
              </w:rPr>
            </w:pPr>
            <w:r>
              <w:rPr>
                <w:rFonts w:ascii="Arial" w:cs="Arial" w:eastAsia="Arial" w:hAnsi="Arial"/>
                <w:sz w:val="18"/>
                <w:szCs w:val="18"/>
                <w:color w:val="auto"/>
              </w:rPr>
              <w:t>4 %</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4 %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4 %</w:t>
            </w:r>
          </w:p>
        </w:tc>
      </w:tr>
    </w:tbl>
    <w:p>
      <w:pPr>
        <w:spacing w:after="0" w:line="309" w:lineRule="exact"/>
        <w:rPr>
          <w:sz w:val="20"/>
          <w:szCs w:val="20"/>
          <w:color w:val="auto"/>
        </w:rPr>
      </w:pPr>
    </w:p>
    <w:p>
      <w:pPr>
        <w:ind w:right="500" w:firstLine="509"/>
        <w:spacing w:after="0" w:line="291" w:lineRule="auto"/>
        <w:rPr>
          <w:sz w:val="20"/>
          <w:szCs w:val="20"/>
          <w:color w:val="auto"/>
        </w:rPr>
      </w:pPr>
      <w:r>
        <w:rPr>
          <w:rFonts w:ascii="Arial" w:cs="Arial" w:eastAsia="Arial" w:hAnsi="Arial"/>
          <w:sz w:val="17"/>
          <w:szCs w:val="17"/>
          <w:color w:val="auto"/>
        </w:rPr>
        <w:t>Certain classifications have been updated in the above table compared to prior years in order to conform to the manner in which the Company manages its operations. These updates include a shift in certain cold weather categories from apparel to accessories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1" w:name="page62"/>
    <w:bookmarkEnd w:id="61"/>
    <w:p>
      <w:pPr>
        <w:ind w:right="40"/>
        <w:spacing w:after="0" w:line="261" w:lineRule="auto"/>
        <w:rPr>
          <w:sz w:val="20"/>
          <w:szCs w:val="20"/>
          <w:color w:val="auto"/>
        </w:rPr>
      </w:pPr>
      <w:r>
        <w:rPr>
          <w:rFonts w:ascii="Arial" w:cs="Arial" w:eastAsia="Arial" w:hAnsi="Arial"/>
          <w:sz w:val="18"/>
          <w:szCs w:val="18"/>
          <w:color w:val="auto"/>
        </w:rPr>
        <w:t>shoes, as well as in certain gifts, electronics, automotive and other miscellaneous categories from men's to home. Prior year amounts have been reclassified to conform to the current period presentation.</w:t>
      </w:r>
    </w:p>
    <w:p>
      <w:pPr>
        <w:spacing w:after="0" w:line="194" w:lineRule="exact"/>
        <w:rPr>
          <w:sz w:val="20"/>
          <w:szCs w:val="20"/>
          <w:color w:val="auto"/>
        </w:rPr>
      </w:pPr>
    </w:p>
    <w:p>
      <w:pPr>
        <w:ind w:right="8240" w:firstLine="8"/>
        <w:spacing w:after="0" w:line="391" w:lineRule="auto"/>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Convertible Debt</w:t>
      </w:r>
    </w:p>
    <w:p>
      <w:pPr>
        <w:spacing w:after="0" w:line="59"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On August 5, 2020, the Financial Accounting Standards Board (FASB) issued Accounting Standards Update (ASU) 2020-06, “Accounting for Convertible Instruments and Contracts in an Entity’s Own Equity” (ASU 2020-06), which simplifies the accounting for certain financial instruments with characteristics of liabilities and equity, including convertible instruments. The new guidance removes from GAAP the separation models for convertible debt with a cash conversion feature. The Company elected to early adopt this ASU as of the beginning of Fiscal 2021, using the modified retrospective method of transition. Prior periods have not been restated.</w:t>
      </w:r>
    </w:p>
    <w:p>
      <w:pPr>
        <w:spacing w:after="0" w:line="18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 xml:space="preserve">In April 2020, the Company issued $805.0 million of 2.25% Convertible Senior Notes due 2025 (Convertible Notes). As a result of adopting the guidance, the Company is no longer separating the Convertible Notes into debt and equity components, and is instead accounting for it wholly as debt. As of the beginning of Fiscal 2021, this ASU resulted in a reduction in the line item “Additional paid-in capital” of $176.0 million, net of deferred financing costs, and an increase in the line item “Long term debt” of </w:t>
      </w:r>
      <w:r>
        <w:rPr>
          <w:rFonts w:ascii="Arial" w:cs="Arial" w:eastAsia="Arial" w:hAnsi="Arial"/>
          <w:sz w:val="18"/>
          <w:szCs w:val="18"/>
          <w:b w:val="1"/>
          <w:bCs w:val="1"/>
          <w:color w:val="auto"/>
        </w:rPr>
        <w:t>$</w:t>
      </w:r>
      <w:r>
        <w:rPr>
          <w:rFonts w:ascii="Arial" w:cs="Arial" w:eastAsia="Arial" w:hAnsi="Arial"/>
          <w:sz w:val="18"/>
          <w:szCs w:val="18"/>
          <w:color w:val="auto"/>
        </w:rPr>
        <w:t>153.0 million, which eliminated the debt discount and reallocated deferred financing costs that were previously allocated to the equity component.</w:t>
      </w:r>
    </w:p>
    <w:p>
      <w:pPr>
        <w:spacing w:after="0" w:line="189"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changes noted above caused a decrease in the effective interest rate on the Convertible Notes from 8.2% to 2.8%, resulting in a cumulative-effect adjustment to retained earnings of $23.0 million related to Fiscal 2020 interest expense, as well as a $31.3 million reduction in interest expense for Fiscal 2021.</w:t>
      </w:r>
    </w:p>
    <w:p>
      <w:pPr>
        <w:spacing w:after="0" w:line="182"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As of the beginning of Fiscal 2021, the tax effect of adopting this guidance resulted in a $44.1 million increase in the line item “Additional paid-in-capital,” a $38.3 million reduction in the line item “Deferred tax liabilities” and a $5.9 million reduction to retained earnings.</w:t>
      </w:r>
    </w:p>
    <w:p>
      <w:pPr>
        <w:spacing w:after="0" w:line="14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new guidance also requires use of the if-converted method when calculating the dilutive impact of the Convertible Notes on earnings per share. The Company used the treasury stock method prior to adoption of the ASU. This ASU resulted in an increase in net income as a result of the reduction of interest expense, as well as an increase in diluted shares caused by the application of the if-converted method, resulting in an increase to diluted net income per share of $0.29 during Fiscal 2021.</w:t>
      </w:r>
    </w:p>
    <w:p>
      <w:pPr>
        <w:spacing w:after="0" w:line="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There were no other new accounting standards that had a material impact on the Company’s Consolidated Financial Statements and notes thereto during Fiscal 2021, and there were no other new accounting standards or pronouncements that were issued but not yet effective as of January 29, 2022 that the Company expects to have a material impact on its financial position or results of operations upon becoming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December 18, 2019, the FASB issued ASU 2019-12, "Simplifying the Accounting for Income Taxes." The purpose of this ASU is to reduce cost and complexity associated with the accounting for income taxes by removing specific exceptions to the general principles in Topic 740, Income Taxes, and by clarifying and amending certain aspects of income-tax-related guidance. The ASU also improves financial statement preparers’ application of income tax-related guidance and simplifies GAAP for franchise taxes that are partially based on income and enacted changes in tax laws in interim periods. This ASU became effective as of the beginning of Fiscal 2021. Adoption of this ASU did not have a significant impact on the Company’s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 and Cash Equivalents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At both January 29, 2022 and January 30, 2021, restricted cash and cash equivalents consisted of $6.6 million related to collateral for certain insurance contracts. The Company has the ability to convert the restricted cash to a letter of credit at any time, which would reduce available borrowings on the ABL Line of Credit by a like amount.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4. Property and Equipment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Useful Lives</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January 29,</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Land</w:t>
            </w:r>
          </w:p>
        </w:tc>
        <w:tc>
          <w:tcPr>
            <w:tcW w:w="12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148,144</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148,973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13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88"/>
              </w:rPr>
              <w:t>20 to 40 Years</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490,698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492,289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Store fixtures and equipment</w:t>
            </w:r>
          </w:p>
        </w:tc>
        <w:tc>
          <w:tcPr>
            <w:tcW w:w="1340" w:type="dxa"/>
            <w:vAlign w:val="bottom"/>
            <w:gridSpan w:val="2"/>
            <w:shd w:val="clear" w:color="auto" w:fill="CFF0FC"/>
          </w:tcPr>
          <w:p>
            <w:pPr>
              <w:jc w:val="center"/>
              <w:ind w:right="120"/>
              <w:spacing w:after="0" w:line="202" w:lineRule="exact"/>
              <w:rPr>
                <w:sz w:val="20"/>
                <w:szCs w:val="20"/>
                <w:color w:val="auto"/>
              </w:rPr>
            </w:pPr>
            <w:r>
              <w:rPr>
                <w:rFonts w:ascii="Arial" w:cs="Arial" w:eastAsia="Arial" w:hAnsi="Arial"/>
                <w:sz w:val="18"/>
                <w:szCs w:val="18"/>
                <w:color w:val="auto"/>
                <w:w w:val="87"/>
              </w:rPr>
              <w:t>3 to 15 Years</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1,300,997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3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7"/>
              </w:rPr>
              <w:t>3 to 10 Years</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307,077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278,786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center"/>
              <w:ind w:right="100"/>
              <w:spacing w:after="0" w:line="162" w:lineRule="exact"/>
              <w:rPr>
                <w:sz w:val="20"/>
                <w:szCs w:val="20"/>
                <w:color w:val="auto"/>
              </w:rPr>
            </w:pPr>
            <w:r>
              <w:rPr>
                <w:rFonts w:ascii="Arial" w:cs="Arial" w:eastAsia="Arial" w:hAnsi="Arial"/>
                <w:sz w:val="18"/>
                <w:szCs w:val="18"/>
                <w:color w:val="auto"/>
                <w:w w:val="91"/>
              </w:rPr>
              <w:t>Shorter of</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340" w:type="dxa"/>
            <w:vAlign w:val="bottom"/>
            <w:gridSpan w:val="2"/>
            <w:shd w:val="clear" w:color="auto" w:fill="CFF0FC"/>
          </w:tcPr>
          <w:p>
            <w:pPr>
              <w:jc w:val="center"/>
              <w:ind w:right="100"/>
              <w:spacing w:after="0" w:line="176" w:lineRule="exact"/>
              <w:rPr>
                <w:sz w:val="20"/>
                <w:szCs w:val="20"/>
                <w:color w:val="auto"/>
              </w:rPr>
            </w:pPr>
            <w:r>
              <w:rPr>
                <w:rFonts w:ascii="Arial" w:cs="Arial" w:eastAsia="Arial" w:hAnsi="Arial"/>
                <w:sz w:val="18"/>
                <w:szCs w:val="18"/>
                <w:color w:val="auto"/>
                <w:w w:val="87"/>
              </w:rPr>
              <w:t>lease term or</w:t>
            </w:r>
          </w:p>
        </w:tc>
        <w:tc>
          <w:tcPr>
            <w:tcW w:w="18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828,095</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772,825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4"/>
              </w:rPr>
              <w:t>useful life</w:t>
            </w:r>
          </w:p>
        </w:tc>
        <w:tc>
          <w:tcPr>
            <w:tcW w:w="18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13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128,673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at cost</w:t>
            </w: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3,203,684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2,937,518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(1,651,447 )</w:t>
            </w:r>
          </w:p>
        </w:tc>
        <w:tc>
          <w:tcPr>
            <w:tcW w:w="16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(1,498,655 )</w:t>
            </w:r>
          </w:p>
        </w:tc>
        <w:tc>
          <w:tcPr>
            <w:tcW w:w="0" w:type="dxa"/>
            <w:vAlign w:val="bottom"/>
          </w:tcPr>
          <w:p>
            <w:pPr>
              <w:spacing w:after="0"/>
              <w:rPr>
                <w:sz w:val="1"/>
                <w:szCs w:val="1"/>
                <w:color w:val="auto"/>
              </w:rPr>
            </w:pPr>
          </w:p>
        </w:tc>
      </w:tr>
      <w:tr>
        <w:trPr>
          <w:trHeight w:val="156"/>
        </w:trPr>
        <w:tc>
          <w:tcPr>
            <w:tcW w:w="48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Total property and equipment, net of accumulated</w:t>
            </w: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1,552,237</w:t>
            </w:r>
          </w:p>
        </w:tc>
        <w:tc>
          <w:tcPr>
            <w:tcW w:w="180" w:type="dxa"/>
            <w:vAlign w:val="bottom"/>
            <w:shd w:val="clear" w:color="auto" w:fill="CFF0FC"/>
          </w:tcPr>
          <w:p>
            <w:pPr>
              <w:spacing w:after="0"/>
              <w:rPr>
                <w:sz w:val="13"/>
                <w:szCs w:val="13"/>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1,438,863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ind w:left="140"/>
              <w:spacing w:after="0" w:line="156" w:lineRule="exact"/>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January 29, 2022 and January 30, 2021, assets, net of accumulated amortization of $13.3 million and $8.7 million, respectively, held under finance leases amounted to approximately $34.2 million and $38.9 million, respectively, and are included in the line item “Buildings” in the foregoing table. Amortization expense related to finance leases is included in the line item “Depreciation and amortization” in the Company’s Consolidated Statements of Income (Loss). The total amount of depreciation expense during Fiscal 2021, Fiscal 2020 and Fiscal 2019 was $218.1 million, $189.5 million and $178.2 million, respectively.</w:t>
      </w:r>
    </w:p>
    <w:p>
      <w:pPr>
        <w:spacing w:after="0" w:line="189"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Internally developed software is amortized on a straight line basis over three to ten years and is recorded in the line item “Depreciation and amortization” in the Company’s Consolidated Statements of Income (Loss). Amortization of internally developed software amounted to $18.9 million, $16.9 million and $17.9 million during Fiscal 2021, Fiscal 2020 and Fiscal 2019, respectively.</w:t>
      </w:r>
    </w:p>
    <w:p>
      <w:pPr>
        <w:spacing w:after="0" w:line="182"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Landlord-owned assets represent leasehold improvements at certain stores for which the Company has paid and derives a benefit, but the landlord has retained title. These assets are amortized over the lease term inclusive of reasonably assured renewal options. Amortization of landlord-owned assets was $12.2 million, $14.0 million and $14.6 million, during Fiscal 2021, Fiscal 2020 and Fiscal 2019, respectively, and was included in the line item “Depreciation and amortization” in the Company’s Consolidated Statements of Income (Loss).</w:t>
      </w:r>
    </w:p>
    <w:p>
      <w:pPr>
        <w:spacing w:after="0" w:line="17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During Fiscal 2021, Fiscal 2020 and Fiscal 2019, the Company recorded impairment charges related to property and equipment of $7.5 million, $4.6 million and $3.4 million, respectively. These charges are recorded in the line item “Impairment charges—long-lived assets” in the Company’s Consolidated Statements of Income (Loss). Refer to Note 6, “Impairment Charges,”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at January 29, 2022 and January 30, 2021 consist primarily of tradenames.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January 30, 2021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2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64"/>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20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Tradenames</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238,000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238,000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238,000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-504825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-487680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-504825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-487680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-504825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-487680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-504825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-487680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-504825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-487680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6. Impairment Charges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Impairment charges recorded during Fiscal 2021, Fiscal 2020 and Fiscal 2019 amounted to $7.7 million, $6.0 million and $4.3 million, respectively. Impairment charges are primarily related to declines in revenues and operating results of the respective stores. Impairment charges during these periods related to the following:</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1"/>
              </w:rPr>
              <w:t>Fiscal Years Ended</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Categories</w:t>
            </w:r>
          </w:p>
        </w:tc>
        <w:tc>
          <w:tcPr>
            <w:tcW w:w="160" w:type="dxa"/>
            <w:vAlign w:val="bottom"/>
          </w:tcPr>
          <w:p>
            <w:pPr>
              <w:spacing w:after="0"/>
              <w:rPr>
                <w:sz w:val="11"/>
                <w:szCs w:val="11"/>
                <w:color w:val="auto"/>
              </w:rPr>
            </w:pPr>
          </w:p>
        </w:tc>
        <w:tc>
          <w:tcPr>
            <w:tcW w:w="10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3"/>
              </w:rPr>
              <w:t>January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February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Store fixtures and equipment</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3,163</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2,811</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7,748</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6,012</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4,315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Company recorded impairment charges related to store-level assets for nine stores during Fiscal 2021, 14 stores during Fiscal 2020, and two stores, as well as the online store, during Fiscal 2019.</w:t>
      </w:r>
    </w:p>
    <w:p>
      <w:pPr>
        <w:spacing w:after="0" w:line="1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Long-lived assets are measured at fair value on a non-recurring basis for purposes of calculating impairment using the fair value hierarchy of ASC Topic No. 820 “Fair Value Measurements” (Topic No. 820). Refer to Note 15, “Fair Value of Financial Instruments,” for further discussion of the Company’s fair value hierarchy. The fair value of the Company’s long-lived assets is calculated using a discounted cash-flow model that used level 3 inputs. In calculating future cash flows, the Company makes estimates regarding future operating results and market rent rates, based on its experience and knowledge of market factors in which the retail location is located. During Fiscal 2021 and Fiscal 2020, the assets impaired had a remaining carrying value after impairments of $63.4 million and $30.5 million, respectively, primarily related to the right-of-use assets.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 Term Debt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 term debt consists of:</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580"/>
              <w:spacing w:after="0" w:line="160" w:lineRule="exact"/>
              <w:rPr>
                <w:sz w:val="20"/>
                <w:szCs w:val="20"/>
                <w:color w:val="auto"/>
              </w:rPr>
            </w:pPr>
            <w:r>
              <w:rPr>
                <w:rFonts w:ascii="Arial" w:cs="Arial" w:eastAsia="Arial" w:hAnsi="Arial"/>
                <w:sz w:val="14"/>
                <w:szCs w:val="14"/>
                <w:b w:val="1"/>
                <w:bCs w:val="1"/>
                <w:color w:val="auto"/>
              </w:rPr>
              <w:t>January 29,</w:t>
            </w:r>
          </w:p>
        </w:tc>
        <w:tc>
          <w:tcPr>
            <w:tcW w:w="320" w:type="dxa"/>
            <w:vAlign w:val="bottom"/>
          </w:tcPr>
          <w:p>
            <w:pPr>
              <w:spacing w:after="0"/>
              <w:rPr>
                <w:sz w:val="13"/>
                <w:szCs w:val="13"/>
                <w:color w:val="auto"/>
              </w:rPr>
            </w:pPr>
          </w:p>
        </w:tc>
        <w:tc>
          <w:tcPr>
            <w:tcW w:w="1100" w:type="dxa"/>
            <w:vAlign w:val="bottom"/>
          </w:tcPr>
          <w:p>
            <w:pPr>
              <w:jc w:val="right"/>
              <w:ind w:right="273"/>
              <w:spacing w:after="0" w:line="160"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8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8"/>
              </w:rPr>
              <w:t>Senior secured term loan facility (Term B-6 Loans), LIBOR (with a floor of</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950,676</w:t>
            </w:r>
          </w:p>
        </w:tc>
        <w:tc>
          <w:tcPr>
            <w:tcW w:w="22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0.00%) plus 2.00%, matures on June 24, 2028</w:t>
            </w:r>
          </w:p>
        </w:tc>
        <w:tc>
          <w:tcPr>
            <w:tcW w:w="220" w:type="dxa"/>
            <w:vAlign w:val="bottom"/>
            <w:vMerge w:val="continue"/>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line="162" w:lineRule="exact"/>
              <w:rPr>
                <w:sz w:val="20"/>
                <w:szCs w:val="20"/>
                <w:color w:val="auto"/>
              </w:rPr>
            </w:pPr>
            <w:r>
              <w:rPr>
                <w:rFonts w:ascii="Arial" w:cs="Arial" w:eastAsia="Arial" w:hAnsi="Arial"/>
                <w:sz w:val="18"/>
                <w:szCs w:val="18"/>
                <w:color w:val="auto"/>
                <w:w w:val="98"/>
              </w:rPr>
              <w:t>Senior secured term loan facility (Term B-5 Loans), LIBOR (with a floor of</w:t>
            </w:r>
          </w:p>
        </w:tc>
        <w:tc>
          <w:tcPr>
            <w:tcW w:w="220" w:type="dxa"/>
            <w:vAlign w:val="bottom"/>
          </w:tcPr>
          <w:p>
            <w:pPr>
              <w:spacing w:after="0"/>
              <w:rPr>
                <w:sz w:val="14"/>
                <w:szCs w:val="14"/>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958,418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0.00%) plus 1.75%, repaid in full on June 24, 2021</w:t>
            </w: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$805,000 convertible senior notes, 2.25%, matures on April 15, 2025</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572,322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Arial" w:cs="Arial" w:eastAsia="Arial" w:hAnsi="Arial"/>
                <w:sz w:val="18"/>
                <w:szCs w:val="18"/>
                <w:color w:val="auto"/>
                <w:w w:val="97"/>
              </w:rPr>
              <w:t>$300,000 senior secured notes, 6.25%, redeemed in full on June 11, 2021</w:t>
            </w:r>
          </w:p>
        </w:tc>
        <w:tc>
          <w:tcPr>
            <w:tcW w:w="2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4"/>
              </w:rPr>
              <w:t>$650,000 ABL senior secured revolving facility, LIBOR plus spread based on</w:t>
            </w:r>
          </w:p>
        </w:tc>
        <w:tc>
          <w:tcPr>
            <w:tcW w:w="22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average outstanding balance, matures on December 22, 2026</w:t>
            </w:r>
          </w:p>
        </w:tc>
        <w:tc>
          <w:tcPr>
            <w:tcW w:w="22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43,945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deferred financing costs</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(11,484 )</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(22,724 )</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1,555,459</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1,931,669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(14,357 )</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(3,899 )</w:t>
            </w:r>
          </w:p>
        </w:tc>
        <w:tc>
          <w:tcPr>
            <w:tcW w:w="0" w:type="dxa"/>
            <w:vAlign w:val="bottom"/>
          </w:tcPr>
          <w:p>
            <w:pPr>
              <w:spacing w:after="0"/>
              <w:rPr>
                <w:sz w:val="1"/>
                <w:szCs w:val="1"/>
                <w:color w:val="auto"/>
              </w:rPr>
            </w:pPr>
          </w:p>
        </w:tc>
      </w:tr>
      <w:tr>
        <w:trPr>
          <w:trHeight w:val="196"/>
        </w:trPr>
        <w:tc>
          <w:tcPr>
            <w:tcW w:w="58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Long term debt, net of current maturities</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1,541,102</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1,927,770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-424815</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-424815</wp:posOffset>
            </wp:positionV>
            <wp:extent cx="5969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On February 24, 2011, the Company entered into a senior secured term loan facility (the Term Loan Facility). The Term Loan Facility was issued pursuant to a credit agreement (Term Loan Credit Agreement), dated February 24, 2011, among Burlington Coat Factory Warehouse Corporation, an indirect subsidiary of the Company (BCFWC), the guarantors signatory thereto, and JPMorgan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4" w:name="page65"/>
    <w:bookmarkEnd w:id="64"/>
    <w:p>
      <w:pPr>
        <w:jc w:val="both"/>
        <w:ind w:right="460"/>
        <w:spacing w:after="0" w:line="270" w:lineRule="auto"/>
        <w:rPr>
          <w:sz w:val="20"/>
          <w:szCs w:val="20"/>
          <w:color w:val="auto"/>
        </w:rPr>
      </w:pPr>
      <w:r>
        <w:rPr>
          <w:rFonts w:ascii="Arial" w:cs="Arial" w:eastAsia="Arial" w:hAnsi="Arial"/>
          <w:sz w:val="17"/>
          <w:szCs w:val="17"/>
          <w:color w:val="auto"/>
        </w:rPr>
        <w:t>Chase Bank, N.A., as administrative agent and as collateral agent, the lenders party thereto, J.P. Morgan Securities LLC and Goldman Sachs Lending Partners LLC, as joint bookrunners, and J.P. Morgan Securities LLC, Goldman Sachs Lending Partners LLC, Merrill Lynch, Pierce, Fenner &amp; Smith Incorporated and Wells Fargo Securities, LLC, as joint arrangers, governing the terms of the Term Loan Facility.</w:t>
      </w:r>
    </w:p>
    <w:p>
      <w:pPr>
        <w:spacing w:after="0" w:line="164" w:lineRule="exact"/>
        <w:rPr>
          <w:sz w:val="20"/>
          <w:szCs w:val="20"/>
          <w:color w:val="auto"/>
        </w:rPr>
      </w:pPr>
    </w:p>
    <w:p>
      <w:pPr>
        <w:ind w:right="240" w:firstLine="584"/>
        <w:spacing w:after="0" w:line="274" w:lineRule="auto"/>
        <w:rPr>
          <w:sz w:val="20"/>
          <w:szCs w:val="20"/>
          <w:color w:val="auto"/>
        </w:rPr>
      </w:pPr>
      <w:r>
        <w:rPr>
          <w:rFonts w:ascii="Arial" w:cs="Arial" w:eastAsia="Arial" w:hAnsi="Arial"/>
          <w:sz w:val="16"/>
          <w:szCs w:val="16"/>
          <w:color w:val="auto"/>
        </w:rPr>
        <w:t>On February 26, 2020, the Company entered into Amendment No. 8 (the Eighth Amendment) to the Term Loan Credit Agreement governing its Term Loan Facility. The Eighth Amendment, among other things, reduced the interest rate margins applicable to the Term Loan Facility from 1.00% to</w:t>
      </w:r>
    </w:p>
    <w:p>
      <w:pPr>
        <w:spacing w:after="0" w:line="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0.75%, in the case of prime rate loans, and from 2.00% to 1.75%, in the case of LIBOR loans, with the LIBOR floor remaining at 0.00%. In connection with the execution of the Eighth Amendment, the Company incurred fees of $1.1 million, primarily related to legal and placement fees, which were recorded in the line item “Costs related to debt issuances and amendments” in the Company’s Consolidated Statement of Income (Loss). Additionally, the Company recognized a non-cash loss on the extinguishment of debt of $0.2 million, representing the write-off of unamortized deferred financing costs and original issue discount, which was recorded in the line item “Loss on extinguishment of debt” in the Company’s Consolidated Statement of Income (Loss).</w:t>
      </w:r>
    </w:p>
    <w:p>
      <w:pPr>
        <w:spacing w:after="0" w:line="1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On June 24, 2021, BCFWC entered into Amendment No. 9 (the Ninth Amendment) to the Term Loan Credit Agreement governing the Term Loan Facility. The Ninth Amendment, among other things, extended the maturity date from November 17, 2024 to June 24, 2028, and changed the interest rate margins applicable to the Term Loan Facility from 0.75% to 1.00%, in the case of prime rate loans, and from 1.75% to 2.00%, in the case of LIBOR loans, with a 0.00% LIBOR floor. This amendment also requires quarterly principal payments of $2.4 million. In connection with the execution of the Ninth Amendment, the Company incurred fees of $3.3 million, primarily related to legal and placement fees, which were recorded in the line item “Costs related to debt issuances and amendments” in the Company’s Consolidated Statement of Income (Loss). Additionally, the Company recognized a loss on the extinguishment of debt of $1.2 million, representing the write-off of unamortized deferred financing costs and original issue discount, which was recorded in the line item “Loss on extinguishment of debt” in the Company’s Consolidated Statement of Income (Loss).</w:t>
      </w:r>
    </w:p>
    <w:p>
      <w:pPr>
        <w:spacing w:after="0" w:line="16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Term Loan Facility is collateralized by a first lien on the Company's favorable leases, real estate and property &amp; equipment and a second lien on the Company's inventory and receivables. Interest rates for the Term Loan Facility are based on: (i) for LIBOR rate loans for any interest period, at a rate per annum equal to the greater of (x) the LIBOR rate, as determined by the Term Loan Facility Administrative Agent, for such interest period multiplied by the Statutory Reserve Rate (as defined in the Term Loan Credit Agreement), and (y) 0.00% (the Term Loan Adjusted LIBOR Rate), plus an applicable margin; and (ii) for prime rate loans, a rate per annum equal to the highest of (a) the variable annual rate of interest then announced by JPMorgan Chase Bank, N.A. at its head office as its “prime rate,” (b) the federal reserve bank of New York rate in effect on such date plus 0.50% per annum, and (c) the Term Loan Adjusted LIBOR Rate for the applicable class of term loans for one-month plus 1.00%, plus, in each case, an applicable margin. As of January 29, 2022, the Company’s borrowing rate related to the Term Loan Facility was 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12"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On April 16, 2020, the Company issued $805.0 million of Convertible Notes. The Convertible Notes are general unsecured obligations of the Company. The Convertible Notes bear interest at a rate of 2.25% per year, payable semi-annually in cash, in arrears, on April 15 and October 15 of each year, beginning on October 15, 2020. The Convertible Notes will mature on April 15, 2025, unless earlier converted, redeemed or repurchased.</w:t>
      </w:r>
    </w:p>
    <w:p>
      <w:pPr>
        <w:spacing w:after="0" w:line="14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During the third quarter of Fiscal 2021, the Company entered into separate, privately negotiated exchange agreements with certain holders of the Convertible Notes. Under the terms of the exchange agreements, the holders exchanged $160.4 million in aggregate principal amount of Convertible Notes held by them for a combination of an aggregate of $90.8 million in cash and 513,991 shares of the Company's common stock. During the fourth quarter of Fiscal 2021, the Company entered into separate, privately negotiated exchange agreements with certain holders of the Convertible Notes. Under the terms of these exchange agreements, the holders exchanged $72.3 million in aggregate principal amount of Convertible Notes held by them for $109.0 million in cash. These exchanges resulted in aggregate pre-tax debt extinguishment charges of $124.6 million in Fiscal 2021.</w:t>
      </w:r>
    </w:p>
    <w:p>
      <w:pPr>
        <w:spacing w:after="0" w:line="16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Subsequent to January 29, 2022 (March 15, 2022), the Company entered into separate, privately negotiated exchange agreements with certain holders of the Convertible Notes. Under the terms of the exchange agreements, the holders have agreed to exchange $55.6 million in aggregate principal amount of Convertible Notes held by them for an amount in cash to be calculated based on the volume-weighted average price of the Company’s common stock over a two-day measurement period beginning on March 16, 2022. These exchange transactions are expected to close on March 21, 2022, subject to the satisfaction of customary closing conditions.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Prior to the close of business on the business day immediately preceding January 15, 2025, the Convertible Notes will be convertible at the option of the holders only upon the occurrence of certain events and during certain periods. Thereafter,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5" w:name="page66"/>
    <w:bookmarkEnd w:id="65"/>
    <w:p>
      <w:pPr>
        <w:spacing w:after="0" w:line="252" w:lineRule="auto"/>
        <w:rPr>
          <w:sz w:val="20"/>
          <w:szCs w:val="20"/>
          <w:color w:val="auto"/>
        </w:rPr>
      </w:pPr>
      <w:r>
        <w:rPr>
          <w:rFonts w:ascii="Arial" w:cs="Arial" w:eastAsia="Arial" w:hAnsi="Arial"/>
          <w:sz w:val="17"/>
          <w:szCs w:val="17"/>
          <w:color w:val="auto"/>
        </w:rPr>
        <w:t>Convertible Notes will be convertible at the option of the holders at any time until the close of business on the second scheduled trading day immediately preceding the maturity date. The Convertible Notes have an initial conversion rate of 4.5418 shares per $1,000 principal amount of Convertible Notes (equivalent to an initial conversion price of approximately $220.18 per share of the Company’s common stock), subject to adjustment if certain events occur. The initial conversion price represents a conversion premium of approximately 32.50% over $166.17 per share, the last reported sale price of the Company’s common stock on April 13, 2020 (the pricing date of the offering) on the New York Stock Exchange. During the first quarter of Fiscal 2021, the Company made an irrevocable settlement election for any conversions of the Convertible Notes. Upon conversion, the Company will pay cash for the principal amount. For any excess above principal, the Company will deliver shares of its common stock. The Company may not redeem the Convertible Notes prior to April 15, 2023. On or after April 15, 2023, the Company will be able to redeem for cash all or any portion of the Convertible Notes, at its option, if the last reported sale price of the Company’s common stock is equal to or greater than 130% of the conversion price for a specified period of time, at a redemption price equal to 100% of the principal aggregate amount of the Convertible Notes to be redeemed, plus accrued and unpaid interest, if any, to, but excluding, the redemption date.</w:t>
      </w:r>
    </w:p>
    <w:p>
      <w:pPr>
        <w:spacing w:after="0" w:line="186"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Holders of the Convertible Notes may require the Company to repurchase their Convertible Notes upon the occurrence of certain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 or during the relevant redemption period for such Convertible Notes.</w:t>
      </w:r>
    </w:p>
    <w:p>
      <w:pPr>
        <w:spacing w:after="0" w:line="174"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The Convertible Notes contain a cash conversion feature, and as a result, the Company initially separated it into liability and equity components. The Company valued the liability component based on its borrowing rate for a similar debt instrument that does not contain a conversion feature. The equity component, which was recognized as a debt discount, was valued as the difference between the face value of the Convertible Notes and the fair value of the liability component. As a result of adopting ASU 2020-06, the Company is no longer separating the Convertible Notes into debt and equity components, and is instead accounting for it wholly as debt.</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Convertible Notes issuance, the Company incurred deferred financing costs of $21.0 million, primarily related to fees paid to the bookrunners of the offering, as well as legal, accounting and rating agency fees. These costs were initially allocated on a pro rata basis, with $16.4 million allocated to the debt component and $4.6 million allocated to the equity component. As a result of adopting ASU 2020-06, all unamortized deferred financing costs related to the Convertible Notes are now allocated to debt.</w:t>
      </w:r>
    </w:p>
    <w:p>
      <w:pPr>
        <w:spacing w:after="0" w:line="188" w:lineRule="exact"/>
        <w:rPr>
          <w:sz w:val="20"/>
          <w:szCs w:val="20"/>
          <w:color w:val="auto"/>
        </w:rPr>
      </w:pPr>
    </w:p>
    <w:p>
      <w:pPr>
        <w:ind w:right="320" w:firstLine="509"/>
        <w:spacing w:after="0" w:line="291" w:lineRule="auto"/>
        <w:rPr>
          <w:sz w:val="20"/>
          <w:szCs w:val="20"/>
          <w:color w:val="auto"/>
        </w:rPr>
      </w:pPr>
      <w:r>
        <w:rPr>
          <w:rFonts w:ascii="Arial" w:cs="Arial" w:eastAsia="Arial" w:hAnsi="Arial"/>
          <w:sz w:val="17"/>
          <w:szCs w:val="17"/>
          <w:color w:val="auto"/>
        </w:rPr>
        <w:t>Prior to adoption of ASU 2020-06, the debt discount and the debt portion of the deferred costs were being amortized to interest expense over the term of the Convertible Notes at an effective interest rate of 8.2%. The effective interest rate after adoption of ASU 2020-06 is 2.8%.</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Convertible Notes consist of the following components as of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5"/>
        </w:trPr>
        <w:tc>
          <w:tcPr>
            <w:tcW w:w="1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30,</w:t>
            </w:r>
          </w:p>
        </w:tc>
        <w:tc>
          <w:tcPr>
            <w:tcW w:w="1120" w:type="dxa"/>
            <w:vAlign w:val="bottom"/>
          </w:tcPr>
          <w:p>
            <w:pPr>
              <w:spacing w:after="0"/>
              <w:rPr>
                <w:sz w:val="19"/>
                <w:szCs w:val="19"/>
                <w:color w:val="auto"/>
              </w:rPr>
            </w:pPr>
          </w:p>
        </w:tc>
      </w:tr>
      <w:tr>
        <w:trPr>
          <w:trHeight w:val="214"/>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Liability component:</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Principal</w:t>
            </w:r>
          </w:p>
        </w:tc>
        <w:tc>
          <w:tcPr>
            <w:tcW w:w="19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572,322</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805,000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discount</w:t>
            </w:r>
          </w:p>
        </w:tc>
        <w:tc>
          <w:tcPr>
            <w:tcW w:w="1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(156,689 )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Unamortized deferred debt costs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(9,761 )</w:t>
            </w:r>
          </w:p>
        </w:tc>
        <w:tc>
          <w:tcPr>
            <w:tcW w:w="38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(14,191 )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carrying amount</w:t>
            </w:r>
          </w:p>
        </w:tc>
        <w:tc>
          <w:tcPr>
            <w:tcW w:w="16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562,561</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634,120</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72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1140" w:type="dxa"/>
            <w:vAlign w:val="bottom"/>
          </w:tcPr>
          <w:p>
            <w:pPr>
              <w:spacing w:after="0"/>
              <w:rPr>
                <w:sz w:val="17"/>
                <w:szCs w:val="17"/>
                <w:color w:val="auto"/>
              </w:rPr>
            </w:pPr>
          </w:p>
        </w:tc>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component, net</w:t>
            </w:r>
          </w:p>
        </w:tc>
        <w:tc>
          <w:tcPr>
            <w:tcW w:w="19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131,916</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635"/>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-753745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-736600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-753745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Interest expense related to the Convertible Notes consists of the following as of the periods indicated:</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6"/>
              </w:rPr>
              <w:t>Fiscal Year Ended</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January 29, 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January 30, 2021</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February 1, 2020</w:t>
            </w:r>
          </w:p>
        </w:tc>
        <w:tc>
          <w:tcPr>
            <w:tcW w:w="60" w:type="dxa"/>
            <w:vAlign w:val="bottom"/>
          </w:tcPr>
          <w:p>
            <w:pPr>
              <w:spacing w:after="0"/>
              <w:rPr>
                <w:sz w:val="18"/>
                <w:szCs w:val="18"/>
                <w:color w:val="auto"/>
              </w:rPr>
            </w:pPr>
          </w:p>
        </w:tc>
      </w:tr>
      <w:tr>
        <w:trPr>
          <w:trHeight w:val="196"/>
        </w:trPr>
        <w:tc>
          <w:tcPr>
            <w:tcW w:w="3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Coupon interest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16,313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14,375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ind w:left="12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3"/>
        </w:trPr>
        <w:tc>
          <w:tcPr>
            <w:tcW w:w="3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Amortization of deferred debt costs</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3,742</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ind w:left="12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Convertible Notes interest expense</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20,055</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40,536</w:t>
            </w:r>
          </w:p>
        </w:tc>
        <w:tc>
          <w:tcPr>
            <w:tcW w:w="34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ind w:left="12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-159385</wp:posOffset>
            </wp:positionV>
            <wp:extent cx="431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-159385</wp:posOffset>
            </wp:positionV>
            <wp:extent cx="342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21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On April 16, 2020, BCFWC issued $300.0 million of 6.25% Senior Secured Notes due 2025 (Secured Notes). The Secured Notes were senior, secured obligations of BCFWC, and interest was payable semiannually in cash, in arrears, at a rate of 6.25% per annum on April 15 and October 15 of each year, beginning on October 15, 2020. The Secured Notes were guaranteed on a senior secured basis by Burlington Coat Factory Holdings, LLC, Burlington Coat Factory Investments Holdings, Inc. and BCFWC’s subsidiaries that guarantee the loans under the Term Loan Facility.</w:t>
      </w:r>
    </w:p>
    <w:p>
      <w:pPr>
        <w:spacing w:after="0" w:line="17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connection with the Secured Notes issuance, the Company incurred deferred financing costs of $7.9 million, primarily related to fees paid to the bookrunners of the offering, as well as legal fees. These costs are being amortized to interest expense over the term of the Secured Notes. The Company incurred additional costs of $2.5 million, primarily related to legal fees, which are recorded in the line item, “Costs related to debt issuances and amendments” in the Company’s Consolidated Statement of Income (Loss).</w:t>
      </w:r>
    </w:p>
    <w:p>
      <w:pPr>
        <w:spacing w:after="0" w:line="18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On June 11, 2021, BCFWC redeemed the full $300.0 million aggregate principal amount of the Secured Notes. The redemption price of the Secured Notes was $323.7 million, plus accrued and unpaid interest to, but not including, the date of redemption. This redemption resulted in a pre-tax debt extinguishment charge of $30.2 million in the three month period ended July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12"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The aggregate amount of commitments under the Second Amended and Restated Credit Agreement (as amended, supplemented and otherwise modified, the Amended ABL Credit Agreement) is $650.0 million (subject to a borrowing base limitation) and, subject to the satisfaction of certain conditions, the Company can increase the aggregate amount of commitments up to $950.0 million. The interest rate margin applicable under the Amended ABL Credit Agreement in the case of loans drawn at LIBOR is 1.125% - 1.375% (based on total commitments or borrowing base availability), and the fee on the average daily balance of unused loan commitments is 0.20%. The ABL Line of Credit is collateralized by a first priority lien on the Company’s and each guarantor's inventory, receivables, bank accounts, and certain related assets and proceeds thereof (subject to certain exceptions), and a second priority lien on the Company's and each guarantor's other assets and proceeds thereof, including certain owned real estate (subject to certain exceptions).</w:t>
      </w:r>
    </w:p>
    <w:p>
      <w:pPr>
        <w:spacing w:after="0" w:line="1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 believes that the Amended ABL Credit Agreement provides the liquidity and flexibility to meet its operating and capital requirements over the remaining term of the ABL Line of Credit. Further, the calculation of the borrowing base under the Amended ABL Credit Agreement allows for increased availability with respect to inventory during the period from August 1st through November 30th of each year.</w:t>
      </w:r>
    </w:p>
    <w:p>
      <w:pPr>
        <w:spacing w:after="0" w:line="16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March 17, 2020, the Company borrowed $400.0 million under the ABL Line of Credit as a precautionary measure in order to increase the Company’s cash position and facilitate financial flexibility in light of the uncertainty resulting from COVID-19. The Company repaid $150.0 million of this amount during the second quarter of Fiscal 2020, and the remaining $250.0 million during the fourth quarter of Fiscal 2020.</w:t>
      </w:r>
    </w:p>
    <w:p>
      <w:pPr>
        <w:spacing w:after="0" w:line="16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On December 22, 2021, the Company finalized an extension of its current ABL line of credit. This extension increased the aggregate principal amount of the commitments from $600 million to $650 million, extended the maturity date to December 22, 2026, and reduced the interest rate margins applicable to the Company’s ABL facility.</w:t>
      </w:r>
    </w:p>
    <w:p>
      <w:pPr>
        <w:spacing w:after="0" w:line="20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At January 29, 2022, the Company had $594.6 million available under the ABL Line of Credit. The Company did not have any borrowings during Fiscal 2021.</w:t>
      </w:r>
    </w:p>
    <w:p>
      <w:pPr>
        <w:spacing w:after="0" w:line="157"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At January 30, 2021, the Company had $476.8 million available under the ABL Line of Credit. The maximum borrowings under the facility during Fiscal 2020 amounted to $400.0 million. Average borrowings during Fiscal 2020 amounted to $256.6 million at an average interest rate of 1.9%.</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Deferred Financing Costs</w:t>
      </w:r>
    </w:p>
    <w:p>
      <w:pPr>
        <w:spacing w:after="0" w:line="104" w:lineRule="exact"/>
        <w:rPr>
          <w:sz w:val="20"/>
          <w:szCs w:val="20"/>
          <w:color w:val="auto"/>
        </w:rPr>
      </w:pPr>
    </w:p>
    <w:p>
      <w:pPr>
        <w:jc w:val="both"/>
        <w:ind w:right="260" w:firstLine="509"/>
        <w:spacing w:after="0" w:line="284" w:lineRule="auto"/>
        <w:rPr>
          <w:sz w:val="20"/>
          <w:szCs w:val="20"/>
          <w:color w:val="auto"/>
        </w:rPr>
      </w:pPr>
      <w:r>
        <w:rPr>
          <w:rFonts w:ascii="Arial" w:cs="Arial" w:eastAsia="Arial" w:hAnsi="Arial"/>
          <w:sz w:val="16"/>
          <w:szCs w:val="16"/>
          <w:color w:val="auto"/>
        </w:rPr>
        <w:t xml:space="preserve">The Company had $2.8 </w:t>
      </w:r>
      <w:r>
        <w:rPr>
          <w:rFonts w:ascii="Arial" w:cs="Arial" w:eastAsia="Arial" w:hAnsi="Arial"/>
          <w:sz w:val="15"/>
          <w:szCs w:val="15"/>
          <w:color w:val="auto"/>
        </w:rPr>
        <w:t>million and</w:t>
      </w:r>
      <w:r>
        <w:rPr>
          <w:rFonts w:ascii="Arial" w:cs="Arial" w:eastAsia="Arial" w:hAnsi="Arial"/>
          <w:sz w:val="16"/>
          <w:szCs w:val="16"/>
          <w:color w:val="auto"/>
        </w:rPr>
        <w:t xml:space="preserve"> $1.8 million in deferred financing costs associated with its ABL Line of Credit, which are recorded in the line item “Other assets” in the Company’s Consolidated Balance Sheets as of January 29, 2022 and January 30, 2021, respectively. In addition, the Company had $11.5 </w:t>
      </w:r>
      <w:r>
        <w:rPr>
          <w:rFonts w:ascii="Arial" w:cs="Arial" w:eastAsia="Arial" w:hAnsi="Arial"/>
          <w:sz w:val="15"/>
          <w:szCs w:val="15"/>
          <w:color w:val="auto"/>
        </w:rPr>
        <w:t>million and $22.7</w:t>
      </w:r>
      <w:r>
        <w:rPr>
          <w:rFonts w:ascii="Arial" w:cs="Arial" w:eastAsia="Arial" w:hAnsi="Arial"/>
          <w:sz w:val="16"/>
          <w:szCs w:val="16"/>
          <w:color w:val="auto"/>
        </w:rPr>
        <w:t xml:space="preserve"> million of deferred financing costs associated with its Term Loan Facility, Convertible Notes and Secured Notes, recorded in the line item “Long term debt” in the Company’s Consolidated Balance Sheets as of January 29, 2022 and January 30, 2021, respectively.</w:t>
      </w:r>
    </w:p>
    <w:p>
      <w:pPr>
        <w:spacing w:after="0" w:line="47"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 xml:space="preserve">Amortization of deferred financing costs amounted to $5.3 </w:t>
      </w:r>
      <w:r>
        <w:rPr>
          <w:rFonts w:ascii="Arial" w:cs="Arial" w:eastAsia="Arial" w:hAnsi="Arial"/>
          <w:sz w:val="16"/>
          <w:szCs w:val="16"/>
          <w:color w:val="auto"/>
        </w:rPr>
        <w:t>million,</w:t>
      </w:r>
      <w:r>
        <w:rPr>
          <w:rFonts w:ascii="Arial" w:cs="Arial" w:eastAsia="Arial" w:hAnsi="Arial"/>
          <w:sz w:val="17"/>
          <w:szCs w:val="17"/>
          <w:color w:val="auto"/>
        </w:rPr>
        <w:t xml:space="preserve"> $4.5 million and $1.2 million during Fiscal 2021, Fiscal 2020 and Fiscal 2019, respectively, which was included in the line item “Interest expense” in the Company’s Consolidated Statements of Income (Loss).</w:t>
      </w:r>
    </w:p>
    <w:p>
      <w:pPr>
        <w:spacing w:after="0" w:line="14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Amortization expense related to the deferred financing costs as of January 29, 2022 for each of the next five fiscal years and thereafter is estimated to be as follows:</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i w:val="1"/>
                <w:iCs w:val="1"/>
                <w:color w:val="auto"/>
                <w:w w:val="93"/>
              </w:rPr>
              <w:t>(in thousands)</w:t>
            </w:r>
          </w:p>
        </w:tc>
        <w:tc>
          <w:tcPr>
            <w:tcW w:w="60" w:type="dxa"/>
            <w:vAlign w:val="bottom"/>
          </w:tcPr>
          <w:p>
            <w:pPr>
              <w:spacing w:after="0"/>
              <w:rPr>
                <w:sz w:val="16"/>
                <w:szCs w:val="16"/>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3,784</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3,938</w:t>
            </w:r>
          </w:p>
        </w:tc>
        <w:tc>
          <w:tcPr>
            <w:tcW w:w="6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3,935</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6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w:t>
            </w:r>
          </w:p>
        </w:tc>
        <w:tc>
          <w:tcPr>
            <w:tcW w:w="60" w:type="dxa"/>
            <w:vAlign w:val="bottom"/>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14,245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financing costs have a weighted average amortization period of approximately 3.9 years.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Scheduled maturities of the Company’s long term debt obligations, as they exist as of January 29, 2022, in each of the next five fiscal years and thereafter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7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69"/>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Fiscal Years:</w:t>
            </w:r>
          </w:p>
        </w:tc>
        <w:tc>
          <w:tcPr>
            <w:tcW w:w="2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 Debt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581,936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908,537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1,528,929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Less: unamortized discount</w:t>
            </w:r>
          </w:p>
        </w:tc>
        <w:tc>
          <w:tcPr>
            <w:tcW w:w="24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(5,931 )</w:t>
            </w: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unamortized deferred financing costs</w:t>
            </w:r>
          </w:p>
        </w:tc>
        <w:tc>
          <w:tcPr>
            <w:tcW w:w="2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(11,484 )</w:t>
            </w: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line="202" w:lineRule="exact"/>
              <w:rPr>
                <w:sz w:val="20"/>
                <w:szCs w:val="20"/>
                <w:color w:val="auto"/>
              </w:rPr>
            </w:pPr>
            <w:r>
              <w:rPr>
                <w:rFonts w:ascii="Arial" w:cs="Arial" w:eastAsia="Arial" w:hAnsi="Arial"/>
                <w:sz w:val="18"/>
                <w:szCs w:val="18"/>
                <w:color w:val="auto"/>
              </w:rPr>
              <w:t>Finance lease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1,555,459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08"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The Company accounts for derivatives and hedging activities in accordance with ASC Topic No. 815 “Derivatives and Hedging” (Topic No. 815). Topic No. 815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gains and losses on derivative instruments, and disclosures about credit-risk-related contingent features in derivative instruments.</w:t>
      </w:r>
    </w:p>
    <w:p>
      <w:pPr>
        <w:spacing w:after="0" w:line="16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required by Topic No. 815, the Company records all derivatives on the balance sheet at fair value and adjusts them to market on a quarterly basis. The accounting for changes in the fair value of derivatives depends on the intended use of the derivative, whether the Company has elected to designate a derivative in a hedging relationship and apply hedge accounting, and whether the hedging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8" w:name="page69"/>
    <w:bookmarkEnd w:id="68"/>
    <w:p>
      <w:pPr>
        <w:spacing w:after="0" w:line="241" w:lineRule="auto"/>
        <w:rPr>
          <w:sz w:val="20"/>
          <w:szCs w:val="20"/>
          <w:color w:val="auto"/>
        </w:rPr>
      </w:pPr>
      <w:r>
        <w:rPr>
          <w:rFonts w:ascii="Arial" w:cs="Arial" w:eastAsia="Arial" w:hAnsi="Arial"/>
          <w:sz w:val="18"/>
          <w:szCs w:val="18"/>
          <w:color w:val="auto"/>
        </w:rPr>
        <w:t>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8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6"/>
          <w:szCs w:val="16"/>
          <w:color w:val="auto"/>
        </w:rPr>
        <w:t>The Company has used interest rate cap contracts and interest rate swap contracts to add stability to interest expense and to manage its exposure to interest rate movements. The fair value of these contracts are determined using the market standard methodology of discounted future variable cash flows. The variable cash flows of the interest rate cap contracts are determined using the market standard methodology of discounting the future expected cash receipts that would occur if variable interest rates rise above the strike rate of the caps in conjunction with the cash payments related to financing the premium of the interest rate caps. The variable cash flows of the interest rate swap contract are determined using the market standard methodology of discounting the future expected cash receipts that would occur if variable interest rates rise or fall compared to current levels in conjunction with the fixed cash payments. The variable interest rates used in the calculation of projected receipts on the cap and swap contracts are based on an expectation of future interest rates derived from observable market interest rate curves and volatilities. In addition, to comply with the provisions of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spacing w:after="0" w:line="167"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and interest rate swap contracts that are with separate counterparties and are under separate master netting agreements.</w:t>
      </w:r>
    </w:p>
    <w:p>
      <w:pPr>
        <w:spacing w:after="0" w:line="14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January 29, 2022 and January 30, 2021, the Company has assessed the significance of the impact of the credit valuation adjustments on the overall valuation of its derivative positions and has determined that the credit valuation adjustment is not significant to the overall valuation of its derivative portfolios. As a result, the Company classifies its derivative valuations in Level 2 of the fair value hierarchy.</w:t>
      </w:r>
    </w:p>
    <w:p>
      <w:pPr>
        <w:spacing w:after="0" w:line="18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 uses derivative financial instruments to manage differences in the amount, timing, and duration of the Company’s known or expected cash payments principally related to the Company’s borrowings.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212"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On April 24, 2015, the Company entered into two interest rate cap contracts, which expired in May of 2019. On December 17, 2018, the Company entered into an interest rate swap contract, which hedged $450 million of the variable rate exposure under the Term Loan Facility at a rate of 2.72%. On June 24, 2021, the Company terminated this previous interest rate swap, and entered into a new interest rate swap, which hedges $450 million of the variable rate exposure on the Term Loan Facility at a blended rate of 2.19%,. All of these derivative contracts were designated as cash flow hedges.</w:t>
      </w:r>
    </w:p>
    <w:p>
      <w:pPr>
        <w:spacing w:after="0" w:line="47"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amount of loss deferred for the previous interest rate swap was $26.9 million. The Company is amortizing this amount from accumulated other comprehensive loss into interest expense over the original life of the previous interest rate swap, which had an original maturity date of December 29, 2023. The new interest rate swap had a liability fair value at inception of $26.9 million. The Company will accrete this amount into accumulated other comprehensive loss as a benefit to interest expense over the life of the new interest rate swap, which has a maturity date of June 24, 2028.</w:t>
      </w:r>
    </w:p>
    <w:p>
      <w:pPr>
        <w:spacing w:after="0" w:line="1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During Fiscal 2021, the Company’s derivatives were used to hedge the variable cash flows associated with existing variable-rate debt. The effective portion of changes in the fair value of derivatives designated and that qualify as cash flow hedges are recorded in the line item “Accumulated other comprehensive loss” on the Company’s Consolidated Balance Sheets and are subsequently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9" w:name="page70"/>
    <w:bookmarkEnd w:id="69"/>
    <w:p>
      <w:pPr>
        <w:ind w:right="20"/>
        <w:spacing w:after="0" w:line="294" w:lineRule="auto"/>
        <w:rPr>
          <w:sz w:val="20"/>
          <w:szCs w:val="20"/>
          <w:color w:val="auto"/>
        </w:rPr>
      </w:pPr>
      <w:r>
        <w:rPr>
          <w:rFonts w:ascii="Arial" w:cs="Arial" w:eastAsia="Arial" w:hAnsi="Arial"/>
          <w:sz w:val="16"/>
          <w:szCs w:val="16"/>
          <w:color w:val="auto"/>
        </w:rPr>
        <w:t>reclassified into earnings in the period that the hedged forecasted transaction affects earnings. Amounts reported in accumulated other comprehensive loss related to the Company’s derivative contracts will be reclassified to interest expense as interest payments are made on the Company’s variable-rate debt. As of January 29, 2022, the Company estimates that $6.7 million will be reclassified into interest expense during the next twelve months.</w:t>
      </w:r>
    </w:p>
    <w:p>
      <w:pPr>
        <w:spacing w:after="0" w:line="14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As of January 29, 2022, the Company had the following outstanding interest rate derivatives that were designated as cash flow hedges of interest rate risk: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Derivative</w:t>
            </w:r>
          </w:p>
        </w:tc>
        <w:tc>
          <w:tcPr>
            <w:tcW w:w="1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Notional Aggregate</w:t>
            </w:r>
          </w:p>
        </w:tc>
        <w:tc>
          <w:tcPr>
            <w:tcW w:w="1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Swap Rate</w:t>
            </w:r>
          </w:p>
        </w:tc>
        <w:tc>
          <w:tcPr>
            <w:tcW w:w="16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rate swap contract</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One</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5"/>
              </w:rPr>
              <w:t>$450.0 million</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559"/>
              <w:spacing w:after="0" w:line="196" w:lineRule="exact"/>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June 24, 2028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Tabular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tables below present the fair value of the Company’s derivative financial instruments on a gross basis, as well as their classification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i w:val="1"/>
                <w:iCs w:val="1"/>
                <w:color w:val="auto"/>
                <w:w w:val="89"/>
              </w:rPr>
              <w:t>(in thousands)</w:t>
            </w:r>
          </w:p>
        </w:tc>
        <w:tc>
          <w:tcPr>
            <w:tcW w:w="1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center"/>
              <w:ind w:right="964"/>
              <w:spacing w:after="0"/>
              <w:rPr>
                <w:sz w:val="20"/>
                <w:szCs w:val="20"/>
                <w:color w:val="auto"/>
              </w:rPr>
            </w:pPr>
            <w:r>
              <w:rPr>
                <w:rFonts w:ascii="Arial" w:cs="Arial" w:eastAsia="Arial" w:hAnsi="Arial"/>
                <w:sz w:val="14"/>
                <w:szCs w:val="14"/>
                <w:b w:val="1"/>
                <w:bCs w:val="1"/>
                <w:color w:val="auto"/>
                <w:w w:val="94"/>
              </w:rPr>
              <w:t>Fair Values of Derivative Instruments</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2"/>
              </w:rPr>
              <w:t>January 29, 2022</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January 30, 2021</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1"/>
                <w:szCs w:val="11"/>
                <w:color w:val="auto"/>
              </w:rPr>
            </w:pPr>
          </w:p>
        </w:tc>
        <w:tc>
          <w:tcPr>
            <w:tcW w:w="172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rPr>
              <w:t>Fair</w:t>
            </w:r>
          </w:p>
        </w:tc>
        <w:tc>
          <w:tcPr>
            <w:tcW w:w="1720" w:type="dxa"/>
            <w:vAlign w:val="bottom"/>
          </w:tcPr>
          <w:p>
            <w:pPr>
              <w:jc w:val="center"/>
              <w:ind w:right="344"/>
              <w:spacing w:after="0" w:line="133" w:lineRule="exact"/>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vMerge w:val="restart"/>
          </w:tcPr>
          <w:p>
            <w:pPr>
              <w:spacing w:after="0"/>
              <w:rPr>
                <w:sz w:val="12"/>
                <w:szCs w:val="12"/>
                <w:color w:val="auto"/>
              </w:rPr>
            </w:pPr>
          </w:p>
        </w:tc>
        <w:tc>
          <w:tcPr>
            <w:tcW w:w="2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20" w:type="dxa"/>
            <w:vAlign w:val="bottom"/>
          </w:tcPr>
          <w:p>
            <w:pPr>
              <w:jc w:val="center"/>
              <w:ind w:right="344"/>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Interest rate swap contracts</w:t>
            </w:r>
          </w:p>
        </w:tc>
        <w:tc>
          <w:tcPr>
            <w:tcW w:w="2140" w:type="dxa"/>
            <w:vAlign w:val="bottom"/>
            <w:tcBorders>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6"/>
              </w:rPr>
              <w:t>Other liabilities</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10,968</w:t>
            </w: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center"/>
              <w:ind w:right="344"/>
              <w:spacing w:after="0" w:line="182" w:lineRule="exact"/>
              <w:rPr>
                <w:sz w:val="20"/>
                <w:szCs w:val="20"/>
                <w:color w:val="auto"/>
              </w:rPr>
            </w:pPr>
            <w:r>
              <w:rPr>
                <w:rFonts w:ascii="Arial" w:cs="Arial" w:eastAsia="Arial" w:hAnsi="Arial"/>
                <w:sz w:val="18"/>
                <w:szCs w:val="18"/>
                <w:color w:val="auto"/>
                <w:w w:val="96"/>
              </w:rPr>
              <w:t>Other liabilities</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31,665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following table presents the unrealized losses deferred to accumulated other comprehensive loss resulting from the Company’s derivative instruments designated as cash flow hedging instruments for each of the reporting periods.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Interest Rate Derivatives:</w:t>
            </w:r>
          </w:p>
        </w:tc>
        <w:tc>
          <w:tcPr>
            <w:tcW w:w="14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January 29, 2022</w:t>
            </w:r>
          </w:p>
        </w:tc>
        <w:tc>
          <w:tcPr>
            <w:tcW w:w="120" w:type="dxa"/>
            <w:vAlign w:val="bottom"/>
          </w:tcPr>
          <w:p>
            <w:pPr>
              <w:spacing w:after="0"/>
              <w:rPr>
                <w:sz w:val="14"/>
                <w:szCs w:val="14"/>
                <w:color w:val="auto"/>
              </w:rPr>
            </w:pPr>
          </w:p>
        </w:tc>
        <w:tc>
          <w:tcPr>
            <w:tcW w:w="15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4"/>
              </w:rPr>
              <w:t>January 30, 2021</w:t>
            </w:r>
          </w:p>
        </w:tc>
        <w:tc>
          <w:tcPr>
            <w:tcW w:w="160" w:type="dxa"/>
            <w:vAlign w:val="bottom"/>
          </w:tcPr>
          <w:p>
            <w:pPr>
              <w:spacing w:after="0"/>
              <w:rPr>
                <w:sz w:val="14"/>
                <w:szCs w:val="14"/>
                <w:color w:val="auto"/>
              </w:rPr>
            </w:pPr>
          </w:p>
        </w:tc>
        <w:tc>
          <w:tcPr>
            <w:tcW w:w="132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February 1, 2020</w:t>
            </w:r>
          </w:p>
        </w:tc>
        <w:tc>
          <w:tcPr>
            <w:tcW w:w="100" w:type="dxa"/>
            <w:vAlign w:val="bottom"/>
          </w:tcPr>
          <w:p>
            <w:pPr>
              <w:spacing w:after="0"/>
              <w:rPr>
                <w:sz w:val="14"/>
                <w:szCs w:val="14"/>
                <w:color w:val="auto"/>
              </w:rPr>
            </w:pPr>
          </w:p>
        </w:tc>
      </w:tr>
      <w:tr>
        <w:trPr>
          <w:trHeight w:val="196"/>
        </w:trPr>
        <w:tc>
          <w:tcPr>
            <w:tcW w:w="38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Unrealized gains (losses), before taxes</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10,914</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(15,606</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(22,959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(2,983 )</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6,353</w:t>
            </w:r>
          </w:p>
        </w:tc>
        <w:tc>
          <w:tcPr>
            <w:tcW w:w="100" w:type="dxa"/>
            <w:vAlign w:val="bottom"/>
            <w:shd w:val="clear" w:color="auto" w:fill="CFF0FC"/>
          </w:tcPr>
          <w:p>
            <w:pPr>
              <w:spacing w:after="0"/>
              <w:rPr>
                <w:sz w:val="17"/>
                <w:szCs w:val="17"/>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Unrealized gains (losses), net of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7,931</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(11,458 )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(16,606 )</w:t>
            </w:r>
          </w:p>
        </w:tc>
      </w:tr>
      <w:tr>
        <w:trPr>
          <w:trHeight w:val="20"/>
        </w:trPr>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-159385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-159385</wp:posOffset>
            </wp:positionV>
            <wp:extent cx="6032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36"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following table presents information about the reclassification of losses from accumulated other comprehensive loss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Component of Earnings:</w:t>
            </w:r>
          </w:p>
        </w:tc>
        <w:tc>
          <w:tcPr>
            <w:tcW w:w="140" w:type="dxa"/>
            <w:vAlign w:val="bottom"/>
          </w:tcPr>
          <w:p>
            <w:pPr>
              <w:spacing w:after="0"/>
              <w:rPr>
                <w:sz w:val="19"/>
                <w:szCs w:val="19"/>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January 29, 2022</w:t>
            </w:r>
          </w:p>
        </w:tc>
        <w:tc>
          <w:tcPr>
            <w:tcW w:w="10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January 30, 2021</w:t>
            </w: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February 1, 2020</w:t>
            </w:r>
          </w:p>
        </w:tc>
      </w:tr>
      <w:tr>
        <w:trPr>
          <w:trHeight w:val="196"/>
        </w:trPr>
        <w:tc>
          <w:tcPr>
            <w:tcW w:w="38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14,608</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10,198</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1,733</w:t>
            </w:r>
          </w:p>
        </w:tc>
        <w:tc>
          <w:tcPr>
            <w:tcW w:w="100" w:type="dxa"/>
            <w:vAlign w:val="bottom"/>
          </w:tcPr>
          <w:p>
            <w:pPr>
              <w:spacing w:after="0"/>
              <w:rPr>
                <w:sz w:val="17"/>
                <w:szCs w:val="17"/>
                <w:color w:val="auto"/>
              </w:rPr>
            </w:pPr>
          </w:p>
        </w:tc>
      </w:tr>
      <w:tr>
        <w:trPr>
          <w:trHeight w:val="203"/>
        </w:trPr>
        <w:tc>
          <w:tcPr>
            <w:tcW w:w="40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Income tax benefit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(3,965 )</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(2,795 )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(474 )</w:t>
            </w:r>
          </w:p>
        </w:tc>
      </w:tr>
      <w:tr>
        <w:trPr>
          <w:trHeight w:val="196"/>
        </w:trPr>
        <w:tc>
          <w:tcPr>
            <w:tcW w:w="4020" w:type="dxa"/>
            <w:vAlign w:val="bottom"/>
            <w:tcBorders>
              <w:top w:val="single" w:sz="8" w:color="CFF0FC"/>
            </w:tcBorders>
            <w:gridSpan w:val="2"/>
          </w:tcPr>
          <w:p>
            <w:pPr>
              <w:spacing w:after="0" w:line="182" w:lineRule="exact"/>
              <w:rPr>
                <w:sz w:val="20"/>
                <w:szCs w:val="20"/>
                <w:color w:val="auto"/>
              </w:rPr>
            </w:pPr>
            <w:r>
              <w:rPr>
                <w:rFonts w:ascii="Arial" w:cs="Arial" w:eastAsia="Arial" w:hAnsi="Arial"/>
                <w:sz w:val="18"/>
                <w:szCs w:val="18"/>
                <w:color w:val="auto"/>
              </w:rPr>
              <w:t>Net reclassification into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10,643</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7,403</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1,259</w:t>
            </w:r>
          </w:p>
        </w:tc>
        <w:tc>
          <w:tcPr>
            <w:tcW w:w="100" w:type="dxa"/>
            <w:vAlign w:val="bottom"/>
            <w:tcBorders>
              <w:top w:val="single" w:sz="8" w:color="CFF0FC"/>
            </w:tcBorders>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-159385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wp:posOffset>
            </wp:positionV>
            <wp:extent cx="603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37" w:lineRule="exact"/>
        <w:rPr>
          <w:sz w:val="20"/>
          <w:szCs w:val="20"/>
          <w:color w:val="auto"/>
        </w:rPr>
      </w:pPr>
    </w:p>
    <w:p>
      <w:pPr>
        <w:ind w:right="10000" w:firstLine="8"/>
        <w:spacing w:after="0" w:line="407" w:lineRule="auto"/>
        <w:tabs>
          <w:tab w:leader="none" w:pos="18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As of January 29, 2022, the total amount of the Company’s authorized capital stock consisted of 500,000,000 shares of common stock, par value $0.0001 per share, and 50,000,000 shares of undesignated preferred stock, par value of $0.0001 per share.</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Preferred Stock</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does not have any shares of preferred stock issued or outstanding. The Company’s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0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212" w:lineRule="exact"/>
        <w:rPr>
          <w:sz w:val="20"/>
          <w:szCs w:val="20"/>
          <w:color w:val="auto"/>
        </w:rPr>
      </w:pPr>
    </w:p>
    <w:p>
      <w:pPr>
        <w:ind w:right="500" w:firstLine="509"/>
        <w:spacing w:after="0" w:line="294" w:lineRule="auto"/>
        <w:rPr>
          <w:sz w:val="20"/>
          <w:szCs w:val="20"/>
          <w:color w:val="auto"/>
        </w:rPr>
      </w:pPr>
      <w:r>
        <w:rPr>
          <w:rFonts w:ascii="Arial" w:cs="Arial" w:eastAsia="Arial" w:hAnsi="Arial"/>
          <w:sz w:val="16"/>
          <w:szCs w:val="16"/>
          <w:color w:val="auto"/>
        </w:rPr>
        <w:t>During Fiscal 2021, the Company acquired 53,783 shares of common stock from employees for approximately $16.6 million to satisfy their minimum statutory tax withholdings related to the vesting of restricted stock awards, which was recorded in the line item “Treasury stock” on the Company’s Consolidated Balance Sheets, and the line item “Purchase of treasury shares” on the Company’s Consolidated Statements of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On August 14, 2019, the Company’s Board of Directors authorized the repurchase of up to $400.0 million of common stock, which expired in August 2021. On August 18, 2021, the Company’s Board of Directors authorized the repurchase of up to $400.0 million of common stock, which is authorized to be executed through August 2023.</w:t>
      </w:r>
    </w:p>
    <w:p>
      <w:pPr>
        <w:spacing w:after="0" w:line="182"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During Fiscal 2021, the Company repurchased 856,855 shares of common stock for $250.0 million under its share repurchase program. As of January 29, 2022, the Company had $150.0 million remaining under its share repurchase authorization.</w:t>
      </w:r>
    </w:p>
    <w:p>
      <w:pPr>
        <w:spacing w:after="0" w:line="17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Subsequent to January 29, 2022 (February 16, 2022), the Company's Board of Directors authorized the repurchase of up to $500.0 million of common stock, which is authorized to be executed through February 2024. This repurchase program is funded using the Company’s available cash and borrowings under the ABL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10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Basic net income (loss) per share is calculated by dividing net income (loss) by the weighted-average number of common shares outstanding. Dilutive net income (loss) per share is calculated by dividing net income (loss) by the weighted-average number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1" w:name="page72"/>
    <w:bookmarkEnd w:id="71"/>
    <w:p>
      <w:pPr>
        <w:ind w:right="100"/>
        <w:spacing w:after="0" w:line="261" w:lineRule="auto"/>
        <w:rPr>
          <w:sz w:val="20"/>
          <w:szCs w:val="20"/>
          <w:color w:val="auto"/>
        </w:rPr>
      </w:pPr>
      <w:r>
        <w:rPr>
          <w:rFonts w:ascii="Arial" w:cs="Arial" w:eastAsia="Arial" w:hAnsi="Arial"/>
          <w:sz w:val="18"/>
          <w:szCs w:val="18"/>
          <w:color w:val="auto"/>
        </w:rPr>
        <w:t>common shares and potentially dilutive securities outstanding during the period using the treasury stock method for the Company’s stock option, restricted stock and restricted stock unit awards, and the if-converted method for the Convertible Notes.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30,</w:t>
            </w:r>
          </w:p>
        </w:tc>
        <w:tc>
          <w:tcPr>
            <w:tcW w:w="220" w:type="dxa"/>
            <w:vAlign w:val="bottom"/>
          </w:tcPr>
          <w:p>
            <w:pPr>
              <w:spacing w:after="0"/>
              <w:rPr>
                <w:sz w:val="24"/>
                <w:szCs w:val="24"/>
                <w:color w:val="auto"/>
              </w:rPr>
            </w:pP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February 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i w:val="1"/>
                <w:iCs w:val="1"/>
                <w:color w:val="auto"/>
              </w:rPr>
              <w:t>Basic net income (loss) per share</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408,839</w:t>
            </w:r>
          </w:p>
        </w:tc>
        <w:tc>
          <w:tcPr>
            <w:tcW w:w="36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(216,499 )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465,116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Weighted average number of common shares – basic</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66,588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65,962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65,943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180"/>
              <w:spacing w:after="0" w:line="182" w:lineRule="exact"/>
              <w:rPr>
                <w:sz w:val="20"/>
                <w:szCs w:val="20"/>
                <w:color w:val="auto"/>
              </w:rPr>
            </w:pPr>
            <w:r>
              <w:rPr>
                <w:rFonts w:ascii="Arial" w:cs="Arial" w:eastAsia="Arial" w:hAnsi="Arial"/>
                <w:sz w:val="18"/>
                <w:szCs w:val="18"/>
                <w:color w:val="auto"/>
              </w:rPr>
              <w:t>Net income (loss) per common share – basic</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6.14</w:t>
            </w:r>
          </w:p>
        </w:tc>
        <w:tc>
          <w:tcPr>
            <w:tcW w:w="36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(3.28 )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7.05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8"/>
                <w:szCs w:val="18"/>
                <w:i w:val="1"/>
                <w:iCs w:val="1"/>
                <w:color w:val="auto"/>
              </w:rPr>
              <w:t>Diluted net income (loss) per share</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408,839</w:t>
            </w:r>
          </w:p>
        </w:tc>
        <w:tc>
          <w:tcPr>
            <w:tcW w:w="36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(216,499 )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465,116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for basic and diluted net income (loss) per share:</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common shares – basic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66,588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65,962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65,943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w w:val="92"/>
              </w:rPr>
              <w:t>Assumed exercise of stock options and vesting of restricted</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Assumed conversion of convertible debt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w w:val="99"/>
              </w:rPr>
              <w:t>Weighted average number of common shares – diluted</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68,126</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65,962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67,293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180"/>
              <w:spacing w:after="0" w:line="182" w:lineRule="exact"/>
              <w:rPr>
                <w:sz w:val="20"/>
                <w:szCs w:val="20"/>
                <w:color w:val="auto"/>
              </w:rPr>
            </w:pPr>
            <w:r>
              <w:rPr>
                <w:rFonts w:ascii="Arial" w:cs="Arial" w:eastAsia="Arial" w:hAnsi="Arial"/>
                <w:sz w:val="18"/>
                <w:szCs w:val="18"/>
                <w:color w:val="auto"/>
              </w:rPr>
              <w:t>Net income (loss) per common share – diluted</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6.00</w:t>
            </w:r>
          </w:p>
        </w:tc>
        <w:tc>
          <w:tcPr>
            <w:tcW w:w="36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(3.28 )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6.91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-1405255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-1388110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-1405255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-1388110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-1405255</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-1388110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-179070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-162560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-179070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-179070</wp:posOffset>
            </wp:positionV>
            <wp:extent cx="342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-162560</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All of the Company’s stock option, restricted stock and restricted stock unit awards have an anti-dilutive effect while in a net loss position. Approximately 177,000 shares, 1,960,000 shares and 405,000 shares were excluded from diluted net income (loss) per share for Fiscal 2021, Fiscal 2020 and Fiscal 2019, respectively, since their effect was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0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On May 1, 2013, the Company’s Board of Directors approved the Company’s assumption and adoption of the 2006 Management Incentive Plan (the 2006 Plan) that was previously sponsored by Burlington Coat Factory Holdings, LLC. The 2006 Plan terminated on April 12, 2016. The Company’s 2013 Omnibus Incentive Plan (the 2013 Plan and, together with the 2006 Plan, the Plans), originally adopted effective prior to and in connection with the Company’s initial public offering, was amended and restated effective May 17, 2017. The 2006 Plan, prior to its termination, and the 2013 Plan provide for the granting of stock options, restricted stock and other forms of awards to key employees and directors of the Company or its affiliates.</w:t>
      </w:r>
    </w:p>
    <w:p>
      <w:pPr>
        <w:spacing w:after="0" w:line="15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Company accounts for awards issued under the Plans in accordance with Topic No. 718. As of January 29, 2022, there were 1,906,220 shares of common stock available for issuance under the 2013 Plan.</w:t>
      </w:r>
    </w:p>
    <w:p>
      <w:pPr>
        <w:sectPr>
          <w:pgSz w:w="11900" w:h="16838" w:orient="portrait"/>
          <w:cols w:equalWidth="0" w:num="1">
            <w:col w:w="11240"/>
          </w:cols>
          <w:pgMar w:left="320" w:top="436" w:right="339" w:bottom="1440" w:gutter="0" w:footer="0" w:header="0"/>
        </w:sectPr>
      </w:pPr>
    </w:p>
    <w:p>
      <w:pPr>
        <w:spacing w:after="0" w:line="171"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Non-cash stock compensation expense is as follows: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Type of Non-Cash Stock Compensation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23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12700</wp:posOffset>
            </wp:positionV>
            <wp:extent cx="37719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4"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Fiscal Year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Borders>
              <w:top w:val="single" w:sz="8" w:color="auto"/>
            </w:tcBorders>
          </w:tcPr>
          <w:p>
            <w:pPr>
              <w:jc w:val="center"/>
              <w:ind w:right="48"/>
              <w:spacing w:after="0" w:line="160" w:lineRule="exact"/>
              <w:rPr>
                <w:sz w:val="20"/>
                <w:szCs w:val="20"/>
                <w:color w:val="auto"/>
              </w:rPr>
            </w:pPr>
            <w:r>
              <w:rPr>
                <w:rFonts w:ascii="Arial" w:cs="Arial" w:eastAsia="Arial" w:hAnsi="Arial"/>
                <w:sz w:val="14"/>
                <w:szCs w:val="14"/>
                <w:b w:val="1"/>
                <w:bCs w:val="1"/>
                <w:color w:val="auto"/>
                <w:w w:val="93"/>
              </w:rPr>
              <w:t>January 29,</w:t>
            </w:r>
          </w:p>
        </w:tc>
        <w:tc>
          <w:tcPr>
            <w:tcW w:w="20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January 30,</w:t>
            </w:r>
          </w:p>
        </w:tc>
        <w:tc>
          <w:tcPr>
            <w:tcW w:w="1860" w:type="dxa"/>
            <w:vAlign w:val="bottom"/>
            <w:tcBorders>
              <w:top w:val="single" w:sz="8" w:color="auto"/>
            </w:tcBorders>
          </w:tcPr>
          <w:p>
            <w:pPr>
              <w:jc w:val="center"/>
              <w:ind w:left="68"/>
              <w:spacing w:after="0" w:line="160" w:lineRule="exact"/>
              <w:rPr>
                <w:sz w:val="20"/>
                <w:szCs w:val="20"/>
                <w:color w:val="auto"/>
              </w:rPr>
            </w:pPr>
            <w:r>
              <w:rPr>
                <w:rFonts w:ascii="Arial" w:cs="Arial" w:eastAsia="Arial" w:hAnsi="Arial"/>
                <w:sz w:val="14"/>
                <w:szCs w:val="14"/>
                <w:b w:val="1"/>
                <w:bCs w:val="1"/>
                <w:color w:val="auto"/>
                <w:w w:val="95"/>
              </w:rPr>
              <w:t>February 1,</w:t>
            </w:r>
          </w:p>
        </w:tc>
      </w:tr>
      <w:tr>
        <w:trPr>
          <w:trHeight w:val="185"/>
        </w:trPr>
        <w:tc>
          <w:tcPr>
            <w:tcW w:w="1880" w:type="dxa"/>
            <w:vAlign w:val="bottom"/>
          </w:tcPr>
          <w:p>
            <w:pPr>
              <w:jc w:val="right"/>
              <w:ind w:right="788"/>
              <w:spacing w:after="0"/>
              <w:rPr>
                <w:sz w:val="20"/>
                <w:szCs w:val="20"/>
                <w:color w:val="auto"/>
              </w:rPr>
            </w:pPr>
            <w:r>
              <w:rPr>
                <w:rFonts w:ascii="Arial" w:cs="Arial" w:eastAsia="Arial" w:hAnsi="Arial"/>
                <w:sz w:val="14"/>
                <w:szCs w:val="14"/>
                <w:b w:val="1"/>
                <w:bCs w:val="1"/>
                <w:color w:val="auto"/>
              </w:rPr>
              <w:t>2022</w:t>
            </w:r>
          </w:p>
        </w:tc>
        <w:tc>
          <w:tcPr>
            <w:tcW w:w="2000" w:type="dxa"/>
            <w:vAlign w:val="bottom"/>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186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4720" w:space="720"/>
            <w:col w:w="5800"/>
          </w:cols>
          <w:pgMar w:left="320" w:top="43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2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Restricted stock and restricted stock unit grants (a)</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30,525</w:t>
            </w:r>
          </w:p>
        </w:tc>
        <w:tc>
          <w:tcPr>
            <w:tcW w:w="260" w:type="dxa"/>
            <w:vAlign w:val="bottom"/>
          </w:tcPr>
          <w:p>
            <w:pPr>
              <w:spacing w:after="0"/>
              <w:rPr>
                <w:sz w:val="17"/>
                <w:szCs w:val="17"/>
                <w:color w:val="auto"/>
              </w:rPr>
            </w:pPr>
          </w:p>
        </w:tc>
        <w:tc>
          <w:tcPr>
            <w:tcW w:w="680" w:type="dxa"/>
            <w:vAlign w:val="bottom"/>
            <w:tcBorders>
              <w:top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25,258</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20,454</w:t>
            </w:r>
          </w:p>
        </w:tc>
        <w:tc>
          <w:tcPr>
            <w:tcW w:w="60" w:type="dxa"/>
            <w:vAlign w:val="bottom"/>
          </w:tcPr>
          <w:p>
            <w:pPr>
              <w:spacing w:after="0"/>
              <w:rPr>
                <w:sz w:val="17"/>
                <w:szCs w:val="17"/>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 grants (a)</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18,909</w:t>
            </w: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20,038</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19,222</w:t>
            </w:r>
          </w:p>
        </w:tc>
        <w:tc>
          <w:tcPr>
            <w:tcW w:w="60" w:type="dxa"/>
            <w:vAlign w:val="bottom"/>
            <w:shd w:val="clear" w:color="auto" w:fill="CFF0FC"/>
          </w:tcPr>
          <w:p>
            <w:pPr>
              <w:spacing w:after="0"/>
              <w:rPr>
                <w:sz w:val="17"/>
                <w:szCs w:val="17"/>
                <w:color w:val="auto"/>
              </w:rPr>
            </w:pPr>
          </w:p>
        </w:tc>
      </w:tr>
      <w:tr>
        <w:trPr>
          <w:trHeight w:val="202"/>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Performance stock unit grants (a)</w:t>
            </w: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9,112</w:t>
            </w:r>
          </w:p>
        </w:tc>
        <w:tc>
          <w:tcPr>
            <w:tcW w:w="2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10,549</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4,252</w:t>
            </w:r>
          </w:p>
        </w:tc>
        <w:tc>
          <w:tcPr>
            <w:tcW w:w="60" w:type="dxa"/>
            <w:vAlign w:val="bottom"/>
          </w:tcPr>
          <w:p>
            <w:pPr>
              <w:spacing w:after="0"/>
              <w:rPr>
                <w:sz w:val="17"/>
                <w:szCs w:val="17"/>
                <w:color w:val="auto"/>
              </w:rPr>
            </w:pPr>
          </w:p>
        </w:tc>
      </w:tr>
      <w:tr>
        <w:trPr>
          <w:trHeight w:val="236"/>
        </w:trPr>
        <w:tc>
          <w:tcPr>
            <w:tcW w:w="5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(b)</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58,546</w:t>
            </w:r>
          </w:p>
        </w:tc>
        <w:tc>
          <w:tcPr>
            <w:tcW w:w="2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55,845</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43,928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Income (Loss).</w:t>
      </w:r>
    </w:p>
    <w:p>
      <w:pPr>
        <w:spacing w:after="0" w:line="11" w:lineRule="exact"/>
        <w:rPr>
          <w:rFonts w:ascii="Arial" w:cs="Arial" w:eastAsia="Arial" w:hAnsi="Arial"/>
          <w:sz w:val="18"/>
          <w:szCs w:val="18"/>
          <w:color w:val="auto"/>
        </w:rPr>
      </w:pPr>
    </w:p>
    <w:p>
      <w:pPr>
        <w:ind w:left="520" w:right="180" w:hanging="512"/>
        <w:spacing w:after="0" w:line="243" w:lineRule="auto"/>
        <w:tabs>
          <w:tab w:leader="none" w:pos="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presented in the table above exclude the effect of income taxes. The tax benefit related to the Company’s non-cash stock compensation was $10.3 million, $9.1 million and $9.0 million during Fiscal 2021, Fiscal 2020 and Fiscal 2019,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during Fiscal 2021, Fiscal 2020 and Fiscal 2019, were all service-based awards granted under the Plans at the following exercise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prices: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Exercise Price Ranges</w:t>
            </w: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From</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Fiscal 2021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219.08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342.03</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Fiscal 2020</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179.46</w:t>
            </w:r>
          </w:p>
        </w:tc>
        <w:tc>
          <w:tcPr>
            <w:tcW w:w="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246.97</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Fiscal 2019</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145.08</w:t>
            </w:r>
          </w:p>
        </w:tc>
        <w:tc>
          <w:tcPr>
            <w:tcW w:w="5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231.86</w:t>
            </w:r>
          </w:p>
        </w:tc>
        <w:tc>
          <w:tcPr>
            <w:tcW w:w="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All awards granted during Fiscal 2021, Fiscal 2020 and Fiscal 2019 vest in either one-fourth annual increments or one-third annual increments (subject to continued employment through the applicable vesting date). The final exercise date for any option granted is the tenth anniversary of the grant date. Options granted during Fiscal 2021, Fiscal 2020 and Fiscal 2019 become exercisable if the grantee’s employment is terminated without cause or, in some instances, the recipient resigns with good reason, within a certain period of time following a change in control. Unless determined otherwise by the plan administrator, upon cessation of employment other than for cause, the majority of options that have not vested will terminate immediately, and unexercised vested options will be exercisable for a period of 60 to 180 days.</w:t>
      </w:r>
    </w:p>
    <w:p>
      <w:pPr>
        <w:spacing w:after="0" w:line="175"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As of January 29, 2022, the Company had 1,097,558 options outstanding to purchase shares of common stock, and there was $33.3 million of unearned non-cash stock-based option compensation that the Company expects to recognize as expense over a weighted average period of 2.5 years. The awards are expensed on a straight-line basis over the requisite service period.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transactions during Fiscal 2021 are summarized as follows:</w:t>
      </w:r>
    </w:p>
    <w:p>
      <w:pPr>
        <w:spacing w:after="0" w:line="20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Weighted</w:t>
      </w:r>
    </w:p>
    <w:p>
      <w:pPr>
        <w:ind w:left="8620"/>
        <w:spacing w:after="0" w:line="226" w:lineRule="auto"/>
        <w:rPr>
          <w:sz w:val="20"/>
          <w:szCs w:val="20"/>
          <w:color w:val="auto"/>
        </w:rPr>
      </w:pPr>
      <w:r>
        <w:rPr>
          <w:rFonts w:ascii="Arial" w:cs="Arial" w:eastAsia="Arial" w:hAnsi="Arial"/>
          <w:sz w:val="14"/>
          <w:szCs w:val="14"/>
          <w:b w:val="1"/>
          <w:bCs w:val="1"/>
          <w:color w:val="auto"/>
        </w:rPr>
        <w:t>Average</w:t>
      </w:r>
    </w:p>
    <w:p>
      <w:pPr>
        <w:ind w:left="8600"/>
        <w:spacing w:after="0" w:line="221" w:lineRule="auto"/>
        <w:rPr>
          <w:sz w:val="20"/>
          <w:szCs w:val="20"/>
          <w:color w:val="auto"/>
        </w:rPr>
      </w:pPr>
      <w:r>
        <w:rPr>
          <w:rFonts w:ascii="Arial" w:cs="Arial" w:eastAsia="Arial" w:hAnsi="Arial"/>
          <w:sz w:val="14"/>
          <w:szCs w:val="14"/>
          <w:b w:val="1"/>
          <w:bCs w:val="1"/>
          <w:color w:val="auto"/>
        </w:rPr>
        <w:t>Exercise</w:t>
      </w:r>
    </w:p>
    <w:p>
      <w:pPr>
        <w:ind w:left="7060"/>
        <w:spacing w:after="0"/>
        <w:tabs>
          <w:tab w:leader="none" w:pos="856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2"/>
          <w:szCs w:val="12"/>
          <w:b w:val="1"/>
          <w:bCs w:val="1"/>
          <w:color w:val="auto"/>
        </w:rPr>
        <w:t>Price Per</w:t>
      </w:r>
    </w:p>
    <w:p>
      <w:pPr>
        <w:ind w:left="7200"/>
        <w:spacing w:after="0"/>
        <w:tabs>
          <w:tab w:leader="none" w:pos="86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Share</w:t>
      </w:r>
    </w:p>
    <w:p>
      <w:pPr>
        <w:sectPr>
          <w:pgSz w:w="11900" w:h="16838" w:orient="portrait"/>
          <w:cols w:equalWidth="0" w:num="1">
            <w:col w:w="11240"/>
          </w:cols>
          <w:pgMar w:left="320" w:top="652" w:right="339" w:bottom="1440" w:gutter="0" w:footer="0" w:header="0"/>
        </w:sectPr>
      </w:pPr>
    </w:p>
    <w:p>
      <w:pPr>
        <w:spacing w:after="0" w:line="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Options outstanding, 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Options exercised (a)</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Options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Options outstanding, January 29, 2022</w:t>
      </w:r>
    </w:p>
    <w:p>
      <w:pPr>
        <w:spacing w:after="0" w:line="27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Options exercised during Fiscal 2021 had a total intrinsic value of $87.4 million.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1,346,775</w:t>
            </w:r>
          </w:p>
        </w:tc>
        <w:tc>
          <w:tcPr>
            <w:tcW w:w="200" w:type="dxa"/>
            <w:vAlign w:val="bottom"/>
          </w:tcPr>
          <w:p>
            <w:pPr>
              <w:spacing w:after="0"/>
              <w:rPr>
                <w:sz w:val="15"/>
                <w:szCs w:val="15"/>
                <w:color w:val="auto"/>
              </w:rPr>
            </w:pPr>
          </w:p>
        </w:tc>
        <w:tc>
          <w:tcPr>
            <w:tcW w:w="4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133.86</w:t>
            </w:r>
          </w:p>
        </w:tc>
      </w:tr>
      <w:tr>
        <w:trPr>
          <w:trHeight w:val="203"/>
        </w:trPr>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212,397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315.21</w:t>
            </w:r>
          </w:p>
        </w:tc>
      </w:tr>
      <w:tr>
        <w:trPr>
          <w:trHeight w:val="203"/>
        </w:trPr>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(418,173 )</w:t>
            </w:r>
          </w:p>
        </w:tc>
        <w:tc>
          <w:tcPr>
            <w:tcW w:w="4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95.38</w:t>
            </w:r>
          </w:p>
        </w:tc>
      </w:tr>
      <w:tr>
        <w:trPr>
          <w:trHeight w:val="217"/>
        </w:trPr>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(43,441 )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195.49</w:t>
            </w:r>
          </w:p>
        </w:tc>
      </w:tr>
      <w:tr>
        <w:trPr>
          <w:trHeight w:val="196"/>
        </w:trPr>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1,097,558</w:t>
            </w:r>
          </w:p>
        </w:tc>
        <w:tc>
          <w:tcPr>
            <w:tcW w:w="200" w:type="dxa"/>
            <w:vAlign w:val="bottom"/>
          </w:tcPr>
          <w:p>
            <w:pPr>
              <w:spacing w:after="0"/>
              <w:rPr>
                <w:sz w:val="17"/>
                <w:szCs w:val="17"/>
                <w:color w:val="auto"/>
              </w:rPr>
            </w:pPr>
          </w:p>
        </w:tc>
        <w:tc>
          <w:tcPr>
            <w:tcW w:w="420" w:type="dxa"/>
            <w:vAlign w:val="bottom"/>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181.17</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676" w:lineRule="exact"/>
        <w:rPr>
          <w:sz w:val="20"/>
          <w:szCs w:val="20"/>
          <w:color w:val="auto"/>
        </w:rPr>
      </w:pPr>
    </w:p>
    <w:p>
      <w:pPr>
        <w:sectPr>
          <w:pgSz w:w="11900" w:h="16838" w:orient="portrait"/>
          <w:cols w:equalWidth="0" w:num="2">
            <w:col w:w="6180" w:space="580"/>
            <w:col w:w="4480"/>
          </w:cols>
          <w:pgMar w:left="320" w:top="652" w:right="339" w:bottom="1440" w:gutter="0" w:footer="0" w:header="0"/>
          <w:type w:val="continuous"/>
        </w:sectPr>
      </w:pPr>
    </w:p>
    <w:p>
      <w:pPr>
        <w:spacing w:after="0" w:line="12"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 summarizes information about the stock options vested and expected to vest during the contractual term, as well as options exercisable: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center"/>
              <w:ind w:right="262"/>
              <w:spacing w:after="0"/>
              <w:rPr>
                <w:sz w:val="20"/>
                <w:szCs w:val="20"/>
                <w:color w:val="auto"/>
              </w:rPr>
            </w:pPr>
            <w:r>
              <w:rPr>
                <w:rFonts w:ascii="Arial" w:cs="Arial" w:eastAsia="Arial" w:hAnsi="Arial"/>
                <w:sz w:val="14"/>
                <w:szCs w:val="14"/>
                <w:b w:val="1"/>
                <w:bCs w:val="1"/>
                <w:color w:val="auto"/>
                <w:w w:val="92"/>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4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Options vested and expected to vest</w:t>
            </w: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1,097,558</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181.17</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CFF0FC"/>
            </w:tcBorders>
            <w:shd w:val="clear" w:color="auto" w:fill="CFF0FC"/>
          </w:tcPr>
          <w:p>
            <w:pPr>
              <w:jc w:val="right"/>
              <w:ind w:right="2"/>
              <w:spacing w:after="0" w:line="182" w:lineRule="exact"/>
              <w:rPr>
                <w:sz w:val="20"/>
                <w:szCs w:val="20"/>
                <w:color w:val="auto"/>
              </w:rPr>
            </w:pPr>
            <w:r>
              <w:rPr>
                <w:rFonts w:ascii="Arial" w:cs="Arial" w:eastAsia="Arial" w:hAnsi="Arial"/>
                <w:sz w:val="18"/>
                <w:szCs w:val="18"/>
                <w:color w:val="auto"/>
              </w:rPr>
              <w:t>71.1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420" w:type="dxa"/>
            <w:vAlign w:val="bottom"/>
          </w:tcPr>
          <w:p>
            <w:pPr>
              <w:spacing w:after="0" w:line="182" w:lineRule="exact"/>
              <w:rPr>
                <w:sz w:val="20"/>
                <w:szCs w:val="20"/>
                <w:color w:val="auto"/>
              </w:rPr>
            </w:pPr>
            <w:r>
              <w:rPr>
                <w:rFonts w:ascii="Arial" w:cs="Arial" w:eastAsia="Arial" w:hAnsi="Arial"/>
                <w:sz w:val="18"/>
                <w:szCs w:val="18"/>
                <w:color w:val="auto"/>
              </w:rPr>
              <w:t>Options exercisable</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504,737</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139.20</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
              <w:spacing w:after="0" w:line="182" w:lineRule="exact"/>
              <w:rPr>
                <w:sz w:val="20"/>
                <w:szCs w:val="20"/>
                <w:color w:val="auto"/>
              </w:rPr>
            </w:pPr>
            <w:r>
              <w:rPr>
                <w:rFonts w:ascii="Arial" w:cs="Arial" w:eastAsia="Arial" w:hAnsi="Arial"/>
                <w:sz w:val="18"/>
                <w:szCs w:val="18"/>
                <w:color w:val="auto"/>
              </w:rPr>
              <w:t>46.0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71</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-659765</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-642620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-659765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-642620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-659765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-642620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-659765</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-642620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73" w:name="page74"/>
    <w:bookmarkEnd w:id="73"/>
    <w:p>
      <w:pPr>
        <w:ind w:right="20" w:firstLine="509"/>
        <w:spacing w:after="0" w:line="261" w:lineRule="auto"/>
        <w:rPr>
          <w:sz w:val="20"/>
          <w:szCs w:val="20"/>
          <w:color w:val="auto"/>
        </w:rPr>
      </w:pPr>
      <w:r>
        <w:rPr>
          <w:rFonts w:ascii="Arial" w:cs="Arial" w:eastAsia="Arial" w:hAnsi="Arial"/>
          <w:sz w:val="18"/>
          <w:szCs w:val="18"/>
          <w:color w:val="auto"/>
        </w:rPr>
        <w:t>During Fiscal 2021, the fair value of each stock option granted was estimated on the date of grant using the Black Scholes option pricing model. The fair value of each stock option granted during Fiscal 2021 was estimated using the following assumptions: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Fiscal Year Ended</w:t>
            </w:r>
          </w:p>
        </w:tc>
      </w:tr>
      <w:tr>
        <w:trPr>
          <w:trHeight w:val="160"/>
        </w:trPr>
        <w:tc>
          <w:tcPr>
            <w:tcW w:w="5560" w:type="dxa"/>
            <w:vAlign w:val="bottom"/>
          </w:tcPr>
          <w:p>
            <w:pPr>
              <w:spacing w:after="0"/>
              <w:rPr>
                <w:sz w:val="13"/>
                <w:szCs w:val="13"/>
                <w:color w:val="auto"/>
              </w:rPr>
            </w:pPr>
          </w:p>
        </w:tc>
        <w:tc>
          <w:tcPr>
            <w:tcW w:w="11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January 29,</w:t>
            </w:r>
          </w:p>
        </w:tc>
      </w:tr>
      <w:tr>
        <w:trPr>
          <w:trHeight w:val="185"/>
        </w:trPr>
        <w:tc>
          <w:tcPr>
            <w:tcW w:w="556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196"/>
        </w:trPr>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0.45%</w:t>
            </w:r>
          </w:p>
        </w:tc>
        <w:tc>
          <w:tcPr>
            <w:tcW w:w="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6"/>
              </w:rPr>
              <w:t>- 1.13%</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640" w:type="dxa"/>
            <w:vAlign w:val="bottom"/>
          </w:tcPr>
          <w:p>
            <w:pPr>
              <w:ind w:left="20"/>
              <w:spacing w:after="0" w:line="202" w:lineRule="exact"/>
              <w:rPr>
                <w:sz w:val="20"/>
                <w:szCs w:val="20"/>
                <w:color w:val="auto"/>
              </w:rPr>
            </w:pPr>
            <w:r>
              <w:rPr>
                <w:rFonts w:ascii="Arial" w:cs="Arial" w:eastAsia="Arial" w:hAnsi="Arial"/>
                <w:sz w:val="18"/>
                <w:szCs w:val="18"/>
                <w:color w:val="auto"/>
              </w:rPr>
              <w:t>- 35%</w:t>
            </w:r>
          </w:p>
        </w:tc>
      </w:tr>
      <w:tr>
        <w:trPr>
          <w:trHeight w:val="203"/>
        </w:trPr>
        <w:tc>
          <w:tcPr>
            <w:tcW w:w="5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life (years)</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w:t>
            </w:r>
          </w:p>
        </w:tc>
        <w:tc>
          <w:tcPr>
            <w:tcW w:w="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- 6.25</w:t>
            </w:r>
          </w:p>
        </w:tc>
      </w:tr>
    </w:tbl>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Contractual life (years)</w:t>
            </w:r>
          </w:p>
        </w:tc>
        <w:tc>
          <w:tcPr>
            <w:tcW w:w="96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4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7"/>
                <w:szCs w:val="17"/>
                <w:color w:val="auto"/>
              </w:rPr>
            </w:pPr>
          </w:p>
        </w:tc>
        <w:tc>
          <w:tcPr>
            <w:tcW w:w="1020" w:type="dxa"/>
            <w:vAlign w:val="bottom"/>
            <w:shd w:val="clear" w:color="auto" w:fill="CFF0FC"/>
          </w:tcPr>
          <w:p>
            <w:pPr>
              <w:jc w:val="center"/>
              <w:ind w:right="90"/>
              <w:spacing w:after="0" w:line="202" w:lineRule="exact"/>
              <w:rPr>
                <w:sz w:val="20"/>
                <w:szCs w:val="20"/>
                <w:color w:val="auto"/>
              </w:rPr>
            </w:pPr>
            <w:r>
              <w:rPr>
                <w:rFonts w:ascii="Arial" w:cs="Arial" w:eastAsia="Arial" w:hAnsi="Arial"/>
                <w:sz w:val="18"/>
                <w:szCs w:val="18"/>
                <w:color w:val="auto"/>
                <w:w w:val="92"/>
              </w:rPr>
              <w:t>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109.91</w:t>
            </w:r>
          </w:p>
        </w:tc>
      </w:tr>
    </w:tbl>
    <w:p>
      <w:pPr>
        <w:spacing w:after="0" w:line="228"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Fiscal 2021, Fiscal 2020 and Fiscal 2019, the expected life of the options was calculated using the simplified method, which defines the life as the average of the contractual term of the options and the weighted average vesting period for all option tranches. This methodology was utilized due to the short length of time the Company's common stock has been publicly traded.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Restricted stock awards granted during Fiscal 2021 were all service-based awards. The fair value of each unit of restricted stock granted during Fiscal 2021 was based upon the closing price of the Company’s common stock on the grant date. Certain awards outstanding as of January 29, 2022 cliff vest at the end of a designated service period, ranging from two years to four years from the grant date. Awards granted to non-employee members of the Company’s Board of Directors vest 100% on the first anniversary of the grant date. The remaining awards outstanding as of January 29, 2022 have graded vesting provisions that generally vest in one-fourth annual increments or one-third annual increments (subject to continued employment through the applicable vesting date). Following a change of control, all unvested restricted stock awards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181"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As of January 29, 2022, there was approximately $59.8 million of unearned non-cash stock-based compensation related to restricted stock awards that the Company expects to recognize as an expense over the next 2.4 years. The awards are expensed on a straight-line basis over the requisite service periods.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Prior to May 1, 2019, the Company granted shares of restricted stock. Grants made on and after May 1, 2019 are in the form of restricted stock units.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Award grant, vesting and forfeiture transactions during Fiscal 2021 are summarized as follows:</w:t>
      </w:r>
    </w:p>
    <w:p>
      <w:pPr>
        <w:spacing w:after="0" w:line="18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Weighted</w:t>
      </w:r>
    </w:p>
    <w:p>
      <w:pPr>
        <w:jc w:val="center"/>
        <w:ind w:left="6460"/>
        <w:spacing w:after="0" w:line="226" w:lineRule="auto"/>
        <w:rPr>
          <w:sz w:val="20"/>
          <w:szCs w:val="20"/>
          <w:color w:val="auto"/>
        </w:rPr>
      </w:pPr>
      <w:r>
        <w:rPr>
          <w:rFonts w:ascii="Arial" w:cs="Arial" w:eastAsia="Arial" w:hAnsi="Arial"/>
          <w:sz w:val="14"/>
          <w:szCs w:val="14"/>
          <w:b w:val="1"/>
          <w:bCs w:val="1"/>
          <w:color w:val="auto"/>
        </w:rPr>
        <w:t>Average Grant</w:t>
      </w:r>
    </w:p>
    <w:p>
      <w:pPr>
        <w:jc w:val="center"/>
        <w:ind w:left="6460"/>
        <w:spacing w:after="0" w:line="221" w:lineRule="auto"/>
        <w:rPr>
          <w:sz w:val="20"/>
          <w:szCs w:val="20"/>
          <w:color w:val="auto"/>
        </w:rPr>
      </w:pPr>
      <w:r>
        <w:rPr>
          <w:rFonts w:ascii="Arial" w:cs="Arial" w:eastAsia="Arial" w:hAnsi="Arial"/>
          <w:sz w:val="14"/>
          <w:szCs w:val="14"/>
          <w:b w:val="1"/>
          <w:bCs w:val="1"/>
          <w:color w:val="auto"/>
        </w:rPr>
        <w:t>Date Fair</w:t>
      </w:r>
    </w:p>
    <w:p>
      <w:pPr>
        <w:ind w:left="7080"/>
        <w:spacing w:after="0"/>
        <w:tabs>
          <w:tab w:leader="none" w:pos="854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3"/>
          <w:szCs w:val="13"/>
          <w:b w:val="1"/>
          <w:bCs w:val="1"/>
          <w:color w:val="auto"/>
        </w:rPr>
        <w:t>Value Per</w:t>
      </w:r>
    </w:p>
    <w:p>
      <w:pPr>
        <w:ind w:left="7200"/>
        <w:spacing w:after="0"/>
        <w:tabs>
          <w:tab w:leader="none" w:pos="86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5080</wp:posOffset>
            </wp:positionV>
            <wp:extent cx="7886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Non-vested awards outstanding, January 30, 2021</w:t>
            </w:r>
          </w:p>
        </w:tc>
        <w:tc>
          <w:tcPr>
            <w:tcW w:w="1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396,555</w:t>
            </w:r>
          </w:p>
        </w:tc>
        <w:tc>
          <w:tcPr>
            <w:tcW w:w="1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Awards granted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147,677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Awards vested (a)</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(154,501 )</w:t>
            </w:r>
          </w:p>
        </w:tc>
        <w:tc>
          <w:tcPr>
            <w:tcW w:w="160" w:type="dxa"/>
            <w:vAlign w:val="bottom"/>
          </w:tcPr>
          <w:p>
            <w:pPr>
              <w:spacing w:after="0"/>
              <w:rPr>
                <w:sz w:val="17"/>
                <w:szCs w:val="17"/>
                <w:color w:val="auto"/>
              </w:rPr>
            </w:pPr>
          </w:p>
        </w:tc>
      </w:t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Awards forfeited</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(21,573 )</w:t>
            </w:r>
          </w:p>
        </w:tc>
        <w:tc>
          <w:tcPr>
            <w:tcW w:w="160" w:type="dxa"/>
            <w:vAlign w:val="bottom"/>
          </w:tcPr>
          <w:p>
            <w:pPr>
              <w:spacing w:after="0"/>
              <w:rPr>
                <w:sz w:val="18"/>
                <w:szCs w:val="18"/>
                <w:color w:val="auto"/>
              </w:rPr>
            </w:pPr>
          </w:p>
        </w:tc>
      </w:tr>
      <w:tr>
        <w:trPr>
          <w:trHeight w:val="196"/>
        </w:trPr>
        <w:tc>
          <w:tcPr>
            <w:tcW w:w="5080" w:type="dxa"/>
            <w:vAlign w:val="bottom"/>
          </w:tcPr>
          <w:p>
            <w:pPr>
              <w:spacing w:after="0" w:line="182" w:lineRule="exact"/>
              <w:rPr>
                <w:sz w:val="20"/>
                <w:szCs w:val="20"/>
                <w:color w:val="auto"/>
              </w:rPr>
            </w:pPr>
            <w:r>
              <w:rPr>
                <w:rFonts w:ascii="Arial" w:cs="Arial" w:eastAsia="Arial" w:hAnsi="Arial"/>
                <w:sz w:val="18"/>
                <w:szCs w:val="18"/>
                <w:color w:val="auto"/>
              </w:rPr>
              <w:t>Non-vested awards outstanding, January 29, 2022</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368,158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-676910</wp:posOffset>
            </wp:positionV>
            <wp:extent cx="498919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89195" cy="1289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-419735</wp:posOffset>
            </wp:positionV>
            <wp:extent cx="498919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89195" cy="1289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-153670</wp:posOffset>
            </wp:positionV>
            <wp:extent cx="4989195"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4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Restricted stock awards vested during Fiscal 2021 had a total intrinsic value of $48.1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168.87</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317.54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152.73</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207.80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233.00</w:t>
      </w:r>
    </w:p>
    <w:p>
      <w:pPr>
        <w:spacing w:after="0" w:line="600" w:lineRule="exact"/>
        <w:rPr>
          <w:sz w:val="20"/>
          <w:szCs w:val="20"/>
          <w:color w:val="auto"/>
        </w:rPr>
      </w:pPr>
    </w:p>
    <w:p>
      <w:pPr>
        <w:sectPr>
          <w:pgSz w:w="11900" w:h="16838" w:orient="portrait"/>
          <w:cols w:equalWidth="0" w:num="2">
            <w:col w:w="8340" w:space="640"/>
            <w:col w:w="2260"/>
          </w:cols>
          <w:pgMar w:left="320" w:top="368"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 grants performance share units to its senior executives. Vesting of these performance share units is based on pre-established EBIT margin expansion and sales compound annual growth rate (CAGR) goals (each weighted equally) over a three-year performance period. Based on the Company’s achievement of these goals, each award may range from 50% (at threshold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4" w:name="page75"/>
    <w:bookmarkEnd w:id="74"/>
    <w:p>
      <w:pPr>
        <w:ind w:right="120"/>
        <w:spacing w:after="0" w:line="241" w:lineRule="auto"/>
        <w:rPr>
          <w:sz w:val="20"/>
          <w:szCs w:val="20"/>
          <w:color w:val="auto"/>
        </w:rPr>
      </w:pPr>
      <w:r>
        <w:rPr>
          <w:rFonts w:ascii="Arial" w:cs="Arial" w:eastAsia="Arial" w:hAnsi="Arial"/>
          <w:sz w:val="18"/>
          <w:szCs w:val="18"/>
          <w:color w:val="auto"/>
        </w:rPr>
        <w:t>performance) to no more than 200% of the target award. In the event that actual performance is below threshold, no award will be made. In addition to the performance conditions, each performance share unit cliff vests at the end of a three-year service period. Following a change of control, all unvested performance share units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18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As of January 29, 2022, there was approximately $16.3 million of unearned non-cash stock-based compensation related to performance share units that the Company expects to recognize as an expense over the next 1.7 years. The awards are expensed on a straight-line basis over the requisite service periods.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Performance share unit transactions during Fiscal 2021 are summarized as follows:</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5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Award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units outstanding, January 30, 2021</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148,668</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Units 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55,361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Awards forfeited</w:t>
            </w:r>
          </w:p>
        </w:tc>
        <w:tc>
          <w:tcPr>
            <w:tcW w:w="15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(17,593 )</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Non-vested units outstanding, January 29, 2022</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186,436</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215.90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-159385</wp:posOffset>
            </wp:positionV>
            <wp:extent cx="603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 Commitments</w:t>
      </w:r>
    </w:p>
    <w:p>
      <w:pPr>
        <w:spacing w:after="0" w:line="108"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The Company’s leases primarily consist of stores, distribution facilities and office space under operating and finance leases that will expire principally during the next 30 years. The leases typically include renewal options at five 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spacing w:after="0" w:line="81" w:lineRule="exact"/>
        <w:rPr>
          <w:sz w:val="20"/>
          <w:szCs w:val="20"/>
          <w:color w:val="auto"/>
        </w:rPr>
      </w:pPr>
    </w:p>
    <w:p>
      <w:pPr>
        <w:jc w:val="both"/>
        <w:ind w:firstLine="578"/>
        <w:spacing w:after="0" w:line="274" w:lineRule="auto"/>
        <w:rPr>
          <w:sz w:val="20"/>
          <w:szCs w:val="20"/>
          <w:color w:val="auto"/>
        </w:rPr>
      </w:pPr>
      <w:r>
        <w:rPr>
          <w:rFonts w:ascii="Arial" w:cs="Arial" w:eastAsia="Arial" w:hAnsi="Arial"/>
          <w:sz w:val="16"/>
          <w:szCs w:val="16"/>
          <w:color w:val="auto"/>
        </w:rPr>
        <w:t>As a result of the COVID-19 pandemic and the associated temporary store closures, the Company worked with its landlords to modify payment terms for certain leases. The FASB has provided relief under ASC 842, “Leases,” related to the COVID-19 pandemic. Under this relief, companies can make a policy election on how to treat lease concessions resulting directly from COVID-19, provided that the modified contracts result in total cash flows that are substantially the same or less than the cash flows in the original contract. The Company has made the policy election to account for lease concessions that result from the COVID-19 pandemic as if they were made as enforceable rights under the original contract. Additionally, the Company has elected to account for these concessions outside of the lease modification framework described under ASC 842. As a result, deferred payments related to these leases of $1.5 million are included in the line item “Other current liabilities” on the Company’s Consolidated Balance Sheet.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schedule of the Company’s future lease payments: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1"/>
                <w:szCs w:val="11"/>
                <w:color w:val="auto"/>
              </w:rPr>
            </w:pPr>
          </w:p>
        </w:tc>
        <w:tc>
          <w:tcPr>
            <w:tcW w:w="1960" w:type="dxa"/>
            <w:vAlign w:val="bottom"/>
            <w:gridSpan w:val="2"/>
          </w:tcPr>
          <w:p>
            <w:pPr>
              <w:jc w:val="right"/>
              <w:ind w:right="1060"/>
              <w:spacing w:after="0" w:line="133"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1"/>
                <w:szCs w:val="11"/>
                <w:color w:val="auto"/>
              </w:rPr>
            </w:pPr>
          </w:p>
        </w:tc>
        <w:tc>
          <w:tcPr>
            <w:tcW w:w="1420" w:type="dxa"/>
            <w:vAlign w:val="bottom"/>
          </w:tcPr>
          <w:p>
            <w:pPr>
              <w:jc w:val="right"/>
              <w:ind w:right="592"/>
              <w:spacing w:after="0" w:line="133" w:lineRule="exact"/>
              <w:rPr>
                <w:sz w:val="20"/>
                <w:szCs w:val="20"/>
                <w:color w:val="auto"/>
              </w:rPr>
            </w:pPr>
            <w:r>
              <w:rPr>
                <w:rFonts w:ascii="Arial" w:cs="Arial" w:eastAsia="Arial" w:hAnsi="Arial"/>
                <w:sz w:val="14"/>
                <w:szCs w:val="14"/>
                <w:b w:val="1"/>
                <w:bCs w:val="1"/>
                <w:color w:val="auto"/>
              </w:rPr>
              <w:t>Finance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Leases</w:t>
            </w:r>
          </w:p>
        </w:tc>
        <w:tc>
          <w:tcPr>
            <w:tcW w:w="400" w:type="dxa"/>
            <w:vAlign w:val="bottom"/>
          </w:tcPr>
          <w:p>
            <w:pPr>
              <w:spacing w:after="0"/>
              <w:rPr>
                <w:sz w:val="16"/>
                <w:szCs w:val="16"/>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96"/>
        </w:trPr>
        <w:tc>
          <w:tcPr>
            <w:tcW w:w="44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494,529</w:t>
            </w:r>
          </w:p>
        </w:tc>
        <w:tc>
          <w:tcPr>
            <w:tcW w:w="4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7,513</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484,061</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7,589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448,842</w:t>
            </w: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7,417</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414,697</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5,287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377,819</w:t>
            </w: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5,324</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1,306,520</w:t>
            </w:r>
          </w:p>
        </w:tc>
        <w:tc>
          <w:tcPr>
            <w:tcW w:w="4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28,013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3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3,526,468</w:t>
            </w: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61,143</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Amount representing interest</w:t>
            </w:r>
          </w:p>
        </w:tc>
        <w:tc>
          <w:tcPr>
            <w:tcW w:w="360" w:type="dxa"/>
            <w:vAlign w:val="bottom"/>
          </w:tcPr>
          <w:p>
            <w:pPr>
              <w:spacing w:after="0"/>
              <w:rPr>
                <w:sz w:val="17"/>
                <w:szCs w:val="17"/>
                <w:color w:val="auto"/>
              </w:rPr>
            </w:pPr>
          </w:p>
        </w:tc>
        <w:tc>
          <w:tcPr>
            <w:tcW w:w="1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(628,255 )</w:t>
            </w:r>
          </w:p>
        </w:tc>
        <w:tc>
          <w:tcPr>
            <w:tcW w:w="400" w:type="dxa"/>
            <w:vAlign w:val="bottom"/>
          </w:tcPr>
          <w:p>
            <w:pPr>
              <w:spacing w:after="0"/>
              <w:rPr>
                <w:sz w:val="17"/>
                <w:szCs w:val="17"/>
                <w:color w:val="auto"/>
              </w:rPr>
            </w:pP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(17,198 )</w:t>
            </w:r>
          </w:p>
        </w:tc>
        <w:tc>
          <w:tcPr>
            <w:tcW w:w="0" w:type="dxa"/>
            <w:vAlign w:val="bottom"/>
          </w:tcPr>
          <w:p>
            <w:pPr>
              <w:spacing w:after="0"/>
              <w:rPr>
                <w:sz w:val="1"/>
                <w:szCs w:val="1"/>
                <w:color w:val="auto"/>
              </w:rPr>
            </w:pPr>
          </w:p>
        </w:tc>
      </w:tr>
      <w:tr>
        <w:trPr>
          <w:trHeight w:val="196"/>
        </w:trPr>
        <w:tc>
          <w:tcPr>
            <w:tcW w:w="46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w:t>
            </w:r>
          </w:p>
        </w:tc>
        <w:tc>
          <w:tcPr>
            <w:tcW w:w="3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2,898,213</w:t>
            </w:r>
          </w:p>
        </w:tc>
        <w:tc>
          <w:tcPr>
            <w:tcW w:w="4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43,945</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portion of lease liabilities</w:t>
            </w:r>
          </w:p>
        </w:tc>
        <w:tc>
          <w:tcPr>
            <w:tcW w:w="360" w:type="dxa"/>
            <w:vAlign w:val="bottom"/>
          </w:tcPr>
          <w:p>
            <w:pPr>
              <w:spacing w:after="0"/>
              <w:rPr>
                <w:sz w:val="17"/>
                <w:szCs w:val="17"/>
                <w:color w:val="auto"/>
              </w:rPr>
            </w:pPr>
          </w:p>
        </w:tc>
        <w:tc>
          <w:tcPr>
            <w:tcW w:w="1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(358,793 )</w:t>
            </w:r>
          </w:p>
        </w:tc>
        <w:tc>
          <w:tcPr>
            <w:tcW w:w="400" w:type="dxa"/>
            <w:vAlign w:val="bottom"/>
          </w:tcPr>
          <w:p>
            <w:pPr>
              <w:spacing w:after="0"/>
              <w:rPr>
                <w:sz w:val="17"/>
                <w:szCs w:val="17"/>
                <w:color w:val="auto"/>
              </w:rPr>
            </w:pP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(4,743 )</w:t>
            </w:r>
          </w:p>
        </w:tc>
        <w:tc>
          <w:tcPr>
            <w:tcW w:w="0" w:type="dxa"/>
            <w:vAlign w:val="bottom"/>
          </w:tcPr>
          <w:p>
            <w:pPr>
              <w:spacing w:after="0"/>
              <w:rPr>
                <w:sz w:val="1"/>
                <w:szCs w:val="1"/>
                <w:color w:val="auto"/>
              </w:rPr>
            </w:pPr>
          </w:p>
        </w:tc>
      </w:tr>
      <w:tr>
        <w:trPr>
          <w:trHeight w:val="236"/>
        </w:trPr>
        <w:tc>
          <w:tcPr>
            <w:tcW w:w="46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long term lease liabilities</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2,539,420</w:t>
            </w:r>
          </w:p>
        </w:tc>
        <w:tc>
          <w:tcPr>
            <w:tcW w:w="4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39,202</w:t>
            </w:r>
          </w:p>
        </w:tc>
        <w:tc>
          <w:tcPr>
            <w:tcW w:w="2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5.0 %</w:t>
            </w: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-428625</wp:posOffset>
            </wp:positionV>
            <wp:extent cx="1543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-411480</wp:posOffset>
            </wp:positionV>
            <wp:extent cx="1543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-428625</wp:posOffset>
            </wp:positionV>
            <wp:extent cx="1543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-411480</wp:posOffset>
            </wp:positionV>
            <wp:extent cx="1543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above schedule excludes approximately $567.2 million for 82 stores and one warehouse that the Company has committed to open or relocate but has not yet taken possession of the space.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The following is a schedule of net lease costs for the years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Fiscal Year Ended</w:t>
            </w: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14"/>
                <w:szCs w:val="1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January 29, 2022</w:t>
            </w:r>
          </w:p>
        </w:tc>
        <w:tc>
          <w:tcPr>
            <w:tcW w:w="24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4"/>
                <w:szCs w:val="14"/>
                <w:color w:val="auto"/>
              </w:rPr>
            </w:pPr>
          </w:p>
        </w:tc>
        <w:tc>
          <w:tcPr>
            <w:tcW w:w="1620" w:type="dxa"/>
            <w:vAlign w:val="bottom"/>
          </w:tcPr>
          <w:p>
            <w:pPr>
              <w:jc w:val="right"/>
              <w:ind w:right="332"/>
              <w:spacing w:after="0"/>
              <w:rPr>
                <w:sz w:val="20"/>
                <w:szCs w:val="20"/>
                <w:color w:val="auto"/>
              </w:rPr>
            </w:pPr>
            <w:r>
              <w:rPr>
                <w:rFonts w:ascii="Arial" w:cs="Arial" w:eastAsia="Arial" w:hAnsi="Arial"/>
                <w:sz w:val="14"/>
                <w:szCs w:val="14"/>
                <w:b w:val="1"/>
                <w:bCs w:val="1"/>
                <w:color w:val="auto"/>
              </w:rPr>
              <w:t>February 1, 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finance lease asset (a)</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on lease liabilities (b)</w:t>
            </w: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3,111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3,394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2,770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 (c)</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468,349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441,089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414,174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 (c)</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188,035</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180,270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lease cost</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664,049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630,660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576,181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Less all rental income (d)</w:t>
            </w:r>
          </w:p>
        </w:tc>
        <w:tc>
          <w:tcPr>
            <w:tcW w:w="260" w:type="dxa"/>
            <w:vAlign w:val="bottom"/>
          </w:tcPr>
          <w:p>
            <w:pPr>
              <w:spacing w:after="0"/>
              <w:rPr>
                <w:sz w:val="17"/>
                <w:szCs w:val="17"/>
                <w:color w:val="auto"/>
              </w:rPr>
            </w:pPr>
          </w:p>
        </w:tc>
        <w:tc>
          <w:tcPr>
            <w:tcW w:w="1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(5,771 )</w:t>
            </w:r>
          </w:p>
        </w:tc>
        <w:tc>
          <w:tcPr>
            <w:tcW w:w="240" w:type="dxa"/>
            <w:vAlign w:val="bottom"/>
          </w:tcPr>
          <w:p>
            <w:pPr>
              <w:spacing w:after="0"/>
              <w:rPr>
                <w:sz w:val="17"/>
                <w:szCs w:val="17"/>
                <w:color w:val="auto"/>
              </w:rPr>
            </w:pP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(5,010 )</w:t>
            </w:r>
          </w:p>
        </w:tc>
        <w:tc>
          <w:tcPr>
            <w:tcW w:w="280" w:type="dxa"/>
            <w:vAlign w:val="bottom"/>
          </w:tcPr>
          <w:p>
            <w:pPr>
              <w:spacing w:after="0"/>
              <w:rPr>
                <w:sz w:val="17"/>
                <w:szCs w:val="17"/>
                <w:color w:val="auto"/>
              </w:rPr>
            </w:pP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(5,029 )</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net rent expense (e)</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658,278</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625,650</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571,152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420" w:hanging="36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the line item “Depreciation and amortization” in the Company’s Consolidated Statements of Income (Loss).</w:t>
      </w:r>
    </w:p>
    <w:p>
      <w:pPr>
        <w:spacing w:after="0" w:line="11" w:lineRule="exact"/>
        <w:rPr>
          <w:rFonts w:ascii="Arial" w:cs="Arial" w:eastAsia="Arial" w:hAnsi="Arial"/>
          <w:sz w:val="18"/>
          <w:szCs w:val="18"/>
          <w:color w:val="auto"/>
        </w:rPr>
      </w:pPr>
    </w:p>
    <w:p>
      <w:pPr>
        <w:ind w:left="420" w:hanging="363"/>
        <w:spacing w:after="0" w:line="234"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the line item “Interest expense” in the Company’s Consolidated Statements of Income (Loss).</w:t>
      </w:r>
    </w:p>
    <w:p>
      <w:pPr>
        <w:ind w:left="440" w:right="300" w:hanging="383"/>
        <w:spacing w:after="0" w:line="234" w:lineRule="auto"/>
        <w:tabs>
          <w:tab w:leader="none" w:pos="4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real estate taxes, common area maintenance, insurance and percentage rent. Included in the line item “Selling, general and administrative expenses” in the Company’s Consolidated Statements of Income (Loss).</w:t>
      </w:r>
    </w:p>
    <w:p>
      <w:pPr>
        <w:spacing w:after="0" w:line="1" w:lineRule="exact"/>
        <w:rPr>
          <w:rFonts w:ascii="Arial" w:cs="Arial" w:eastAsia="Arial" w:hAnsi="Arial"/>
          <w:sz w:val="18"/>
          <w:szCs w:val="18"/>
          <w:color w:val="auto"/>
        </w:rPr>
      </w:pPr>
    </w:p>
    <w:p>
      <w:pPr>
        <w:ind w:left="420" w:hanging="363"/>
        <w:spacing w:after="0" w:line="234"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the line item “Other revenue” in the Company’s Consolidated Statements of Income (Loss).</w:t>
      </w:r>
    </w:p>
    <w:p>
      <w:pPr>
        <w:ind w:left="420" w:hanging="36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an immaterial amount of short-term lease cost.</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disclosures related to leases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January 29, 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January 30, 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February 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Cash paid for amounts included in the measurement of lease</w:t>
            </w:r>
          </w:p>
        </w:tc>
        <w:tc>
          <w:tcPr>
            <w:tcW w:w="24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Cash payments arising from operating lease liabilities (a)</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509,971</w:t>
            </w: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409,750</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401,575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Cash payments for the principal portion of finance lease liabilities</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2,932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w:t>
            </w:r>
          </w:p>
        </w:tc>
        <w:tc>
          <w:tcPr>
            <w:tcW w:w="240" w:type="dxa"/>
            <w:vAlign w:val="bottom"/>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00"/>
              <w:spacing w:after="0" w:line="162" w:lineRule="exact"/>
              <w:rPr>
                <w:sz w:val="20"/>
                <w:szCs w:val="20"/>
                <w:color w:val="auto"/>
              </w:rPr>
            </w:pPr>
            <w:r>
              <w:rPr>
                <w:rFonts w:ascii="Arial" w:cs="Arial" w:eastAsia="Arial" w:hAnsi="Arial"/>
                <w:sz w:val="18"/>
                <w:szCs w:val="18"/>
                <w:color w:val="auto"/>
                <w:w w:val="98"/>
              </w:rPr>
              <w:t>Cash payments for the interest portion of finance lease liabilities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3,111</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3,394</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0"/>
              <w:spacing w:after="0"/>
              <w:rPr>
                <w:sz w:val="20"/>
                <w:szCs w:val="20"/>
                <w:color w:val="auto"/>
              </w:rPr>
            </w:pPr>
            <w:r>
              <w:rPr>
                <w:rFonts w:ascii="Arial" w:cs="Arial" w:eastAsia="Arial" w:hAnsi="Arial"/>
                <w:sz w:val="18"/>
                <w:szCs w:val="18"/>
                <w:color w:val="auto"/>
              </w:rPr>
              <w:t>(a)</w:t>
            </w: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Supplemental non-cash information:</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00"/>
              <w:spacing w:after="0" w:line="162" w:lineRule="exact"/>
              <w:rPr>
                <w:sz w:val="20"/>
                <w:szCs w:val="20"/>
                <w:color w:val="auto"/>
              </w:rPr>
            </w:pPr>
            <w:r>
              <w:rPr>
                <w:rFonts w:ascii="Arial" w:cs="Arial" w:eastAsia="Arial" w:hAnsi="Arial"/>
                <w:sz w:val="18"/>
                <w:szCs w:val="18"/>
                <w:color w:val="auto"/>
              </w:rPr>
              <w:t>Operating lease liabilities arising from obtaining right-of-use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516,545</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413,068</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690,827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assets</w:t>
            </w:r>
          </w:p>
        </w:tc>
        <w:tc>
          <w:tcPr>
            <w:tcW w:w="2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20" w:hanging="363"/>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within operating activities in the Company’s Consolidated Statements of Cash Flows.</w:t>
      </w:r>
    </w:p>
    <w:p>
      <w:pPr>
        <w:spacing w:after="0" w:line="11" w:lineRule="exact"/>
        <w:rPr>
          <w:rFonts w:ascii="Arial" w:cs="Arial" w:eastAsia="Arial" w:hAnsi="Arial"/>
          <w:sz w:val="18"/>
          <w:szCs w:val="18"/>
          <w:color w:val="auto"/>
        </w:rPr>
      </w:pPr>
    </w:p>
    <w:p>
      <w:pPr>
        <w:ind w:left="420" w:hanging="363"/>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Included within financing activities in the Company’s Consolidated Statements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Retirement Plans</w:t>
      </w:r>
    </w:p>
    <w:p>
      <w:pPr>
        <w:spacing w:after="0" w:line="10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maintains separate defined contribution 401(k) retirement savings and profit-sharing plans covering employees in the United States and Puerto Rico who meet specified age and service requirements. The discretionary profit sharing component (which the Company has not utilized since 2005 and has no current plans to utilize) is entirely funded by the Company, and the Company also makes additional matching 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w:t>
      </w:r>
    </w:p>
    <w:p>
      <w:pPr>
        <w:spacing w:after="0" w:line="15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 recorded $11.4 million, $10.2 million and $10.0 million of 401(k) Plan match expense during Fiscal 2021, Fiscal 2020 and Fiscal 2019 respectively, which is included in the line item “Selling, general and administrative expenses” on the Company’s Consolidated Statements of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 was as follows for Fiscal 2021, Fiscal 2020 and Fiscal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b w:val="1"/>
                <w:bCs w:val="1"/>
                <w:i w:val="1"/>
                <w:iCs w:val="1"/>
                <w:color w:val="auto"/>
                <w:w w:val="91"/>
              </w:rPr>
              <w:t>(in thousands)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1"/>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133"/>
        </w:trPr>
        <w:tc>
          <w:tcPr>
            <w:tcW w:w="11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1"/>
              <w:spacing w:after="0" w:line="133" w:lineRule="exact"/>
              <w:rPr>
                <w:sz w:val="20"/>
                <w:szCs w:val="20"/>
                <w:color w:val="auto"/>
              </w:rPr>
            </w:pPr>
            <w:r>
              <w:rPr>
                <w:rFonts w:ascii="Arial" w:cs="Arial" w:eastAsia="Arial" w:hAnsi="Arial"/>
                <w:sz w:val="14"/>
                <w:szCs w:val="14"/>
                <w:b w:val="1"/>
                <w:bCs w:val="1"/>
                <w:color w:val="auto"/>
                <w:w w:val="93"/>
              </w:rPr>
              <w:t>January 30,</w:t>
            </w:r>
          </w:p>
        </w:tc>
        <w:tc>
          <w:tcPr>
            <w:tcW w:w="160" w:type="dxa"/>
            <w:vAlign w:val="bottom"/>
          </w:tcPr>
          <w:p>
            <w:pPr>
              <w:spacing w:after="0"/>
              <w:rPr>
                <w:sz w:val="11"/>
                <w:szCs w:val="11"/>
                <w:color w:val="auto"/>
              </w:rPr>
            </w:pPr>
          </w:p>
        </w:tc>
        <w:tc>
          <w:tcPr>
            <w:tcW w:w="110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February 1,</w:t>
            </w:r>
          </w:p>
        </w:tc>
        <w:tc>
          <w:tcPr>
            <w:tcW w:w="1120" w:type="dxa"/>
            <w:vAlign w:val="bottom"/>
          </w:tcPr>
          <w:p>
            <w:pPr>
              <w:spacing w:after="0"/>
              <w:rPr>
                <w:sz w:val="11"/>
                <w:szCs w:val="11"/>
                <w:color w:val="auto"/>
              </w:rPr>
            </w:pPr>
          </w:p>
        </w:tc>
      </w:tr>
      <w:tr>
        <w:trPr>
          <w:trHeight w:val="185"/>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Domestic</w:t>
            </w: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533,906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(441,473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573,399</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11,392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7,126</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income (loss) before income taxes</w:t>
            </w:r>
          </w:p>
        </w:tc>
        <w:tc>
          <w:tcPr>
            <w:tcW w:w="1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545,298</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(437,623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580,525</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-496570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-479425</wp:posOffset>
            </wp:positionV>
            <wp:extent cx="43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-496570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-479425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-496570</wp:posOffset>
            </wp:positionV>
            <wp:extent cx="342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-479425</wp:posOffset>
            </wp:positionV>
            <wp:extent cx="342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Income tax expense (benefit) was as follows for Fiscal 2021, Fiscal 2020 and Fiscal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350"/>
              <w:spacing w:after="0" w:line="133" w:lineRule="exact"/>
              <w:rPr>
                <w:sz w:val="20"/>
                <w:szCs w:val="20"/>
                <w:color w:val="auto"/>
              </w:rPr>
            </w:pPr>
            <w:r>
              <w:rPr>
                <w:rFonts w:ascii="Arial" w:cs="Arial" w:eastAsia="Arial" w:hAnsi="Arial"/>
                <w:sz w:val="14"/>
                <w:szCs w:val="14"/>
                <w:b w:val="1"/>
                <w:bCs w:val="1"/>
                <w:color w:val="auto"/>
              </w:rPr>
              <w:t>January 30,</w:t>
            </w:r>
          </w:p>
        </w:tc>
        <w:tc>
          <w:tcPr>
            <w:tcW w:w="160" w:type="dxa"/>
            <w:vAlign w:val="bottom"/>
          </w:tcPr>
          <w:p>
            <w:pPr>
              <w:spacing w:after="0"/>
              <w:rPr>
                <w:sz w:val="11"/>
                <w:szCs w:val="11"/>
                <w:color w:val="auto"/>
              </w:rPr>
            </w:pPr>
          </w:p>
        </w:tc>
        <w:tc>
          <w:tcPr>
            <w:tcW w:w="102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0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69,146</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(210,304 )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11,546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12,964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1,175</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84,507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(196,165 )</w:t>
            </w: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32,217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19,272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(38,816 )</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51,952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(24,959 )</w:t>
            </w: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income tax expense (benefit)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136,459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(221,124</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115,409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-956310</wp:posOffset>
            </wp:positionV>
            <wp:extent cx="5143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-956310</wp:posOffset>
            </wp:positionV>
            <wp:extent cx="5969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-956310</wp:posOffset>
            </wp:positionV>
            <wp:extent cx="596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-296545</wp:posOffset>
            </wp:positionV>
            <wp:extent cx="514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-296545</wp:posOffset>
            </wp:positionV>
            <wp:extent cx="5969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rate reconciliations were as follows for Fiscal 2021, Fiscal 2020 and Fiscal 2019:</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6"/>
              </w:rPr>
              <w:t>Fiscal Year Ended</w:t>
            </w: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4900" w:type="dxa"/>
            <w:vAlign w:val="bottom"/>
          </w:tcPr>
          <w:p>
            <w:pPr>
              <w:spacing w:after="0"/>
              <w:rPr>
                <w:sz w:val="11"/>
                <w:szCs w:val="11"/>
                <w:color w:val="auto"/>
              </w:rPr>
            </w:pPr>
          </w:p>
        </w:tc>
        <w:tc>
          <w:tcPr>
            <w:tcW w:w="1280" w:type="dxa"/>
            <w:vAlign w:val="bottom"/>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1"/>
                <w:szCs w:val="11"/>
                <w:color w:val="auto"/>
              </w:rPr>
            </w:pPr>
          </w:p>
        </w:tc>
        <w:tc>
          <w:tcPr>
            <w:tcW w:w="1360" w:type="dxa"/>
            <w:vAlign w:val="bottom"/>
            <w:gridSpan w:val="2"/>
          </w:tcPr>
          <w:p>
            <w:pPr>
              <w:jc w:val="right"/>
              <w:ind w:right="390"/>
              <w:spacing w:after="0" w:line="133" w:lineRule="exact"/>
              <w:rPr>
                <w:sz w:val="20"/>
                <w:szCs w:val="20"/>
                <w:color w:val="auto"/>
              </w:rPr>
            </w:pPr>
            <w:r>
              <w:rPr>
                <w:rFonts w:ascii="Arial" w:cs="Arial" w:eastAsia="Arial" w:hAnsi="Arial"/>
                <w:sz w:val="14"/>
                <w:szCs w:val="14"/>
                <w:b w:val="1"/>
                <w:bCs w:val="1"/>
                <w:color w:val="auto"/>
              </w:rPr>
              <w:t>January 30,</w:t>
            </w:r>
          </w:p>
        </w:tc>
        <w:tc>
          <w:tcPr>
            <w:tcW w:w="106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1"/>
                <w:szCs w:val="11"/>
                <w:color w:val="auto"/>
              </w:rPr>
            </w:pPr>
          </w:p>
        </w:tc>
      </w:tr>
      <w:tr>
        <w:trPr>
          <w:trHeight w:val="185"/>
        </w:trPr>
        <w:tc>
          <w:tcPr>
            <w:tcW w:w="490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16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Tax at statutory rate</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Excess tax benefit from stock compensation</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(4.8 )</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(5.3 )</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(1.6 )</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7"/>
                <w:szCs w:val="17"/>
                <w:color w:val="auto"/>
              </w:rPr>
            </w:pPr>
          </w:p>
        </w:tc>
        <w:tc>
          <w:tcPr>
            <w:tcW w:w="13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Carryback tax rate differential</w:t>
            </w: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5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(1.8 )</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4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extinguishment of convertible debt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(0.5 )</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tcPr>
          <w:p>
            <w:pPr>
              <w:spacing w:after="0"/>
              <w:rPr>
                <w:sz w:val="17"/>
                <w:szCs w:val="17"/>
                <w:color w:val="auto"/>
              </w:rPr>
            </w:pPr>
          </w:p>
        </w:tc>
      </w:tr>
      <w:tr>
        <w:trPr>
          <w:trHeight w:val="23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Effective tax rate</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w:t>
            </w:r>
          </w:p>
        </w:tc>
        <w:tc>
          <w:tcPr>
            <w:tcW w:w="34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1625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1625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1543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1543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1543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1543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1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income tax benefit in the prior year is a result of the pre-tax loss and the carry-back of net operating losses arising in Fiscal 2020 to the five prior tax years, as permitted under the CARES Act. The higher effective tax rate in the prior year is a function of losses facilitating a refund receivable upon amending previously filed returns at a 35% tax rate. Additionally, excess tax benefit from stock compensation drove an increase in the tax rate related to pre-tax loss in Fiscal 2020, compared to a decrease in the tax rate related to pre-tax income in Fiscal 2021.</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effects of temporary differences are included in deferred tax accounts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January 29, 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January 30, 2021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1"/>
                <w:szCs w:val="11"/>
                <w:color w:val="auto"/>
              </w:rPr>
            </w:pPr>
          </w:p>
        </w:tc>
        <w:tc>
          <w:tcPr>
            <w:tcW w:w="96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620"/>
              <w:spacing w:after="0" w:line="133" w:lineRule="exact"/>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11"/>
                <w:szCs w:val="11"/>
                <w:color w:val="auto"/>
              </w:rPr>
            </w:pPr>
          </w:p>
        </w:tc>
        <w:tc>
          <w:tcPr>
            <w:tcW w:w="900" w:type="dxa"/>
            <w:vAlign w:val="bottom"/>
          </w:tcPr>
          <w:p>
            <w:pPr>
              <w:jc w:val="right"/>
              <w:ind w:right="333"/>
              <w:spacing w:after="0" w:line="133"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Non-current deferred tax assets and liabilities: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60" w:type="dxa"/>
            <w:vAlign w:val="bottom"/>
          </w:tcPr>
          <w:p>
            <w:pPr>
              <w:jc w:val="right"/>
              <w:ind w:right="174"/>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4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basis adjustments</w:t>
            </w:r>
          </w:p>
        </w:tc>
        <w:tc>
          <w:tcPr>
            <w:tcW w:w="8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253,097</w:t>
            </w:r>
          </w:p>
        </w:tc>
        <w:tc>
          <w:tcPr>
            <w:tcW w:w="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225,203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lease liability</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745,300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705,968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asset</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687,128</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656,193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Intangibles—indefinite-lived</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64,093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64,459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30,860</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Employee benefit compensation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17,703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21,015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 net operating losses (net of federal benefit)</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25,450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42,991</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13,883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10,386</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(12,864 )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(12,957 )</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non-current deferred tax assets and liabilities</w:t>
            </w:r>
          </w:p>
        </w:tc>
        <w:tc>
          <w:tcPr>
            <w:tcW w:w="6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788,254</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1,004,318</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781,286</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976,715</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400" w:type="dxa"/>
            <w:vAlign w:val="bottom"/>
          </w:tcPr>
          <w:p>
            <w:pPr>
              <w:spacing w:after="0" w:line="183" w:lineRule="exact"/>
              <w:rPr>
                <w:sz w:val="20"/>
                <w:szCs w:val="20"/>
                <w:color w:val="auto"/>
              </w:rPr>
            </w:pPr>
            <w:r>
              <w:rPr>
                <w:rFonts w:ascii="Arial" w:cs="Arial" w:eastAsia="Arial" w:hAnsi="Arial"/>
                <w:sz w:val="18"/>
                <w:szCs w:val="18"/>
                <w:color w:val="auto"/>
              </w:rPr>
              <w:t>Net deferred tax liability</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216,064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195,429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75</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-650875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-633730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-650875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-633730</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-650875</wp:posOffset>
            </wp:positionV>
            <wp:extent cx="603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-633730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-650875</wp:posOffset>
            </wp:positionV>
            <wp:extent cx="431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-633730</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7" w:name="page78"/>
    <w:bookmarkEnd w:id="77"/>
    <w:p>
      <w:pPr>
        <w:ind w:firstLine="509"/>
        <w:spacing w:after="0" w:line="241" w:lineRule="auto"/>
        <w:rPr>
          <w:sz w:val="20"/>
          <w:szCs w:val="20"/>
          <w:color w:val="auto"/>
        </w:rPr>
      </w:pPr>
      <w:r>
        <w:rPr>
          <w:rFonts w:ascii="Arial" w:cs="Arial" w:eastAsia="Arial" w:hAnsi="Arial"/>
          <w:sz w:val="18"/>
          <w:szCs w:val="18"/>
          <w:color w:val="auto"/>
        </w:rPr>
        <w:t>As of January 29, 2022, the Company has a deferred tax asset related to net operating losses of $25.5 million, inclusive of $25.2 million of state net operating losses which will expire at various dates between 2022 and 2041 and $0.3 million of deferred tax assets recorded for Puerto Rico net operating loss carry-forwards that will expire in 2025. As of January 29, 2022, the Company had tax credit carry-forwards of $8.6 million, inclusive of state tax credit carry-forwards of $7.7 million that will begin to expire in 2023 and $0.9 million of Puerto Rico alternative minimum tax (AMT) credits that have an indefinite life.</w:t>
      </w:r>
    </w:p>
    <w:p>
      <w:pPr>
        <w:spacing w:after="0" w:line="81"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As of January 30, 2021, the Company had a deferred tax asset related to net operating losses of $43.0 million, inclusive of $42.7 million of state net operating losses, and $0.3 million of deferred tax assets recorded for Puerto Rico net operating loss carry-forwards. As of January 30, 2021, the Company had tax credit carry-forwards of $13.9 million, inclusive of federal tax credit carry-forwards of $4.8 million, state tax credit carry-forwards of $7.9 million, and $1.2 million of Puerto Rico AMT credits.</w:t>
      </w:r>
    </w:p>
    <w:p>
      <w:pPr>
        <w:spacing w:after="0" w:line="80"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The Company believes that it is more likely than not that the benefit from certain state net operating loss carry forwards and credits will not be realized. In recognition of this risk, the Company has provided a valuation allowance of $5.3 million on state net operating losses and $7.2 million on state tax credit carry forwards. In addition, the Company believes that it is more likely than not that the benefit from Puerto Rico net operating loss carry-forwards will not be realized. As a result, it has provided for a full valuation allowance of $0.3 million. If the Company's assumptions change and it determines it will be able to realize these net operating losses or credits, the tax benefits relating to any reversal of the valuation allowance on deferred tax assets as of January 29, 2022 will be recorded to the Company’s Consolidated Statement of Income (Loss). As of January 30, 2021, the Company provided a total valuation allowance of $13.0 million, inclusive of $5.3 of valuation allowance related to state net operating losses, $7.4 million related to tax credit carry-forwards and $0.3 million related to Puerto Rico.</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beginning and ending amount of gross unrecognized tax benefits (exclusive of interest and penalties) is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33"/>
        </w:trPr>
        <w:tc>
          <w:tcPr>
            <w:tcW w:w="5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5"/>
              <w:spacing w:after="0" w:line="13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r>
      <w:tr>
        <w:trPr>
          <w:trHeight w:val="148"/>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Unrecognized</w:t>
            </w: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Tax Benefits,</w:t>
            </w:r>
          </w:p>
        </w:tc>
      </w:tr>
      <w:tr>
        <w:trPr>
          <w:trHeight w:val="148"/>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Exclusive of</w:t>
            </w:r>
          </w:p>
        </w:tc>
      </w:tr>
      <w:tr>
        <w:trPr>
          <w:trHeight w:val="148"/>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Interest and</w:t>
            </w:r>
          </w:p>
        </w:tc>
      </w:tr>
      <w:tr>
        <w:trPr>
          <w:trHeight w:val="18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Penalties</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February 2, 2019</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8,927</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the current year</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Reduction for tax positions of prior years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(783 )</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(67 )</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February 1, 2020</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8,077</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the current year</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Reduction for tax positions of prior years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(1,269 )</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(396 )</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(72 )</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30, 2021</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6,340</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the current year</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Reduction for tax positions of prior years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(783 )</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(770 )</w:t>
            </w: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January 29, 2022</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right="280" w:firstLine="509"/>
        <w:spacing w:after="0" w:line="257" w:lineRule="auto"/>
        <w:rPr>
          <w:sz w:val="20"/>
          <w:szCs w:val="20"/>
          <w:color w:val="auto"/>
        </w:rPr>
      </w:pPr>
      <w:r>
        <w:rPr>
          <w:rFonts w:ascii="Arial" w:cs="Arial" w:eastAsia="Arial" w:hAnsi="Arial"/>
          <w:sz w:val="17"/>
          <w:szCs w:val="17"/>
          <w:color w:val="auto"/>
        </w:rPr>
        <w:t>As of January 29, 2022, the Company reported total unrecognized benefits of $4.8 million, of which $3.8 million would affect the Company’s effective tax rate if recognized. As a result of previous positions taken and current period activity, the Company recorded a net benefit of $1.2 million of interest and penalties during Fiscal 2021 in the line item “Income tax expense (benefit)” in the Company’s Consolidated Statements of Income (Loss). Cumulative interest and penalties of $9.1 million are recorded in the line item “Other liabilities” in the Company’s Consolidated Balance Sheet as of January 29, 2022. The Company recognizes interest and penalties related to unrecognized tax benefits as part of income taxes. Within the next twelve months, the Company does not expect any significant changes in its unrecognized tax benefits.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8" w:name="page79"/>
    <w:bookmarkEnd w:id="78"/>
    <w:p>
      <w:pPr>
        <w:ind w:right="40" w:firstLine="509"/>
        <w:spacing w:after="0" w:line="262" w:lineRule="auto"/>
        <w:rPr>
          <w:sz w:val="20"/>
          <w:szCs w:val="20"/>
          <w:color w:val="auto"/>
        </w:rPr>
      </w:pPr>
      <w:r>
        <w:rPr>
          <w:rFonts w:ascii="Arial" w:cs="Arial" w:eastAsia="Arial" w:hAnsi="Arial"/>
          <w:sz w:val="17"/>
          <w:szCs w:val="17"/>
          <w:color w:val="auto"/>
        </w:rPr>
        <w:t>As of January 30, 2021, the Company reported total unrecognized benefits of $6.3 million, of which $5.0 million would affect the Company’s effective tax rate if recognized. As a result of previous positions taken, the Company recorded a net benefit of $1.1 million of interest and penalties during Fiscal 2020 in the line item “Income tax expense (benefit)” in the Company’s Consolidated Statements of Income (Loss). Cumulative interest and penalties of $10.6 million are recorded in the line item “Other liabilities” in the Company’s Consolidated Balance Sheets as of January 30, 2021.</w:t>
      </w:r>
    </w:p>
    <w:p>
      <w:pPr>
        <w:spacing w:after="0" w:line="6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 files tax returns in the U.S. federal jurisdiction, Puerto Rico, and various state jurisdictions. The Company is open to examination by the IRS under the applicable statutes of limitations for Fiscal Years 2018 through 2021. The Company or its subsidiaries’ state and Puerto Rico income tax returns are open to audit for Fiscal Years 2017 through 2021, with a few exceptions, under the applicable statutes of limitations. There are ongoing state audits in several jurisdictions, and the Company has accrued for possible exposures as required under Topic No. 740. The Company does not expect the settlement of these audits to have a material impact to its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215"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31" w:lineRule="exact"/>
        <w:rPr>
          <w:sz w:val="20"/>
          <w:szCs w:val="20"/>
          <w:color w:val="auto"/>
        </w:rPr>
      </w:pPr>
    </w:p>
    <w:p>
      <w:pPr>
        <w:ind w:left="1840" w:right="140" w:hanging="1367"/>
        <w:spacing w:after="0" w:line="224"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109" w:lineRule="exact"/>
        <w:rPr>
          <w:sz w:val="20"/>
          <w:szCs w:val="20"/>
          <w:color w:val="auto"/>
        </w:rPr>
      </w:pPr>
    </w:p>
    <w:p>
      <w:pPr>
        <w:ind w:left="1840" w:right="60" w:hanging="1367"/>
        <w:spacing w:after="0" w:line="235"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1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17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Refer to Note 8, “Derivative Instruments and Hedging Activities,” for further discussion regarding the fair value of the Company’s interest rate cap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104" w:lineRule="exact"/>
        <w:rPr>
          <w:sz w:val="20"/>
          <w:szCs w:val="20"/>
          <w:color w:val="auto"/>
        </w:rPr>
      </w:pPr>
    </w:p>
    <w:p>
      <w:pPr>
        <w:ind w:right="840" w:firstLine="509"/>
        <w:spacing w:after="0" w:line="261" w:lineRule="auto"/>
        <w:rPr>
          <w:sz w:val="20"/>
          <w:szCs w:val="20"/>
          <w:color w:val="auto"/>
        </w:rPr>
      </w:pPr>
      <w:r>
        <w:rPr>
          <w:rFonts w:ascii="Arial" w:cs="Arial" w:eastAsia="Arial" w:hAnsi="Arial"/>
          <w:sz w:val="18"/>
          <w:szCs w:val="18"/>
          <w:color w:val="auto"/>
        </w:rPr>
        <w:t>The fair values of the Company’s financial assets and the hierarchy of the level of inputs as of January 29, 2022 and January 30, 2021 are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i w:val="1"/>
                <w:iCs w:val="1"/>
                <w:color w:val="auto"/>
                <w:w w:val="89"/>
              </w:rPr>
              <w:t>(in thousands)</w:t>
            </w:r>
          </w:p>
        </w:tc>
        <w:tc>
          <w:tcPr>
            <w:tcW w:w="116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center"/>
              <w:ind w:right="222"/>
              <w:spacing w:after="0"/>
              <w:rPr>
                <w:sz w:val="20"/>
                <w:szCs w:val="20"/>
                <w:color w:val="auto"/>
              </w:rPr>
            </w:pPr>
            <w:r>
              <w:rPr>
                <w:rFonts w:ascii="Arial" w:cs="Arial" w:eastAsia="Arial" w:hAnsi="Arial"/>
                <w:sz w:val="14"/>
                <w:szCs w:val="14"/>
                <w:b w:val="1"/>
                <w:bCs w:val="1"/>
                <w:color w:val="auto"/>
                <w:w w:val="93"/>
              </w:rPr>
              <w:t>Fair Value Measurements at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64"/>
              <w:spacing w:after="0" w:line="160" w:lineRule="exact"/>
              <w:rPr>
                <w:sz w:val="20"/>
                <w:szCs w:val="20"/>
                <w:color w:val="auto"/>
              </w:rPr>
            </w:pPr>
            <w:r>
              <w:rPr>
                <w:rFonts w:ascii="Arial" w:cs="Arial" w:eastAsia="Arial" w:hAnsi="Arial"/>
                <w:sz w:val="14"/>
                <w:szCs w:val="14"/>
                <w:b w:val="1"/>
                <w:bCs w:val="1"/>
                <w:color w:val="auto"/>
                <w:w w:val="93"/>
              </w:rPr>
              <w:t>January 29,</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center"/>
              <w:ind w:right="322"/>
              <w:spacing w:after="0" w:line="160" w:lineRule="exact"/>
              <w:rPr>
                <w:sz w:val="20"/>
                <w:szCs w:val="20"/>
                <w:color w:val="auto"/>
              </w:rPr>
            </w:pPr>
            <w:r>
              <w:rPr>
                <w:rFonts w:ascii="Arial" w:cs="Arial" w:eastAsia="Arial" w:hAnsi="Arial"/>
                <w:sz w:val="14"/>
                <w:szCs w:val="14"/>
                <w:b w:val="1"/>
                <w:bCs w:val="1"/>
                <w:color w:val="auto"/>
                <w:w w:val="93"/>
              </w:rPr>
              <w:t>January 30,</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86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2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equivalents (including restricted cash)</w:t>
            </w:r>
          </w:p>
        </w:tc>
        <w:tc>
          <w:tcPr>
            <w:tcW w:w="2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701,638</w:t>
            </w:r>
          </w:p>
        </w:tc>
        <w:tc>
          <w:tcPr>
            <w:tcW w:w="5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1,001,475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20" w:type="dxa"/>
            <w:vAlign w:val="bottom"/>
          </w:tcPr>
          <w:p>
            <w:pPr>
              <w:jc w:val="right"/>
              <w:ind w:right="121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Financial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values of the Company’s financial liabilities are summarized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29, 2022</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January 30, 2021</w:t>
            </w:r>
          </w:p>
        </w:tc>
        <w:tc>
          <w:tcPr>
            <w:tcW w:w="60" w:type="dxa"/>
            <w:vAlign w:val="bottom"/>
          </w:tcPr>
          <w:p>
            <w:pPr>
              <w:spacing w:after="0"/>
              <w:rPr>
                <w:sz w:val="14"/>
                <w:szCs w:val="14"/>
                <w:color w:val="auto"/>
              </w:rPr>
            </w:pPr>
          </w:p>
        </w:tc>
      </w:tr>
      <w:tr>
        <w:trPr>
          <w:trHeight w:val="133"/>
        </w:trPr>
        <w:tc>
          <w:tcPr>
            <w:tcW w:w="5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396"/>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375"/>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85"/>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Term B-6 Loans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956,608</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955,412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Term B-5 Loans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961,415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955,406</w:t>
            </w:r>
          </w:p>
        </w:tc>
        <w:tc>
          <w:tcPr>
            <w:tcW w:w="6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572,322</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724,703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805,000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1,080,713</w:t>
            </w:r>
          </w:p>
        </w:tc>
        <w:tc>
          <w:tcPr>
            <w:tcW w:w="6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Secured Notes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320,625</w:t>
            </w:r>
          </w:p>
        </w:tc>
        <w:tc>
          <w:tcPr>
            <w:tcW w:w="6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ABL Line of Credit (a)</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line="182" w:lineRule="exact"/>
              <w:rPr>
                <w:sz w:val="20"/>
                <w:szCs w:val="20"/>
                <w:color w:val="auto"/>
              </w:rPr>
            </w:pPr>
            <w:r>
              <w:rPr>
                <w:rFonts w:ascii="Arial" w:cs="Arial" w:eastAsia="Arial" w:hAnsi="Arial"/>
                <w:sz w:val="18"/>
                <w:szCs w:val="18"/>
                <w:color w:val="auto"/>
              </w:rPr>
              <w:t>Total debt (b)</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1,528,930</w:t>
            </w:r>
          </w:p>
        </w:tc>
        <w:tc>
          <w:tcPr>
            <w:tcW w:w="64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w w:val="94"/>
              </w:rPr>
              <w:t>1,680,115</w:t>
            </w:r>
          </w:p>
        </w:tc>
        <w:tc>
          <w:tcPr>
            <w:tcW w:w="52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2,066,415</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2,356,744</w:t>
            </w:r>
          </w:p>
        </w:tc>
        <w:tc>
          <w:tcPr>
            <w:tcW w:w="6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-159385</wp:posOffset>
            </wp:positionV>
            <wp:extent cx="431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431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wp:posOffset>
            </wp:positionV>
            <wp:extent cx="3429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ind w:left="1020" w:right="4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the Company has any outstanding borrowings under the ABL Line of Credit, the fair value would approximate its reported value, because the interest rate is variable and reflects current market rates, due to short term nature.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finance lease obligations, original-issue discount and deferred financing costs.</w:t>
      </w:r>
    </w:p>
    <w:p>
      <w:pPr>
        <w:spacing w:after="0" w:line="21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year end dates. The estimated fair values of the Company’s debt are classified as Level 2 in the fair value hierarchy, and are based on current market quotes received from inactive markets. Although management is not aware of any factors that could significantly affect the estimated fair value amounts, such amounts have not been comprehensively revalued for purposes of these financial statements since that date, and current estimates of fair value may differ from amounts presented herein.</w:t>
      </w:r>
    </w:p>
    <w:p>
      <w:pPr>
        <w:spacing w:after="0" w:line="145" w:lineRule="exact"/>
        <w:rPr>
          <w:sz w:val="20"/>
          <w:szCs w:val="20"/>
          <w:color w:val="auto"/>
        </w:rPr>
      </w:pPr>
    </w:p>
    <w:p>
      <w:pPr>
        <w:ind w:right="8420" w:firstLine="8"/>
        <w:spacing w:after="0" w:line="362" w:lineRule="auto"/>
        <w:tabs>
          <w:tab w:leader="none" w:pos="27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1"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Like many retailers, the Company has been named in potential class or collective actions on behalf of groups alleging violations of federal and state wage and hour and other labor statutes, and alleged violations of state consumer and/or privacy protection and other statutes. In the normal course of business, the Company is also party to representative claims under the California Private Attorneys’ General Act and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 Company had irrevocable letters of credit in the amounts of $55.4 million and $54.9 million as of January 29, 2022 and January 30, 2021, respectively.</w:t>
      </w:r>
    </w:p>
    <w:p>
      <w:pPr>
        <w:spacing w:after="0" w:line="171" w:lineRule="exact"/>
        <w:rPr>
          <w:sz w:val="20"/>
          <w:szCs w:val="20"/>
          <w:color w:val="auto"/>
        </w:rPr>
      </w:pPr>
    </w:p>
    <w:p>
      <w:pPr>
        <w:ind w:right="80" w:firstLine="509"/>
        <w:spacing w:after="0" w:line="282" w:lineRule="auto"/>
        <w:rPr>
          <w:sz w:val="20"/>
          <w:szCs w:val="20"/>
          <w:color w:val="auto"/>
        </w:rPr>
      </w:pPr>
      <w:r>
        <w:rPr>
          <w:rFonts w:ascii="Arial" w:cs="Arial" w:eastAsia="Arial" w:hAnsi="Arial"/>
          <w:sz w:val="16"/>
          <w:szCs w:val="16"/>
          <w:color w:val="auto"/>
        </w:rPr>
        <w:t>Letters of credit outstanding as of January 29, 2022 and January 30, 2021 amounted to $48.4 million and $46.8 million, respectively, guaranteeing performance under various lease agreements, insurance contracts, and utility agreements. The Company also had outstanding letters of credit arrangements</w:t>
      </w:r>
    </w:p>
    <w:p>
      <w:pPr>
        <w:ind w:right="300"/>
        <w:spacing w:after="0" w:line="255" w:lineRule="auto"/>
        <w:rPr>
          <w:sz w:val="20"/>
          <w:szCs w:val="20"/>
          <w:color w:val="auto"/>
        </w:rPr>
      </w:pPr>
      <w:r>
        <w:rPr>
          <w:rFonts w:ascii="Arial" w:cs="Arial" w:eastAsia="Arial" w:hAnsi="Arial"/>
          <w:sz w:val="18"/>
          <w:szCs w:val="18"/>
          <w:color w:val="auto"/>
        </w:rPr>
        <w:t>in the aggregate amount of $7.1 million and $8.2 million at January 29, 2022 and January 30, 2021, respectively, related to certain merchandising agreements. The Company had $594.6 million and $476.8 million available under the ABL Line of Credit as of January 29, 2022 and January 30, 2021,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Purchase Commitments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$1,396.4 million of purchase commitments related to goods that were not received as of January 29,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1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brother-in-law of one of the Company’s former Executive Vice Presidents is an independent sales representative of one of the Company’s suppliers of merchandise inventory. This relationship predated the commencement of the former Executive Vice President’s employment with the Company. The Company has determined that the dollar amount of purchases through such supplier represents an insignificant amount of its inventory purchases. The Executive Vice President retired from the Company during the second quarter of Fiscal 2021.</w:t>
      </w:r>
    </w:p>
    <w:p>
      <w:pPr>
        <w:spacing w:after="0" w:line="3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Schedule I</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FINANCIAL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REGISTRANT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Burlington Stores, Inc.</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w w:val="85"/>
              </w:rPr>
              <w:t>As of</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January 29,</w:t>
            </w:r>
          </w:p>
        </w:tc>
        <w:tc>
          <w:tcPr>
            <w:tcW w:w="360" w:type="dxa"/>
            <w:vAlign w:val="bottom"/>
          </w:tcPr>
          <w:p>
            <w:pPr>
              <w:spacing w:after="0"/>
              <w:rPr>
                <w:sz w:val="11"/>
                <w:szCs w:val="11"/>
                <w:color w:val="auto"/>
              </w:rPr>
            </w:pPr>
          </w:p>
        </w:tc>
        <w:tc>
          <w:tcPr>
            <w:tcW w:w="122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5"/>
                <w:szCs w:val="15"/>
                <w:color w:val="auto"/>
              </w:rPr>
            </w:pPr>
          </w:p>
        </w:tc>
        <w:tc>
          <w:tcPr>
            <w:tcW w:w="132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503</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503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1,322,475</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1,098,823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1,322,978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 term debt</w:t>
            </w:r>
          </w:p>
        </w:tc>
        <w:tc>
          <w:tcPr>
            <w:tcW w:w="2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562,561</w:t>
            </w: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634,120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760,417</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464,754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1,322,978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-1239520</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-1239520</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-973455</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REGISTRANT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Burlington Stores,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 (Loss) and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w w:val="94"/>
              </w:rPr>
              <w:t>Fiscal Years Ended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January 29,</w:t>
            </w: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January 30,</w:t>
            </w:r>
          </w:p>
        </w:tc>
        <w:tc>
          <w:tcPr>
            <w:tcW w:w="4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589"/>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389"/>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from equity investment</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0"/>
              <w:spacing w:after="0" w:line="196" w:lineRule="exact"/>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89"/>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Provision for income tax</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89"/>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from equity investment, net of income taxes</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408,839</w:t>
            </w:r>
          </w:p>
        </w:tc>
        <w:tc>
          <w:tcPr>
            <w:tcW w:w="4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(216,499</w:t>
            </w:r>
          </w:p>
        </w:tc>
        <w:tc>
          <w:tcPr>
            <w:tcW w:w="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465,116</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408,839</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9"/>
              <w:spacing w:after="0" w:line="196" w:lineRule="exact"/>
              <w:rPr>
                <w:sz w:val="20"/>
                <w:szCs w:val="20"/>
                <w:color w:val="auto"/>
              </w:rPr>
            </w:pPr>
            <w:r>
              <w:rPr>
                <w:rFonts w:ascii="Arial" w:cs="Arial" w:eastAsia="Arial" w:hAnsi="Arial"/>
                <w:sz w:val="18"/>
                <w:szCs w:val="18"/>
                <w:color w:val="auto"/>
              </w:rPr>
              <w:t>(216,499 )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465,116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Interest rate derivative contracts: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gains (losses) arising during the period</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7,931</w:t>
            </w: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09"/>
              <w:spacing w:after="0" w:line="202" w:lineRule="exact"/>
              <w:rPr>
                <w:sz w:val="20"/>
                <w:szCs w:val="20"/>
                <w:color w:val="auto"/>
              </w:rPr>
            </w:pPr>
            <w:r>
              <w:rPr>
                <w:rFonts w:ascii="Arial" w:cs="Arial" w:eastAsia="Arial" w:hAnsi="Arial"/>
                <w:sz w:val="18"/>
                <w:szCs w:val="18"/>
                <w:color w:val="auto"/>
              </w:rPr>
              <w:t>(11,458 )</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(16,606 )</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Net reclassification into earnings during the period</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10,643</w:t>
            </w: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7,403</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427,413</w:t>
            </w:r>
          </w:p>
        </w:tc>
        <w:tc>
          <w:tcPr>
            <w:tcW w:w="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(220,554</w:t>
            </w:r>
          </w:p>
        </w:tc>
        <w:tc>
          <w:tcPr>
            <w:tcW w:w="46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0"/>
                <w:szCs w:val="10"/>
                <w:color w:val="auto"/>
              </w:rPr>
              <w:t xml:space="preserve"> (1)</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449,769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-2275205</wp:posOffset>
            </wp:positionV>
            <wp:extent cx="102235" cy="2400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235" cy="24003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-2275205</wp:posOffset>
            </wp:positionV>
            <wp:extent cx="93980" cy="2400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-2275205</wp:posOffset>
            </wp:positionV>
            <wp:extent cx="93980" cy="2400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-1384935</wp:posOffset>
            </wp:positionV>
            <wp:extent cx="768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-1384935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-1384935</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-1110615</wp:posOffset>
            </wp:positionV>
            <wp:extent cx="768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-1110615</wp:posOffset>
            </wp:positionV>
            <wp:extent cx="685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-1110615</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-836295</wp:posOffset>
            </wp:positionV>
            <wp:extent cx="7683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-836295</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-836295</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-25400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Financial Statements</w:t>
      </w:r>
    </w:p>
    <w:p>
      <w:pPr>
        <w:spacing w:after="0" w:line="279" w:lineRule="exact"/>
        <w:rPr>
          <w:sz w:val="20"/>
          <w:szCs w:val="20"/>
          <w:color w:val="auto"/>
        </w:rPr>
      </w:pPr>
    </w:p>
    <w:p>
      <w:pPr>
        <w:ind w:firstLine="8"/>
        <w:spacing w:after="0" w:line="255" w:lineRule="auto"/>
        <w:tabs>
          <w:tab w:leader="none" w:pos="202" w:val="left"/>
        </w:tabs>
        <w:numPr>
          <w:ilvl w:val="0"/>
          <w:numId w:val="45"/>
        </w:numPr>
        <w:rPr>
          <w:rFonts w:ascii="Arial" w:cs="Arial" w:eastAsia="Arial" w:hAnsi="Arial"/>
          <w:sz w:val="13"/>
          <w:szCs w:val="13"/>
          <w:color w:val="auto"/>
        </w:rPr>
      </w:pPr>
      <w:r>
        <w:rPr>
          <w:rFonts w:ascii="Arial" w:cs="Arial" w:eastAsia="Arial" w:hAnsi="Arial"/>
          <w:sz w:val="17"/>
          <w:szCs w:val="17"/>
          <w:color w:val="auto"/>
        </w:rPr>
        <w:t>During the current year financial reporting process, management determined that the previously reported Total comprehensive income (loss) of the Parent Company did not include the components of Other comprehensive income (loss) of the Parent Company. As a result, the accompanying Condensed Statements of Income and Comprehensive Income (Loss) for the years ended January 30, 2021 and February 1, 2020 have been revised to correct the presentation of Total comprehensive income (loss) to include the components of Other comprehensive income (loss) of the Parent Company. The correction of this presentation had no impact on previously reported Net income (loss) of the Parent Company and resulted in an increase in previously reported Total comprehensive loss from $216.5 million to $220.6 million for the year ended January 30, 2021 and a decrease in previously reported Total comprehensive income from $465.1 million to $449.8 million for the year ended February 1,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REGISTRANT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Information</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Burlington Stores, Inc.</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Fiscal Years Ended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15"/>
              <w:spacing w:after="0" w:line="133" w:lineRule="exact"/>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contribution from (payment to) subsidiaries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428,888</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6"/>
                <w:szCs w:val="16"/>
                <w:color w:val="auto"/>
              </w:rPr>
              <w:t xml:space="preserve">(753,404 ) </w:t>
            </w:r>
            <w:r>
              <w:rPr>
                <w:rFonts w:ascii="Arial" w:cs="Arial" w:eastAsia="Arial" w:hAnsi="Arial"/>
                <w:sz w:val="23"/>
                <w:szCs w:val="23"/>
                <w:color w:val="auto"/>
                <w:vertAlign w:val="superscript"/>
              </w:rPr>
              <w:t>(1)</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288,871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428,888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(753,404 )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288,871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Proceeds from long term debt - Convertible Notes</w:t>
            </w:r>
          </w:p>
        </w:tc>
        <w:tc>
          <w:tcPr>
            <w:tcW w:w="220" w:type="dxa"/>
            <w:vAlign w:val="bottom"/>
          </w:tcPr>
          <w:p>
            <w:pPr>
              <w:spacing w:after="0"/>
              <w:rPr>
                <w:sz w:val="17"/>
                <w:szCs w:val="17"/>
                <w:color w:val="auto"/>
              </w:rPr>
            </w:pPr>
          </w:p>
        </w:tc>
        <w:tc>
          <w:tcPr>
            <w:tcW w:w="152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805,000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Principal payment on long term debt—Convertible Notes</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(201,695 )</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Purchase of treasury shares</w:t>
            </w:r>
          </w:p>
        </w:tc>
        <w:tc>
          <w:tcPr>
            <w:tcW w:w="220" w:type="dxa"/>
            <w:vAlign w:val="bottom"/>
          </w:tcPr>
          <w:p>
            <w:pPr>
              <w:spacing w:after="0"/>
              <w:rPr>
                <w:sz w:val="17"/>
                <w:szCs w:val="17"/>
                <w:color w:val="auto"/>
              </w:rPr>
            </w:pPr>
          </w:p>
        </w:tc>
        <w:tc>
          <w:tcPr>
            <w:tcW w:w="15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(266,628 )</w:t>
            </w:r>
          </w:p>
        </w:tc>
        <w:tc>
          <w:tcPr>
            <w:tcW w:w="16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(65,526 )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(323,080 )</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stock option exercises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39,887</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34,924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34,222</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17"/>
                <w:szCs w:val="17"/>
                <w:color w:val="auto"/>
              </w:rPr>
            </w:pPr>
          </w:p>
        </w:tc>
        <w:tc>
          <w:tcPr>
            <w:tcW w:w="152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(20,994 )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(428,436</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753,404</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(288,858</w:t>
            </w:r>
          </w:p>
        </w:tc>
        <w:tc>
          <w:tcPr>
            <w:tcW w:w="360" w:type="dxa"/>
            <w:vAlign w:val="bottom"/>
            <w:tcBorders>
              <w:bottom w:val="single" w:sz="8" w:color="CFF0FC"/>
            </w:tcBorders>
            <w:gridSpan w:val="2"/>
            <w:shd w:val="clear" w:color="auto" w:fill="CFF0FC"/>
          </w:tcPr>
          <w:p>
            <w:pPr>
              <w:jc w:val="right"/>
              <w:ind w:right="13"/>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196"/>
        </w:trPr>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452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503</w:t>
            </w:r>
          </w:p>
        </w:tc>
        <w:tc>
          <w:tcPr>
            <w:tcW w:w="3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-2395220</wp:posOffset>
            </wp:positionV>
            <wp:extent cx="102870" cy="2400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24003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-2395220</wp:posOffset>
            </wp:positionV>
            <wp:extent cx="93980" cy="2400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-2395220</wp:posOffset>
            </wp:positionV>
            <wp:extent cx="93980" cy="2400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3980" cy="24003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-1744980</wp:posOffset>
            </wp:positionV>
            <wp:extent cx="7747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-1744980</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-1744980</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-1479550</wp:posOffset>
            </wp:positionV>
            <wp:extent cx="7747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-1479550</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-1479550</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-424815</wp:posOffset>
            </wp:positionV>
            <wp:extent cx="7747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-424815</wp:posOffset>
            </wp:positionV>
            <wp:extent cx="6858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-424815</wp:posOffset>
            </wp:positionV>
            <wp:extent cx="6858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-159385</wp:posOffset>
            </wp:positionV>
            <wp:extent cx="7747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-159385</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-159385</wp:posOffset>
            </wp:positionV>
            <wp:extent cx="685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66" w:lineRule="exact"/>
        <w:rPr>
          <w:sz w:val="20"/>
          <w:szCs w:val="20"/>
          <w:color w:val="auto"/>
        </w:rPr>
      </w:pPr>
    </w:p>
    <w:p>
      <w:pPr>
        <w:ind w:right="60" w:firstLine="8"/>
        <w:spacing w:after="0"/>
        <w:tabs>
          <w:tab w:leader="none" w:pos="202" w:val="left"/>
        </w:tabs>
        <w:numPr>
          <w:ilvl w:val="0"/>
          <w:numId w:val="46"/>
        </w:numPr>
        <w:rPr>
          <w:rFonts w:ascii="Arial" w:cs="Arial" w:eastAsia="Arial" w:hAnsi="Arial"/>
          <w:sz w:val="13"/>
          <w:szCs w:val="13"/>
          <w:color w:val="auto"/>
        </w:rPr>
      </w:pPr>
      <w:r>
        <w:rPr>
          <w:rFonts w:ascii="Arial" w:cs="Arial" w:eastAsia="Arial" w:hAnsi="Arial"/>
          <w:sz w:val="18"/>
          <w:szCs w:val="18"/>
          <w:color w:val="auto"/>
        </w:rPr>
        <w:t>During the current year financial reporting process, management determined that the Parent Company’s net investment activities in its subsidiary were incorrectly classified as Financing activities rather than Investing activities in the Company’s previously reported Condensed Statements of Cash Flows for the years ended January 30, 2021 and February 1, 2020. As a result, the accompanying Condensed Statements of Cash Flows have been revised to reclassify Intercompany financing transactions previously classified within Financing activities as a net payment to subsidiary of $753.4 million and a net contribution from subsidiary of $288.9 million to Net contribution from (payment to) subsidiaries within Investing activities for the years ended January 30, 2021 and February 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CONDENSED FINANCIAL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REGISTRANT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Information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Burlington Stores,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0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Burlington Stores, Inc. (the Parent Company) is a holding company that conducts substantially all of its business operations through its subsidiaries. The Parent Company’s ability to pay dividends on Parent Company’s common stock will be limited by restrictions on the ability of Parent Company and its subsidiaries to pay dividends or make distributions under the terms of current and future agreements governing the indebtedness of Parent Company’s subsidiaries. In addition to other baskets under the agreements governing its indebtedness, the Parent Company and its subsidiaries are permitted to make dividends and distributions under the Term Loan Facility so long as there is no event of default and the pro forma consolidated leverage ratio of the Parent Company and its subsidiaries does not exceed 3.50 to 1.00, and under the ABL Line of Credit as long as certain restricted payment conditions are satisfied.</w:t>
      </w:r>
    </w:p>
    <w:p>
      <w:pPr>
        <w:spacing w:after="0" w:line="162"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The accompanying Condensed Financial Statements include the accounts of the Parent Company and, on an equity basis, its consolidated subsidiaries and affiliates. Accordingly, these Condensed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Burlington Stores, Inc.’s audited Consolidated Financial Statements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Dividends</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As discussed above, the terms of current and future agreements governing the indebtedness of the Parent Company and its subsidiaries include, or may include, limitations on the ability of such subsidiaries and the Parent Company to pay dividends, subject to certain exceptions set forth in such agreements.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Non-cash stock compensation expense of $58.5 million, $55.8 million and $43.9 million has been pushed down to Parent Company’s subsidiaries for Fiscal 2021, Fiscal 2020 and Fiscal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 Term Debt</w:t>
      </w:r>
    </w:p>
    <w:p>
      <w:pPr>
        <w:spacing w:after="0" w:line="216"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On April 16, 2020, the Parent Company issued $805.0 million of Convertible Notes. The Convertible Notes are general unsecured obligations of the Parent Company. The Convertible Notes bear interest at a rate of 2.25% per year, payable semi-annually in cash, in arrears, on April 15 and October 15 of each year, beginning on October 15, 2020. The Convertible Notes will mature on April 15, 2025, unless earlier converted, redeemed or repurchased.</w:t>
      </w:r>
    </w:p>
    <w:p>
      <w:pPr>
        <w:spacing w:after="0" w:line="14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During the third quarter of Fiscal 2021, the Parent Company entered into separate, privately negotiated exchange agreements with certain holders of the Convertible Notes. Under the terms of the exchange agreements, the holders exchanged $160.4 million in aggregate principal amount of Convertible Notes held by them for a combination of an aggregate of $90.8 million in cash and 513,991 shares of the Parent Company's common stock. During the fourth quarter of Fiscal 2021, the Parent Company entered into separate, privately negotiated exchange agreements with certain holders of the Convertible Notes. Under the terms of the exchange agreements, the holders exchanged $72.3 million in aggregate principal amount of Convertible Notes held by them for $109.0 million in cash. These exchanges resulted in aggregate pre-tax debt extinguishment charges of $124.6 million that have been pushed down to Parent Company's subsidiaries for Fiscal 2021.</w:t>
      </w:r>
    </w:p>
    <w:p>
      <w:pPr>
        <w:spacing w:after="0" w:line="1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Subsequent to January 29, 2022 (March 15, 2022), the Parent Company entered into separate, privately negotiated exchange agreements with certain holders of the Convertible Notes. Under the terms of the exchange agreements, the holders have agreed to exchange $55.6 million in aggregate principal amount of Convertible Notes held by them for an amount in cash to be calculated based on the volume-weighted average price of the Parent Company’s common stock over a two-day measurement period beginning on March 16, 2022. These exchange transactions are expected to close on March 21, 2022, subject to the satisfaction of customary closing conditions.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5" w:name="page86"/>
    <w:bookmarkEnd w:id="85"/>
    <w:p>
      <w:pPr>
        <w:ind w:right="80" w:firstLine="509"/>
        <w:spacing w:after="0" w:line="241" w:lineRule="auto"/>
        <w:rPr>
          <w:sz w:val="20"/>
          <w:szCs w:val="20"/>
          <w:color w:val="auto"/>
        </w:rPr>
      </w:pPr>
      <w:r>
        <w:rPr>
          <w:rFonts w:ascii="Arial" w:cs="Arial" w:eastAsia="Arial" w:hAnsi="Arial"/>
          <w:sz w:val="18"/>
          <w:szCs w:val="18"/>
          <w:color w:val="auto"/>
        </w:rPr>
        <w:t>The Convertible Notes contain a cash conversion feature, and as a result, the Company initially separated it into liability and equity components. The Parent Company valued the liability component based on its borrowing rate for a similar debt instrument that does not contain a conversion feature. The equity component, which was recognized as a debt discount, was valued as the difference between the face value of the Convertible Notes and the fair value of the liability component. As a result of adopting ASU 2020-06, the Parent Company is no longer separating the Convertible Notes into debt and equity components, and is instead accounting for it wholly as debt.</w:t>
      </w:r>
    </w:p>
    <w:p>
      <w:pPr>
        <w:spacing w:after="0" w:line="18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connection with the Convertible Notes issuance, the Parent Company incurred deferred financing costs of $21.0 million, primarily related to fees paid to the bookrunners of the offering, as well as legal, accounting and rating agency fees. These costs were initially allocated on a pro rata basis, with $16.4 million allocated to the debt component and $4.6 million allocated to the equity component. As a result of adopting ASU 2020-06, all unamortized deferred financing costs related to the Convertible Notes are now allocated to debt.</w:t>
      </w:r>
    </w:p>
    <w:p>
      <w:pPr>
        <w:spacing w:after="0" w:line="188"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Prior to adoption of ASU 2020-06, the debt discount and the debt portion of the deferred costs were being amortized to interest expense over the term of the Convertible Notes at an effective interest rate of 8.2%. The effective interest rate after adoption of ASU 2020-06 is 2.8%. Interest expense on the Convertible Notes of $20.1 million and $40.5 million have been pushed down to Parent Company’s subsidiaries for Fiscal 2021 and Fiscal 2020, respectively.</w:t>
      </w:r>
    </w:p>
    <w:p>
      <w:pPr>
        <w:spacing w:after="0" w:line="390"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There was a $572.3 million and $805.0 million intercompany note receivable as of January 29, 2022 and January 30, 2021, respectively, related to the cash transferred to Parent subsidiaries for the Convertible Notes, which is included in Investment in subsidiaries in the Condensed Balance Sheets.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Convertible Notes consist of the following components as of the dates indicated:</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30,</w:t>
            </w:r>
          </w:p>
        </w:tc>
      </w:tr>
      <w:tr>
        <w:trPr>
          <w:trHeight w:val="215"/>
        </w:trPr>
        <w:tc>
          <w:tcPr>
            <w:tcW w:w="5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Liability component:</w:t>
            </w: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Principal</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572,322</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805,000</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debt discount</w:t>
            </w:r>
          </w:p>
        </w:tc>
        <w:tc>
          <w:tcPr>
            <w:tcW w:w="3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(156,689 )</w:t>
            </w: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Unamortized deferred debt costs</w:t>
            </w:r>
          </w:p>
        </w:tc>
        <w:tc>
          <w:tcPr>
            <w:tcW w:w="300" w:type="dxa"/>
            <w:vAlign w:val="bottom"/>
          </w:tcPr>
          <w:p>
            <w:pPr>
              <w:spacing w:after="0"/>
              <w:rPr>
                <w:sz w:val="17"/>
                <w:szCs w:val="17"/>
                <w:color w:val="auto"/>
              </w:rPr>
            </w:pP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(9,761 )</w:t>
            </w:r>
          </w:p>
        </w:tc>
        <w:tc>
          <w:tcPr>
            <w:tcW w:w="38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(14,191 )</w:t>
            </w:r>
          </w:p>
        </w:tc>
      </w:tr>
      <w:tr>
        <w:trPr>
          <w:trHeight w:val="236"/>
        </w:trPr>
        <w:tc>
          <w:tcPr>
            <w:tcW w:w="5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carrying amount</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562,561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component, net</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131,916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-281940</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-264795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-281940</wp:posOffset>
            </wp:positionV>
            <wp:extent cx="596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Capital Stock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Parent Company accounts for treasury stock under the cost method.</w:t>
      </w:r>
    </w:p>
    <w:p>
      <w:pPr>
        <w:spacing w:after="0" w:line="212"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During Fiscal 2021, the Parent Company acquired 53,783 shares of common stock from employees for approximately $16.6 million to satisfy their minimum statutory tax withholdings related to the vesting of restricted stock awards, which was recorded in the line item “Purchase of treasury shares” on the Parent Company’s Condensed Statements of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August 14, 2019, the Parent Company’s Board of Directors authorized the repurchase of up to $400.0 million of common stock, which expired in August 2021. On August 18, 2021, the Parent Company’s Board of Directors authorized the repurchase of up to $400.0 million of common stock, which is authorized to be executed through August 2023.</w:t>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Fiscal 2021, the Parent Company repurchased 856,855 shares of common stock for $250.0 million under its share repurchase program. As of January 29, 2022, the Parent Company had $150.0 million remaining under its share repurchase authorization.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6" w:name="page87"/>
    <w:bookmarkEnd w:id="86"/>
    <w:p>
      <w:pPr>
        <w:jc w:val="both"/>
        <w:ind w:firstLine="509"/>
        <w:spacing w:after="0" w:line="248" w:lineRule="auto"/>
        <w:rPr>
          <w:sz w:val="20"/>
          <w:szCs w:val="20"/>
          <w:color w:val="auto"/>
        </w:rPr>
      </w:pPr>
      <w:r>
        <w:rPr>
          <w:rFonts w:ascii="Arial" w:cs="Arial" w:eastAsia="Arial" w:hAnsi="Arial"/>
          <w:sz w:val="18"/>
          <w:szCs w:val="18"/>
          <w:color w:val="auto"/>
        </w:rPr>
        <w:t>Subsequent to January 29, 2022 (February 16, 2022), the Parent Company's Board of Directors authorized the repurchase of up to $500.0 million of common stock, which is authorized to be executed through February 2024. This repurchase program is funded using the Parent Company’s available cash and borrowings under the ABL Line of Credit.</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jc w:val="center"/>
        <w:ind w:right="40"/>
        <w:spacing w:after="0"/>
        <w:rPr>
          <w:sz w:val="20"/>
          <w:szCs w:val="20"/>
          <w:color w:val="auto"/>
        </w:rPr>
      </w:pPr>
      <w:r>
        <w:rPr>
          <w:rFonts w:ascii="Arial" w:cs="Arial" w:eastAsia="Arial" w:hAnsi="Arial"/>
          <w:sz w:val="18"/>
          <w:szCs w:val="18"/>
          <w:b w:val="1"/>
          <w:bCs w:val="1"/>
          <w:color w:val="auto"/>
        </w:rPr>
        <w:t>(All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Charged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Accounts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9"/>
              </w:rPr>
              <w:t>Written Off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to Costs &amp;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to Other</w:t>
            </w:r>
          </w:p>
        </w:tc>
        <w:tc>
          <w:tcPr>
            <w:tcW w:w="140" w:type="dxa"/>
            <w:vAlign w:val="bottom"/>
          </w:tcPr>
          <w:p>
            <w:pPr>
              <w:spacing w:after="0"/>
              <w:rPr>
                <w:sz w:val="12"/>
                <w:szCs w:val="12"/>
                <w:color w:val="auto"/>
              </w:rPr>
            </w:pPr>
          </w:p>
        </w:tc>
        <w:tc>
          <w:tcPr>
            <w:tcW w:w="9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9"/>
              </w:rPr>
              <w: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End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of Period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Accounts(1)</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Deductions(2)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Year ended January 29, 2022</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4,855</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1,735</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Valuation allowances on deferred tax assets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12,957</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ended January 30, 2021</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795</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4,069</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Valuation allowances on deferred tax assets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9,842</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Year ended February 1, 2020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992</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18"/>
                <w:szCs w:val="18"/>
                <w:color w:val="auto"/>
              </w:rPr>
              <w:t>Valuation allowances on deferred tax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10,268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230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related to valuation allowances on deferred taxes are charged to income tax expense.</w:t>
      </w:r>
    </w:p>
    <w:p>
      <w:pPr>
        <w:spacing w:after="0" w:line="11" w:lineRule="exact"/>
        <w:rPr>
          <w:rFonts w:ascii="Arial" w:cs="Arial" w:eastAsia="Arial" w:hAnsi="Arial"/>
          <w:sz w:val="18"/>
          <w:szCs w:val="18"/>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allowances.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Annual Report, January 29, 2022.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January 29,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66" w:lineRule="exact"/>
        <w:rPr>
          <w:sz w:val="20"/>
          <w:szCs w:val="20"/>
          <w:color w:val="auto"/>
        </w:rPr>
      </w:pPr>
    </w:p>
    <w:p>
      <w:pPr>
        <w:ind w:left="1020" w:right="1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issuer;</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7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 xml:space="preserve">In accordance with the internal control reporting requirement of the SEC, management completed an assessment of the adequacy of our internal control over financial reporting as of January 29, 2022.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8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Based on this assessment and the criteria in the COSO framework, management has concluded that, as of January 29, 2022, our internal control over financial reporting was effective.</w:t>
      </w:r>
    </w:p>
    <w:p>
      <w:pPr>
        <w:spacing w:after="0" w:line="17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Deloitte &amp; Touche LLP, the independent registered public accounting firm that audited and reported on our consolidated financial statements contained herein, has audited the effectiveness of our internal control over financial reporting as of January 29, 2022, and has issued an attestation report on the effectiveness of our internal control over financial reporting included herein.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During the fourth quarter of Fiscal 2021, there were no changes in our internal control over financial reporting that have materially affected, or are reasonably likely to materially affect, our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Burlington Stores,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 xml:space="preserve">We have audited the internal control over financial reporting of Burlington Stores, Inc. and subsidiaries (the “Company”) as of January 29,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29,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4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29, 2022, of the Company and our report dated March 16, 2022 expressed an unqualified opinion on those financial statements and included an explanatory paragraph regarding the Company’s adoption of (ASU) 2020-06, “Accounting for Convertible Instruments and Contracts in an Entity’s Own Equity.”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7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March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7"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For the information required by this Item 10, see “Election of Directors,” “Information About Our Executive Officers,” “Corporate Governance,” and “Board Committees,” in the Proxy Statement for our 2022 Annual Meeting of Stockholders (the “Proxy Statement”), which information is incorporated herein by reference. The Proxy Statement will be filed within 120 days of the close of our 2021 fiscal year.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For the information required by this Item 11, see “Executive Compensation” and “Director Compensation” in the Proxy Statement, which information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For the information required by this Item 12, see “Ownership of Securities” and “Securities Authorized for Issuance Under Equity Compensation Plans” in the Proxy Statement, which information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For the information required by this Item 13, see “Certain Relationships and Related Party Transactions” and “Corporate Governance” in the Proxy Statement, which information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For the information required by this Item 14, see “Principal Accountant Fees and Services” and “Policy on Audit Committee Pre-Approval of Audit and Permissible Non-Audit Services of Independent Registered Certified Public Accounting Firm” in the Proxy Statement, which information is incorporated herein by reference.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07" w:lineRule="exact"/>
        <w:rPr>
          <w:rFonts w:ascii="Arial" w:cs="Arial" w:eastAsia="Arial" w:hAnsi="Arial"/>
          <w:sz w:val="18"/>
          <w:szCs w:val="18"/>
          <w:color w:val="auto"/>
        </w:rPr>
      </w:pPr>
    </w:p>
    <w:p>
      <w:pPr>
        <w:ind w:right="400" w:firstLine="8"/>
        <w:spacing w:after="0" w:line="266" w:lineRule="auto"/>
        <w:tabs>
          <w:tab w:leader="none" w:pos="255"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The Consolidated Financial Statements filed as part of this Annual Report are listed on the Index to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on page 46 of this Annual Report.</w:t>
      </w:r>
    </w:p>
    <w:p>
      <w:pPr>
        <w:spacing w:after="0" w:line="162" w:lineRule="exact"/>
        <w:rPr>
          <w:rFonts w:ascii="Arial" w:cs="Arial" w:eastAsia="Arial" w:hAnsi="Arial"/>
          <w:sz w:val="18"/>
          <w:szCs w:val="18"/>
          <w:b w:val="1"/>
          <w:bCs w:val="1"/>
          <w:color w:val="auto"/>
        </w:rPr>
      </w:pPr>
    </w:p>
    <w:p>
      <w:pPr>
        <w:ind w:right="60" w:firstLine="8"/>
        <w:spacing w:after="0" w:line="245" w:lineRule="auto"/>
        <w:tabs>
          <w:tab w:leader="none" w:pos="255"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 I—Condensed Financial Information of Registrant filed as part of this Annual Report is starting on page 80.</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II—Valuation and Qualifying Accounts filed as part of this Annual Report is set forth on page 86 of this Annual Report. All other financial statement schedules have been omitted here because they are not applicable, not required, or the information is shown in the Consolidated Financial Statements or notes thereto.</w:t>
      </w:r>
    </w:p>
    <w:p>
      <w:pPr>
        <w:spacing w:after="0" w:line="288" w:lineRule="exact"/>
        <w:rPr>
          <w:rFonts w:ascii="Arial" w:cs="Arial" w:eastAsia="Arial" w:hAnsi="Arial"/>
          <w:sz w:val="18"/>
          <w:szCs w:val="18"/>
          <w:b w:val="1"/>
          <w:bCs w:val="1"/>
          <w:color w:val="auto"/>
        </w:rPr>
      </w:pPr>
    </w:p>
    <w:p>
      <w:pPr>
        <w:ind w:left="260" w:hanging="252"/>
        <w:spacing w:after="0"/>
        <w:tabs>
          <w:tab w:leader="none" w:pos="260"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S-K</w:t>
      </w:r>
      <w:r>
        <w:rPr>
          <w:rFonts w:ascii="Arial" w:cs="Arial" w:eastAsia="Arial" w:hAnsi="Arial"/>
          <w:sz w:val="18"/>
          <w:szCs w:val="18"/>
          <w:i w:val="1"/>
          <w:iCs w:val="1"/>
          <w:color w:val="auto"/>
        </w:rPr>
        <w:t>.</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following is a list of exhibits required by Item 601 of Regulation S-K and filed as part of this Annual Report. Exhibits that previously have been filed are incorporated herein by reference. Exhibits filed prior to June 2013 are incorporated herein by reference to filings of Burlington Coat Factory Investments Holdings, Inc. (File No. 333-137916-110).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Borders>
              <w:right w:val="single" w:sz="8" w:color="auto"/>
            </w:tcBorders>
          </w:tcPr>
          <w:p>
            <w:pPr>
              <w:spacing w:after="0"/>
              <w:rPr>
                <w:sz w:val="17"/>
                <w:szCs w:val="17"/>
                <w:color w:val="auto"/>
              </w:rPr>
            </w:pPr>
          </w:p>
        </w:tc>
        <w:tc>
          <w:tcPr>
            <w:tcW w:w="1420" w:type="dxa"/>
            <w:vAlign w:val="bottom"/>
            <w:tcBorders>
              <w:top w:val="single" w:sz="8" w:color="auto"/>
              <w:bottom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3660" w:type="dxa"/>
            <w:vAlign w:val="bottom"/>
            <w:tcBorders>
              <w:top w:val="single" w:sz="8" w:color="auto"/>
              <w:bottom w:val="single" w:sz="8" w:color="auto"/>
              <w:right w:val="single" w:sz="8" w:color="auto"/>
            </w:tcBorders>
            <w:gridSpan w:val="2"/>
          </w:tcPr>
          <w:p>
            <w:pPr>
              <w:ind w:left="780"/>
              <w:spacing w:after="0" w:line="202" w:lineRule="exact"/>
              <w:rPr>
                <w:sz w:val="20"/>
                <w:szCs w:val="20"/>
                <w:color w:val="auto"/>
              </w:rPr>
            </w:pPr>
            <w:r>
              <w:rPr>
                <w:rFonts w:ascii="Arial" w:cs="Arial" w:eastAsia="Arial" w:hAnsi="Arial"/>
                <w:sz w:val="18"/>
                <w:szCs w:val="18"/>
                <w:b w:val="1"/>
                <w:bCs w:val="1"/>
                <w:color w:val="auto"/>
              </w:rPr>
              <w:t>Incorporated by Reference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500" w:type="dxa"/>
            <w:vAlign w:val="bottom"/>
            <w:tcBorders>
              <w:right w:val="single" w:sz="8" w:color="auto"/>
            </w:tcBorders>
            <w:gridSpan w:val="26"/>
            <w:vMerge w:val="restart"/>
          </w:tcPr>
          <w:p>
            <w:pPr>
              <w:ind w:left="400"/>
              <w:spacing w:after="0"/>
              <w:rPr>
                <w:sz w:val="20"/>
                <w:szCs w:val="20"/>
                <w:color w:val="auto"/>
              </w:rPr>
            </w:pPr>
            <w:r>
              <w:rPr>
                <w:rFonts w:ascii="Arial" w:cs="Arial" w:eastAsia="Arial" w:hAnsi="Arial"/>
                <w:sz w:val="18"/>
                <w:szCs w:val="18"/>
                <w:b w:val="1"/>
                <w:bCs w:val="1"/>
                <w:color w:val="auto"/>
              </w:rPr>
              <w:t>Exhibit Description</w:t>
            </w:r>
          </w:p>
        </w:tc>
        <w:tc>
          <w:tcPr>
            <w:tcW w:w="2220" w:type="dxa"/>
            <w:vAlign w:val="bottom"/>
            <w:tcBorders>
              <w:right w:val="single" w:sz="8" w:color="auto"/>
            </w:tcBorders>
            <w:vMerge w:val="restart"/>
          </w:tcPr>
          <w:p>
            <w:pPr>
              <w:ind w:left="880"/>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Filing Date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gridSpan w:val="26"/>
            <w:vMerge w:val="continue"/>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1440" w:type="dxa"/>
            <w:vAlign w:val="bottom"/>
            <w:tcBorders>
              <w:bottom w:val="single" w:sz="8" w:color="auto"/>
              <w:right w:val="single" w:sz="8" w:color="auto"/>
            </w:tcBorders>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3.1</w:t>
            </w:r>
          </w:p>
        </w:tc>
        <w:tc>
          <w:tcPr>
            <w:tcW w:w="4660" w:type="dxa"/>
            <w:vAlign w:val="bottom"/>
            <w:tcBorders>
              <w:right w:val="single" w:sz="8" w:color="auto"/>
            </w:tcBorders>
            <w:gridSpan w:val="28"/>
          </w:tcPr>
          <w:p>
            <w:pPr>
              <w:ind w:left="80"/>
              <w:spacing w:after="0" w:line="169" w:lineRule="exact"/>
              <w:rPr>
                <w:rFonts w:ascii="Arial" w:cs="Arial" w:eastAsia="Arial" w:hAnsi="Arial"/>
                <w:sz w:val="18"/>
                <w:szCs w:val="18"/>
                <w:color w:val="0000FF"/>
              </w:rPr>
            </w:pPr>
            <w:hyperlink r:id="rId412">
              <w:r>
                <w:rPr>
                  <w:rFonts w:ascii="Arial" w:cs="Arial" w:eastAsia="Arial" w:hAnsi="Arial"/>
                  <w:sz w:val="18"/>
                  <w:szCs w:val="18"/>
                  <w:color w:val="0000FF"/>
                </w:rPr>
                <w:t>Amended and Restated Certificate of Incorporation of</w:t>
              </w:r>
            </w:hyperlink>
          </w:p>
        </w:tc>
        <w:tc>
          <w:tcPr>
            <w:tcW w:w="22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September 10,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12">
              <w:r>
                <w:rPr>
                  <w:rFonts w:ascii="Arial" w:cs="Arial" w:eastAsia="Arial" w:hAnsi="Arial"/>
                  <w:sz w:val="18"/>
                  <w:szCs w:val="18"/>
                  <w:color w:val="0000FF"/>
                </w:rPr>
                <w:t>Burlington Stores, Inc.</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3.2</w:t>
            </w:r>
          </w:p>
        </w:tc>
        <w:tc>
          <w:tcPr>
            <w:tcW w:w="4660" w:type="dxa"/>
            <w:vAlign w:val="bottom"/>
            <w:tcBorders>
              <w:right w:val="single" w:sz="8" w:color="auto"/>
            </w:tcBorders>
            <w:gridSpan w:val="28"/>
          </w:tcPr>
          <w:p>
            <w:pPr>
              <w:ind w:left="80"/>
              <w:spacing w:after="0" w:line="156" w:lineRule="exact"/>
              <w:rPr>
                <w:rFonts w:ascii="Arial" w:cs="Arial" w:eastAsia="Arial" w:hAnsi="Arial"/>
                <w:sz w:val="18"/>
                <w:szCs w:val="18"/>
                <w:color w:val="0000FF"/>
              </w:rPr>
            </w:pPr>
            <w:hyperlink r:id="rId413">
              <w:r>
                <w:rPr>
                  <w:rFonts w:ascii="Arial" w:cs="Arial" w:eastAsia="Arial" w:hAnsi="Arial"/>
                  <w:sz w:val="18"/>
                  <w:szCs w:val="18"/>
                  <w:color w:val="0000FF"/>
                </w:rPr>
                <w:t>Amended and Restated Bylaws of Burlington Stores, Inc.</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top w:val="single" w:sz="8" w:color="0000FF"/>
              <w:bottom w:val="single" w:sz="8" w:color="auto"/>
            </w:tcBorders>
          </w:tcPr>
          <w:p>
            <w:pPr>
              <w:spacing w:after="0"/>
              <w:rPr>
                <w:sz w:val="15"/>
                <w:szCs w:val="15"/>
                <w:color w:val="auto"/>
              </w:rPr>
            </w:pPr>
          </w:p>
        </w:tc>
        <w:tc>
          <w:tcPr>
            <w:tcW w:w="560" w:type="dxa"/>
            <w:vAlign w:val="bottom"/>
            <w:tcBorders>
              <w:top w:val="single" w:sz="8" w:color="0000FF"/>
              <w:bottom w:val="single" w:sz="8" w:color="auto"/>
            </w:tcBorders>
          </w:tcPr>
          <w:p>
            <w:pPr>
              <w:spacing w:after="0"/>
              <w:rPr>
                <w:sz w:val="15"/>
                <w:szCs w:val="15"/>
                <w:color w:val="auto"/>
              </w:rPr>
            </w:pPr>
          </w:p>
        </w:tc>
        <w:tc>
          <w:tcPr>
            <w:tcW w:w="1260" w:type="dxa"/>
            <w:vAlign w:val="bottom"/>
            <w:tcBorders>
              <w:top w:val="single" w:sz="8" w:color="0000FF"/>
              <w:bottom w:val="single" w:sz="8" w:color="auto"/>
            </w:tcBorders>
          </w:tcPr>
          <w:p>
            <w:pPr>
              <w:spacing w:after="0"/>
              <w:rPr>
                <w:sz w:val="15"/>
                <w:szCs w:val="15"/>
                <w:color w:val="auto"/>
              </w:rPr>
            </w:pPr>
          </w:p>
        </w:tc>
        <w:tc>
          <w:tcPr>
            <w:tcW w:w="100" w:type="dxa"/>
            <w:vAlign w:val="bottom"/>
            <w:tcBorders>
              <w:top w:val="single" w:sz="8" w:color="0000FF"/>
              <w:bottom w:val="single" w:sz="8" w:color="auto"/>
            </w:tcBorders>
          </w:tcPr>
          <w:p>
            <w:pPr>
              <w:spacing w:after="0"/>
              <w:rPr>
                <w:sz w:val="15"/>
                <w:szCs w:val="15"/>
                <w:color w:val="auto"/>
              </w:rPr>
            </w:pPr>
          </w:p>
        </w:tc>
        <w:tc>
          <w:tcPr>
            <w:tcW w:w="60" w:type="dxa"/>
            <w:vAlign w:val="bottom"/>
            <w:tcBorders>
              <w:top w:val="single" w:sz="8" w:color="0000FF"/>
              <w:bottom w:val="single" w:sz="8" w:color="auto"/>
            </w:tcBorders>
          </w:tcPr>
          <w:p>
            <w:pPr>
              <w:spacing w:after="0"/>
              <w:rPr>
                <w:sz w:val="15"/>
                <w:szCs w:val="15"/>
                <w:color w:val="auto"/>
              </w:rPr>
            </w:pPr>
          </w:p>
        </w:tc>
        <w:tc>
          <w:tcPr>
            <w:tcW w:w="420" w:type="dxa"/>
            <w:vAlign w:val="bottom"/>
            <w:tcBorders>
              <w:top w:val="single" w:sz="8" w:color="0000FF"/>
              <w:bottom w:val="single" w:sz="8" w:color="auto"/>
            </w:tcBorders>
          </w:tcPr>
          <w:p>
            <w:pPr>
              <w:spacing w:after="0"/>
              <w:rPr>
                <w:sz w:val="15"/>
                <w:szCs w:val="15"/>
                <w:color w:val="auto"/>
              </w:rPr>
            </w:pPr>
          </w:p>
        </w:tc>
        <w:tc>
          <w:tcPr>
            <w:tcW w:w="3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8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1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K</w:t>
            </w:r>
          </w:p>
        </w:tc>
        <w:tc>
          <w:tcPr>
            <w:tcW w:w="144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2018</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4.1</w:t>
            </w:r>
          </w:p>
        </w:tc>
        <w:tc>
          <w:tcPr>
            <w:tcW w:w="4660" w:type="dxa"/>
            <w:vAlign w:val="bottom"/>
            <w:tcBorders>
              <w:right w:val="single" w:sz="8" w:color="auto"/>
            </w:tcBorders>
            <w:gridSpan w:val="28"/>
          </w:tcPr>
          <w:p>
            <w:pPr>
              <w:ind w:left="80"/>
              <w:spacing w:after="0" w:line="169" w:lineRule="exact"/>
              <w:rPr>
                <w:rFonts w:ascii="Arial" w:cs="Arial" w:eastAsia="Arial" w:hAnsi="Arial"/>
                <w:sz w:val="18"/>
                <w:szCs w:val="18"/>
                <w:color w:val="0000FF"/>
              </w:rPr>
            </w:pPr>
            <w:hyperlink r:id="rId414">
              <w:r>
                <w:rPr>
                  <w:rFonts w:ascii="Arial" w:cs="Arial" w:eastAsia="Arial" w:hAnsi="Arial"/>
                  <w:sz w:val="18"/>
                  <w:szCs w:val="18"/>
                  <w:color w:val="0000FF"/>
                </w:rPr>
                <w:t>Description of the Registrant’s Securities.</w:t>
              </w:r>
            </w:hyperlink>
          </w:p>
        </w:tc>
        <w:tc>
          <w:tcPr>
            <w:tcW w:w="22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March 13, 2020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top w:val="single" w:sz="8" w:color="0000FF"/>
              <w:bottom w:val="single" w:sz="8" w:color="auto"/>
            </w:tcBorders>
          </w:tcPr>
          <w:p>
            <w:pPr>
              <w:spacing w:after="0"/>
              <w:rPr>
                <w:sz w:val="15"/>
                <w:szCs w:val="15"/>
                <w:color w:val="auto"/>
              </w:rPr>
            </w:pPr>
          </w:p>
        </w:tc>
        <w:tc>
          <w:tcPr>
            <w:tcW w:w="560" w:type="dxa"/>
            <w:vAlign w:val="bottom"/>
            <w:tcBorders>
              <w:top w:val="single" w:sz="8" w:color="0000FF"/>
              <w:bottom w:val="single" w:sz="8" w:color="auto"/>
            </w:tcBorders>
          </w:tcPr>
          <w:p>
            <w:pPr>
              <w:spacing w:after="0"/>
              <w:rPr>
                <w:sz w:val="15"/>
                <w:szCs w:val="15"/>
                <w:color w:val="auto"/>
              </w:rPr>
            </w:pPr>
          </w:p>
        </w:tc>
        <w:tc>
          <w:tcPr>
            <w:tcW w:w="1260" w:type="dxa"/>
            <w:vAlign w:val="bottom"/>
            <w:tcBorders>
              <w:top w:val="single" w:sz="8" w:color="0000FF"/>
              <w:bottom w:val="single" w:sz="8" w:color="auto"/>
            </w:tcBorders>
          </w:tcPr>
          <w:p>
            <w:pPr>
              <w:spacing w:after="0"/>
              <w:rPr>
                <w:sz w:val="15"/>
                <w:szCs w:val="15"/>
                <w:color w:val="auto"/>
              </w:rPr>
            </w:pPr>
          </w:p>
        </w:tc>
        <w:tc>
          <w:tcPr>
            <w:tcW w:w="10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K</w:t>
            </w: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4.2</w:t>
            </w:r>
          </w:p>
        </w:tc>
        <w:tc>
          <w:tcPr>
            <w:tcW w:w="4660" w:type="dxa"/>
            <w:vAlign w:val="bottom"/>
            <w:tcBorders>
              <w:right w:val="single" w:sz="8" w:color="auto"/>
            </w:tcBorders>
            <w:gridSpan w:val="28"/>
          </w:tcPr>
          <w:p>
            <w:pPr>
              <w:ind w:left="80"/>
              <w:spacing w:after="0" w:line="169" w:lineRule="exact"/>
              <w:rPr>
                <w:rFonts w:ascii="Arial" w:cs="Arial" w:eastAsia="Arial" w:hAnsi="Arial"/>
                <w:sz w:val="18"/>
                <w:szCs w:val="18"/>
                <w:color w:val="0000FF"/>
                <w:w w:val="95"/>
              </w:rPr>
            </w:pPr>
            <w:hyperlink r:id="rId415">
              <w:r>
                <w:rPr>
                  <w:rFonts w:ascii="Arial" w:cs="Arial" w:eastAsia="Arial" w:hAnsi="Arial"/>
                  <w:sz w:val="18"/>
                  <w:szCs w:val="18"/>
                  <w:color w:val="0000FF"/>
                  <w:w w:val="95"/>
                </w:rPr>
                <w:t>Indenture (including the form of Convertible Note), dated as</w:t>
              </w:r>
            </w:hyperlink>
          </w:p>
        </w:tc>
        <w:tc>
          <w:tcPr>
            <w:tcW w:w="22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15">
              <w:r>
                <w:rPr>
                  <w:rFonts w:ascii="Arial" w:cs="Arial" w:eastAsia="Arial" w:hAnsi="Arial"/>
                  <w:sz w:val="18"/>
                  <w:szCs w:val="18"/>
                  <w:color w:val="0000FF"/>
                </w:rPr>
                <w:t>of April 16, 2020, between Burlington Stores, Inc.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15">
              <w:r>
                <w:rPr>
                  <w:rFonts w:ascii="Arial" w:cs="Arial" w:eastAsia="Arial" w:hAnsi="Arial"/>
                  <w:sz w:val="18"/>
                  <w:szCs w:val="18"/>
                  <w:color w:val="0000FF"/>
                </w:rPr>
                <w:t>Wilmington Trust, National Association</w:t>
              </w:r>
            </w:hyperlink>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w:t>
            </w:r>
          </w:p>
        </w:tc>
        <w:tc>
          <w:tcPr>
            <w:tcW w:w="4660" w:type="dxa"/>
            <w:vAlign w:val="bottom"/>
            <w:tcBorders>
              <w:right w:val="single" w:sz="8" w:color="auto"/>
            </w:tcBorders>
            <w:gridSpan w:val="28"/>
          </w:tcPr>
          <w:p>
            <w:pPr>
              <w:ind w:left="80"/>
              <w:spacing w:after="0" w:line="156" w:lineRule="exact"/>
              <w:rPr>
                <w:rFonts w:ascii="Arial" w:cs="Arial" w:eastAsia="Arial" w:hAnsi="Arial"/>
                <w:sz w:val="18"/>
                <w:szCs w:val="18"/>
                <w:color w:val="0000FF"/>
                <w:w w:val="96"/>
              </w:rPr>
            </w:pPr>
            <w:hyperlink r:id="rId416">
              <w:r>
                <w:rPr>
                  <w:rFonts w:ascii="Arial" w:cs="Arial" w:eastAsia="Arial" w:hAnsi="Arial"/>
                  <w:sz w:val="18"/>
                  <w:szCs w:val="18"/>
                  <w:color w:val="0000FF"/>
                  <w:w w:val="96"/>
                </w:rPr>
                <w:t>Credit Agreement, dated February 24, 2011, by and among</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24,</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16">
              <w:r>
                <w:rPr>
                  <w:rFonts w:ascii="Arial" w:cs="Arial" w:eastAsia="Arial" w:hAnsi="Arial"/>
                  <w:sz w:val="18"/>
                  <w:szCs w:val="18"/>
                  <w:color w:val="0000FF"/>
                </w:rPr>
                <w:t>Burlington Coat Factory Warehouse Corporation, as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Borders>
              <w:top w:val="single" w:sz="8" w:color="0000FF"/>
            </w:tcBorders>
            <w:gridSpan w:val="8"/>
          </w:tcPr>
          <w:p>
            <w:pPr>
              <w:spacing w:after="0" w:line="156" w:lineRule="exact"/>
              <w:rPr>
                <w:rFonts w:ascii="Arial" w:cs="Arial" w:eastAsia="Arial" w:hAnsi="Arial"/>
                <w:sz w:val="18"/>
                <w:szCs w:val="18"/>
                <w:color w:val="0000FF"/>
                <w:w w:val="95"/>
              </w:rPr>
            </w:pPr>
            <w:hyperlink r:id="rId416">
              <w:r>
                <w:rPr>
                  <w:rFonts w:ascii="Arial" w:cs="Arial" w:eastAsia="Arial" w:hAnsi="Arial"/>
                  <w:sz w:val="18"/>
                  <w:szCs w:val="18"/>
                  <w:color w:val="0000FF"/>
                  <w:w w:val="95"/>
                </w:rPr>
                <w:t>borrower, the facility guarantors signatory thereto,</w:t>
              </w:r>
            </w:hyperlink>
          </w:p>
        </w:tc>
        <w:tc>
          <w:tcPr>
            <w:tcW w:w="760" w:type="dxa"/>
            <w:vAlign w:val="bottom"/>
            <w:tcBorders>
              <w:right w:val="single" w:sz="8" w:color="auto"/>
            </w:tcBorders>
            <w:gridSpan w:val="19"/>
          </w:tcPr>
          <w:p>
            <w:pPr>
              <w:spacing w:after="0" w:line="156" w:lineRule="exact"/>
              <w:rPr>
                <w:rFonts w:ascii="Arial" w:cs="Arial" w:eastAsia="Arial" w:hAnsi="Arial"/>
                <w:sz w:val="18"/>
                <w:szCs w:val="18"/>
                <w:color w:val="0000FF"/>
                <w:w w:val="87"/>
              </w:rPr>
            </w:pPr>
            <w:hyperlink r:id="rId416">
              <w:r>
                <w:rPr>
                  <w:rFonts w:ascii="Arial" w:cs="Arial" w:eastAsia="Arial" w:hAnsi="Arial"/>
                  <w:sz w:val="18"/>
                  <w:szCs w:val="18"/>
                  <w:color w:val="0000FF"/>
                  <w:w w:val="87"/>
                </w:rPr>
                <w:t>JPMorgan</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416">
              <w:r>
                <w:rPr>
                  <w:rFonts w:ascii="Arial" w:cs="Arial" w:eastAsia="Arial" w:hAnsi="Arial"/>
                  <w:sz w:val="18"/>
                  <w:szCs w:val="18"/>
                  <w:color w:val="0000FF"/>
                  <w:w w:val="94"/>
                </w:rPr>
                <w:t>Chase Bank, N.A., as administrative agent and as collateral</w:t>
              </w:r>
            </w:hyperlink>
          </w:p>
        </w:tc>
        <w:tc>
          <w:tcPr>
            <w:tcW w:w="1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416">
              <w:r>
                <w:rPr>
                  <w:rFonts w:ascii="Arial" w:cs="Arial" w:eastAsia="Arial" w:hAnsi="Arial"/>
                  <w:sz w:val="18"/>
                  <w:szCs w:val="18"/>
                  <w:color w:val="0000FF"/>
                  <w:w w:val="93"/>
                </w:rPr>
                <w:t>agent, Goldman Sachs Lending Partners LLC, the lenders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416">
              <w:r>
                <w:rPr>
                  <w:rFonts w:ascii="Arial" w:cs="Arial" w:eastAsia="Arial" w:hAnsi="Arial"/>
                  <w:sz w:val="18"/>
                  <w:szCs w:val="18"/>
                  <w:color w:val="0000FF"/>
                  <w:w w:val="91"/>
                </w:rPr>
                <w:t>party thereto, and J.P. Morgan Securities LLC, Goldman</w:t>
              </w:r>
            </w:hyperlink>
          </w:p>
        </w:tc>
        <w:tc>
          <w:tcPr>
            <w:tcW w:w="1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27"/>
          </w:tcPr>
          <w:p>
            <w:pPr>
              <w:spacing w:after="0" w:line="156" w:lineRule="exact"/>
              <w:rPr>
                <w:rFonts w:ascii="Arial" w:cs="Arial" w:eastAsia="Arial" w:hAnsi="Arial"/>
                <w:sz w:val="18"/>
                <w:szCs w:val="18"/>
                <w:color w:val="0000FF"/>
                <w:w w:val="96"/>
              </w:rPr>
            </w:pPr>
            <w:hyperlink r:id="rId416">
              <w:r>
                <w:rPr>
                  <w:rFonts w:ascii="Arial" w:cs="Arial" w:eastAsia="Arial" w:hAnsi="Arial"/>
                  <w:sz w:val="18"/>
                  <w:szCs w:val="18"/>
                  <w:color w:val="0000FF"/>
                  <w:w w:val="96"/>
                </w:rPr>
                <w:t>Sachs Lending Partners LLC, Merrill Lynch, Pierce, Fenner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416">
              <w:r>
                <w:rPr>
                  <w:rFonts w:ascii="Arial" w:cs="Arial" w:eastAsia="Arial" w:hAnsi="Arial"/>
                  <w:sz w:val="18"/>
                  <w:szCs w:val="18"/>
                  <w:color w:val="0000FF"/>
                  <w:w w:val="94"/>
                </w:rPr>
                <w:t>&amp; Smith Incorporated and Wells Fargo Securities, LLC, as</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16">
              <w:r>
                <w:rPr>
                  <w:rFonts w:ascii="Arial" w:cs="Arial" w:eastAsia="Arial" w:hAnsi="Arial"/>
                  <w:sz w:val="18"/>
                  <w:szCs w:val="18"/>
                  <w:color w:val="0000FF"/>
                </w:rPr>
                <w:t>joint lead arrangers and joint bookrunners.</w:t>
              </w:r>
            </w:hyperlink>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10.1.1</w:t>
            </w:r>
          </w:p>
        </w:tc>
        <w:tc>
          <w:tcPr>
            <w:tcW w:w="4660" w:type="dxa"/>
            <w:vAlign w:val="bottom"/>
            <w:tcBorders>
              <w:right w:val="single" w:sz="8" w:color="auto"/>
            </w:tcBorders>
            <w:gridSpan w:val="28"/>
          </w:tcPr>
          <w:p>
            <w:pPr>
              <w:ind w:left="80"/>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Amendment No. 1, dated May 16, 2012, to the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17, 2012</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0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417">
              <w:r>
                <w:rPr>
                  <w:rFonts w:ascii="Arial" w:cs="Arial" w:eastAsia="Arial" w:hAnsi="Arial"/>
                  <w:sz w:val="18"/>
                  <w:szCs w:val="18"/>
                  <w:color w:val="0000FF"/>
                  <w:w w:val="92"/>
                </w:rPr>
                <w:t>Agreement, dated February 24, 2011, by and among</w:t>
              </w:r>
            </w:hyperlink>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417">
              <w:r>
                <w:rPr>
                  <w:rFonts w:ascii="Arial" w:cs="Arial" w:eastAsia="Arial" w:hAnsi="Arial"/>
                  <w:sz w:val="18"/>
                  <w:szCs w:val="18"/>
                  <w:color w:val="0000FF"/>
                  <w:w w:val="89"/>
                </w:rPr>
                <w:t>Burlington Coat Factory Warehouse Corporation, the</w:t>
              </w:r>
            </w:hyperlink>
          </w:p>
        </w:tc>
        <w:tc>
          <w:tcPr>
            <w:tcW w:w="780" w:type="dxa"/>
            <w:vAlign w:val="bottom"/>
            <w:tcBorders>
              <w:right w:val="single" w:sz="8" w:color="auto"/>
            </w:tcBorders>
            <w:gridSpan w:val="20"/>
          </w:tcPr>
          <w:p>
            <w:pPr>
              <w:ind w:left="80"/>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lenders</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417">
              <w:r>
                <w:rPr>
                  <w:rFonts w:ascii="Arial" w:cs="Arial" w:eastAsia="Arial" w:hAnsi="Arial"/>
                  <w:sz w:val="18"/>
                  <w:szCs w:val="18"/>
                  <w:color w:val="0000FF"/>
                  <w:w w:val="90"/>
                </w:rPr>
                <w:t>party thereto, JPMorgan Chase Bank, N.A., as administrative</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gridSpan w:val="25"/>
          </w:tcPr>
          <w:p>
            <w:pPr>
              <w:spacing w:after="0" w:line="156" w:lineRule="exact"/>
              <w:rPr>
                <w:rFonts w:ascii="Arial" w:cs="Arial" w:eastAsia="Arial" w:hAnsi="Arial"/>
                <w:sz w:val="18"/>
                <w:szCs w:val="18"/>
                <w:color w:val="0000FF"/>
                <w:w w:val="94"/>
              </w:rPr>
            </w:pPr>
            <w:hyperlink r:id="rId417">
              <w:r>
                <w:rPr>
                  <w:rFonts w:ascii="Arial" w:cs="Arial" w:eastAsia="Arial" w:hAnsi="Arial"/>
                  <w:sz w:val="18"/>
                  <w:szCs w:val="18"/>
                  <w:color w:val="0000FF"/>
                  <w:w w:val="94"/>
                </w:rPr>
                <w:t>agent and as collateral agent, and the other parties thereto.</w:t>
              </w:r>
            </w:hyperlink>
          </w:p>
        </w:tc>
        <w:tc>
          <w:tcPr>
            <w:tcW w:w="12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10.1.2</w:t>
            </w:r>
          </w:p>
        </w:tc>
        <w:tc>
          <w:tcPr>
            <w:tcW w:w="4660" w:type="dxa"/>
            <w:vAlign w:val="bottom"/>
            <w:tcBorders>
              <w:right w:val="single" w:sz="8" w:color="auto"/>
            </w:tcBorders>
            <w:gridSpan w:val="28"/>
          </w:tcPr>
          <w:p>
            <w:pPr>
              <w:ind w:left="80"/>
              <w:spacing w:after="0" w:line="156" w:lineRule="exact"/>
              <w:rPr>
                <w:rFonts w:ascii="Arial" w:cs="Arial" w:eastAsia="Arial" w:hAnsi="Arial"/>
                <w:sz w:val="18"/>
                <w:szCs w:val="18"/>
                <w:color w:val="0000FF"/>
                <w:w w:val="98"/>
              </w:rPr>
            </w:pPr>
            <w:hyperlink r:id="rId418">
              <w:r>
                <w:rPr>
                  <w:rFonts w:ascii="Arial" w:cs="Arial" w:eastAsia="Arial" w:hAnsi="Arial"/>
                  <w:sz w:val="18"/>
                  <w:szCs w:val="18"/>
                  <w:color w:val="0000FF"/>
                  <w:w w:val="98"/>
                </w:rPr>
                <w:t>Amendment No. 2, dated February 15, 2013, to the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February 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Agreement, dated February 24, 2011, by and among</w:t>
              </w:r>
            </w:hyperlink>
          </w:p>
        </w:tc>
        <w:tc>
          <w:tcPr>
            <w:tcW w:w="140" w:type="dxa"/>
            <w:vAlign w:val="bottom"/>
            <w:gridSpan w:val="5"/>
          </w:tcPr>
          <w:p>
            <w:pPr>
              <w:spacing w:after="0"/>
              <w:rPr>
                <w:sz w:val="13"/>
                <w:szCs w:val="13"/>
                <w:color w:val="auto"/>
              </w:rPr>
            </w:pPr>
          </w:p>
        </w:tc>
        <w:tc>
          <w:tcPr>
            <w:tcW w:w="200" w:type="dxa"/>
            <w:vAlign w:val="bottom"/>
            <w:tcBorders>
              <w:right w:val="single" w:sz="8" w:color="auto"/>
            </w:tcBorders>
            <w:gridSpan w:val="5"/>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418">
              <w:r>
                <w:rPr>
                  <w:rFonts w:ascii="Arial" w:cs="Arial" w:eastAsia="Arial" w:hAnsi="Arial"/>
                  <w:sz w:val="18"/>
                  <w:szCs w:val="18"/>
                  <w:color w:val="0000FF"/>
                  <w:w w:val="89"/>
                </w:rPr>
                <w:t>Burlington Coat Factory Warehouse Corporation, the</w:t>
              </w:r>
            </w:hyperlink>
          </w:p>
        </w:tc>
        <w:tc>
          <w:tcPr>
            <w:tcW w:w="780" w:type="dxa"/>
            <w:vAlign w:val="bottom"/>
            <w:tcBorders>
              <w:right w:val="single" w:sz="8" w:color="auto"/>
            </w:tcBorders>
            <w:gridSpan w:val="20"/>
          </w:tcPr>
          <w:p>
            <w:pPr>
              <w:ind w:left="80"/>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lender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parties thereto, JPMorgan Chase Bank, N.A., as</w:t>
              </w:r>
            </w:hyperlink>
          </w:p>
        </w:tc>
        <w:tc>
          <w:tcPr>
            <w:tcW w:w="200" w:type="dxa"/>
            <w:vAlign w:val="bottom"/>
            <w:tcBorders>
              <w:right w:val="single" w:sz="8" w:color="auto"/>
            </w:tcBorders>
            <w:gridSpan w:val="5"/>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tcBorders>
              <w:top w:val="single" w:sz="8" w:color="0000FF"/>
            </w:tcBorders>
            <w:gridSpan w:val="6"/>
          </w:tcPr>
          <w:p>
            <w:pPr>
              <w:spacing w:after="0" w:line="156" w:lineRule="exact"/>
              <w:rPr>
                <w:rFonts w:ascii="Arial" w:cs="Arial" w:eastAsia="Arial" w:hAnsi="Arial"/>
                <w:sz w:val="18"/>
                <w:szCs w:val="18"/>
                <w:color w:val="0000FF"/>
                <w:w w:val="89"/>
              </w:rPr>
            </w:pPr>
            <w:hyperlink r:id="rId418">
              <w:r>
                <w:rPr>
                  <w:rFonts w:ascii="Arial" w:cs="Arial" w:eastAsia="Arial" w:hAnsi="Arial"/>
                  <w:sz w:val="18"/>
                  <w:szCs w:val="18"/>
                  <w:color w:val="0000FF"/>
                  <w:w w:val="89"/>
                </w:rPr>
                <w:t>administrative agent and as collateral agent, and</w:t>
              </w:r>
            </w:hyperlink>
          </w:p>
        </w:tc>
        <w:tc>
          <w:tcPr>
            <w:tcW w:w="1100" w:type="dxa"/>
            <w:vAlign w:val="bottom"/>
            <w:tcBorders>
              <w:right w:val="single" w:sz="8" w:color="auto"/>
            </w:tcBorders>
            <w:gridSpan w:val="21"/>
          </w:tcPr>
          <w:p>
            <w:pPr>
              <w:ind w:left="40"/>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the other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418">
              <w:r>
                <w:rPr>
                  <w:rFonts w:ascii="Arial" w:cs="Arial" w:eastAsia="Arial" w:hAnsi="Arial"/>
                  <w:sz w:val="18"/>
                  <w:szCs w:val="18"/>
                  <w:color w:val="0000FF"/>
                </w:rPr>
                <w:t>parties thereto.</w:t>
              </w:r>
            </w:hyperlink>
          </w:p>
        </w:tc>
        <w:tc>
          <w:tcPr>
            <w:tcW w:w="380" w:type="dxa"/>
            <w:vAlign w:val="bottom"/>
            <w:tcBorders>
              <w:right w:val="single" w:sz="8" w:color="auto"/>
            </w:tcBorders>
            <w:gridSpan w:val="1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60" w:type="dxa"/>
            <w:vAlign w:val="bottom"/>
            <w:gridSpan w:val="7"/>
          </w:tcPr>
          <w:p>
            <w:pPr>
              <w:jc w:val="right"/>
              <w:ind w:right="4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10.1.3</w:t>
            </w:r>
          </w:p>
        </w:tc>
        <w:tc>
          <w:tcPr>
            <w:tcW w:w="80" w:type="dxa"/>
            <w:vAlign w:val="bottom"/>
            <w:tcBorders>
              <w:top w:val="single" w:sz="8" w:color="auto"/>
            </w:tcBorders>
          </w:tcPr>
          <w:p>
            <w:pPr>
              <w:spacing w:after="0"/>
              <w:rPr>
                <w:sz w:val="16"/>
                <w:szCs w:val="16"/>
                <w:color w:val="auto"/>
              </w:rPr>
            </w:pPr>
          </w:p>
        </w:tc>
        <w:tc>
          <w:tcPr>
            <w:tcW w:w="4580" w:type="dxa"/>
            <w:vAlign w:val="bottom"/>
            <w:tcBorders>
              <w:top w:val="single" w:sz="8" w:color="auto"/>
              <w:right w:val="single" w:sz="8" w:color="auto"/>
            </w:tcBorders>
            <w:gridSpan w:val="31"/>
          </w:tcPr>
          <w:p>
            <w:pPr>
              <w:spacing w:after="0" w:line="192" w:lineRule="exact"/>
              <w:rPr>
                <w:rFonts w:ascii="Arial" w:cs="Arial" w:eastAsia="Arial" w:hAnsi="Arial"/>
                <w:sz w:val="18"/>
                <w:szCs w:val="18"/>
                <w:color w:val="0000FF"/>
              </w:rPr>
            </w:pPr>
            <w:hyperlink r:id="rId421">
              <w:r>
                <w:rPr>
                  <w:rFonts w:ascii="Arial" w:cs="Arial" w:eastAsia="Arial" w:hAnsi="Arial"/>
                  <w:sz w:val="18"/>
                  <w:szCs w:val="18"/>
                  <w:color w:val="0000FF"/>
                </w:rPr>
                <w:t>Amendment No. 3, dated May 17, 2013, to the Credit</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May 22, 2013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421">
              <w:r>
                <w:rPr>
                  <w:rFonts w:ascii="Arial" w:cs="Arial" w:eastAsia="Arial" w:hAnsi="Arial"/>
                  <w:sz w:val="18"/>
                  <w:szCs w:val="18"/>
                  <w:color w:val="0000FF"/>
                  <w:w w:val="92"/>
                </w:rPr>
                <w:t>Agreement, dated February 24, 2011, by and among</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421">
              <w:r>
                <w:rPr>
                  <w:rFonts w:ascii="Arial" w:cs="Arial" w:eastAsia="Arial" w:hAnsi="Arial"/>
                  <w:sz w:val="18"/>
                  <w:szCs w:val="18"/>
                  <w:color w:val="0000FF"/>
                  <w:w w:val="89"/>
                </w:rPr>
                <w:t>Burlington Coat Factory Warehouse Corporation, the</w:t>
              </w:r>
            </w:hyperlink>
          </w:p>
        </w:tc>
        <w:tc>
          <w:tcPr>
            <w:tcW w:w="80" w:type="dxa"/>
            <w:vAlign w:val="bottom"/>
          </w:tcPr>
          <w:p>
            <w:pPr>
              <w:spacing w:after="0"/>
              <w:rPr>
                <w:sz w:val="13"/>
                <w:szCs w:val="13"/>
                <w:color w:val="auto"/>
              </w:rPr>
            </w:pPr>
          </w:p>
        </w:tc>
        <w:tc>
          <w:tcPr>
            <w:tcW w:w="700" w:type="dxa"/>
            <w:vAlign w:val="bottom"/>
            <w:tcBorders>
              <w:right w:val="single" w:sz="8" w:color="auto"/>
            </w:tcBorders>
            <w:gridSpan w:val="22"/>
          </w:tcPr>
          <w:p>
            <w:pPr>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lenders</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421">
              <w:r>
                <w:rPr>
                  <w:rFonts w:ascii="Arial" w:cs="Arial" w:eastAsia="Arial" w:hAnsi="Arial"/>
                  <w:sz w:val="18"/>
                  <w:szCs w:val="18"/>
                  <w:color w:val="0000FF"/>
                  <w:w w:val="90"/>
                </w:rPr>
                <w:t>party thereto, JPMorgan Chase Bank, N.A., as administrative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27"/>
          </w:tcPr>
          <w:p>
            <w:pPr>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agent and as collateral agent.</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10.1.4</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Amendment No. 4, dated August 13, 2014, to the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w w:val="99"/>
              </w:rPr>
              <w:t>August 18, 2014</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2"/>
          </w:tcPr>
          <w:p>
            <w:pPr>
              <w:spacing w:after="0" w:line="156" w:lineRule="exact"/>
              <w:rPr>
                <w:rFonts w:ascii="Arial" w:cs="Arial" w:eastAsia="Arial" w:hAnsi="Arial"/>
                <w:sz w:val="18"/>
                <w:szCs w:val="18"/>
                <w:color w:val="0000FF"/>
                <w:w w:val="97"/>
              </w:rPr>
            </w:pPr>
            <w:hyperlink r:id="rId422">
              <w:r>
                <w:rPr>
                  <w:rFonts w:ascii="Arial" w:cs="Arial" w:eastAsia="Arial" w:hAnsi="Arial"/>
                  <w:sz w:val="18"/>
                  <w:szCs w:val="18"/>
                  <w:color w:val="0000FF"/>
                  <w:w w:val="97"/>
                </w:rPr>
                <w:t>Agreement, dated February 24, 2011, by and among</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422">
              <w:r>
                <w:rPr>
                  <w:rFonts w:ascii="Arial" w:cs="Arial" w:eastAsia="Arial" w:hAnsi="Arial"/>
                  <w:sz w:val="18"/>
                  <w:szCs w:val="18"/>
                  <w:color w:val="0000FF"/>
                  <w:w w:val="89"/>
                </w:rPr>
                <w:t>Burlington Coat Factory Warehouse Corporation, the</w:t>
              </w:r>
            </w:hyperlink>
          </w:p>
        </w:tc>
        <w:tc>
          <w:tcPr>
            <w:tcW w:w="80" w:type="dxa"/>
            <w:vAlign w:val="bottom"/>
          </w:tcPr>
          <w:p>
            <w:pPr>
              <w:spacing w:after="0"/>
              <w:rPr>
                <w:sz w:val="13"/>
                <w:szCs w:val="13"/>
                <w:color w:val="auto"/>
              </w:rPr>
            </w:pPr>
          </w:p>
        </w:tc>
        <w:tc>
          <w:tcPr>
            <w:tcW w:w="700" w:type="dxa"/>
            <w:vAlign w:val="bottom"/>
            <w:tcBorders>
              <w:right w:val="single" w:sz="8" w:color="auto"/>
            </w:tcBorders>
            <w:gridSpan w:val="22"/>
          </w:tcPr>
          <w:p>
            <w:pPr>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lenders</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422">
              <w:r>
                <w:rPr>
                  <w:rFonts w:ascii="Arial" w:cs="Arial" w:eastAsia="Arial" w:hAnsi="Arial"/>
                  <w:sz w:val="18"/>
                  <w:szCs w:val="18"/>
                  <w:color w:val="0000FF"/>
                  <w:w w:val="90"/>
                </w:rPr>
                <w:t>party thereto, JPMorgan Chase Bank, N.A., as administrative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agent and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10.1.5</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r:id="rId423">
              <w:r>
                <w:rPr>
                  <w:rFonts w:ascii="Arial" w:cs="Arial" w:eastAsia="Arial" w:hAnsi="Arial"/>
                  <w:sz w:val="18"/>
                  <w:szCs w:val="18"/>
                  <w:color w:val="0000FF"/>
                </w:rPr>
                <w:t>Amendment No. 5, dated July 29, 2016, to the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29, 2016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423">
              <w:r>
                <w:rPr>
                  <w:rFonts w:ascii="Arial" w:cs="Arial" w:eastAsia="Arial" w:hAnsi="Arial"/>
                  <w:sz w:val="18"/>
                  <w:szCs w:val="18"/>
                  <w:color w:val="0000FF"/>
                  <w:w w:val="91"/>
                </w:rPr>
                <w:t>Agreement, dated February 24, 2011, by and among</w:t>
              </w:r>
            </w:hyperlink>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r:id="rId423">
              <w:r>
                <w:rPr>
                  <w:rFonts w:ascii="Arial" w:cs="Arial" w:eastAsia="Arial" w:hAnsi="Arial"/>
                  <w:sz w:val="18"/>
                  <w:szCs w:val="18"/>
                  <w:color w:val="0000FF"/>
                  <w:w w:val="89"/>
                </w:rPr>
                <w:t>Burlington Coat Factory Warehouse Corporation, the</w:t>
              </w:r>
            </w:hyperlink>
          </w:p>
        </w:tc>
        <w:tc>
          <w:tcPr>
            <w:tcW w:w="780" w:type="dxa"/>
            <w:vAlign w:val="bottom"/>
            <w:tcBorders>
              <w:right w:val="single" w:sz="8" w:color="auto"/>
            </w:tcBorders>
            <w:gridSpan w:val="23"/>
          </w:tcPr>
          <w:p>
            <w:pPr>
              <w:ind w:left="80"/>
              <w:spacing w:after="0" w:line="156" w:lineRule="exact"/>
              <w:rPr>
                <w:rFonts w:ascii="Arial" w:cs="Arial" w:eastAsia="Arial" w:hAnsi="Arial"/>
                <w:sz w:val="18"/>
                <w:szCs w:val="18"/>
                <w:color w:val="0000FF"/>
              </w:rPr>
            </w:pPr>
            <w:hyperlink r:id="rId423">
              <w:r>
                <w:rPr>
                  <w:rFonts w:ascii="Arial" w:cs="Arial" w:eastAsia="Arial" w:hAnsi="Arial"/>
                  <w:sz w:val="18"/>
                  <w:szCs w:val="18"/>
                  <w:color w:val="0000FF"/>
                </w:rPr>
                <w:t>lenders</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423">
              <w:r>
                <w:rPr>
                  <w:rFonts w:ascii="Arial" w:cs="Arial" w:eastAsia="Arial" w:hAnsi="Arial"/>
                  <w:sz w:val="18"/>
                  <w:szCs w:val="18"/>
                  <w:color w:val="0000FF"/>
                  <w:w w:val="90"/>
                </w:rPr>
                <w:t>party thereto, JPMorgan Chase Bank, N.A., as administrative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23">
              <w:r>
                <w:rPr>
                  <w:rFonts w:ascii="Arial" w:cs="Arial" w:eastAsia="Arial" w:hAnsi="Arial"/>
                  <w:sz w:val="18"/>
                  <w:szCs w:val="18"/>
                  <w:color w:val="0000FF"/>
                </w:rPr>
                <w:t>agent and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10.1.6</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w w:val="93"/>
              </w:rPr>
            </w:pPr>
            <w:hyperlink r:id="rId424">
              <w:r>
                <w:rPr>
                  <w:rFonts w:ascii="Arial" w:cs="Arial" w:eastAsia="Arial" w:hAnsi="Arial"/>
                  <w:sz w:val="18"/>
                  <w:szCs w:val="18"/>
                  <w:color w:val="0000FF"/>
                  <w:w w:val="93"/>
                </w:rPr>
                <w:t>Amendment No. 6 to the Credit Agreement, dated November</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424">
              <w:r>
                <w:rPr>
                  <w:rFonts w:ascii="Arial" w:cs="Arial" w:eastAsia="Arial" w:hAnsi="Arial"/>
                  <w:sz w:val="18"/>
                  <w:szCs w:val="18"/>
                  <w:color w:val="0000FF"/>
                  <w:w w:val="92"/>
                </w:rPr>
                <w:t>17, 2017, to the Credit Agreement, dated February 24, 2011,</w:t>
              </w:r>
            </w:hyperlink>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424">
              <w:r>
                <w:rPr>
                  <w:rFonts w:ascii="Arial" w:cs="Arial" w:eastAsia="Arial" w:hAnsi="Arial"/>
                  <w:sz w:val="18"/>
                  <w:szCs w:val="18"/>
                  <w:color w:val="0000FF"/>
                  <w:w w:val="90"/>
                </w:rPr>
                <w:t>by and among Burlington Coat Factory Warehouse</w:t>
              </w:r>
            </w:hyperlink>
          </w:p>
        </w:tc>
        <w:tc>
          <w:tcPr>
            <w:tcW w:w="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r:id="rId424">
              <w:r>
                <w:rPr>
                  <w:rFonts w:ascii="Arial" w:cs="Arial" w:eastAsia="Arial" w:hAnsi="Arial"/>
                  <w:sz w:val="18"/>
                  <w:szCs w:val="18"/>
                  <w:color w:val="0000FF"/>
                  <w:w w:val="89"/>
                </w:rPr>
                <w:t>Corporation, the lenders party thereto, JPMorgan Chase</w:t>
              </w:r>
            </w:hyperlink>
          </w:p>
        </w:tc>
        <w:tc>
          <w:tcPr>
            <w:tcW w:w="520" w:type="dxa"/>
            <w:vAlign w:val="bottom"/>
            <w:tcBorders>
              <w:right w:val="single" w:sz="8" w:color="auto"/>
            </w:tcBorders>
            <w:gridSpan w:val="20"/>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5"/>
              </w:rPr>
            </w:pPr>
            <w:hyperlink r:id="rId424">
              <w:r>
                <w:rPr>
                  <w:rFonts w:ascii="Arial" w:cs="Arial" w:eastAsia="Arial" w:hAnsi="Arial"/>
                  <w:sz w:val="18"/>
                  <w:szCs w:val="18"/>
                  <w:color w:val="0000FF"/>
                  <w:w w:val="95"/>
                </w:rPr>
                <w:t>Bank, N.A., as administrative agent and as collateral agent.</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10.1.7</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w w:val="93"/>
              </w:rPr>
            </w:pPr>
            <w:hyperlink r:id="rId425">
              <w:r>
                <w:rPr>
                  <w:rFonts w:ascii="Arial" w:cs="Arial" w:eastAsia="Arial" w:hAnsi="Arial"/>
                  <w:sz w:val="18"/>
                  <w:szCs w:val="18"/>
                  <w:color w:val="0000FF"/>
                  <w:w w:val="93"/>
                </w:rPr>
                <w:t>Amendment No. 7 to the Credit Agreement, dated November</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8,</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425">
              <w:r>
                <w:rPr>
                  <w:rFonts w:ascii="Arial" w:cs="Arial" w:eastAsia="Arial" w:hAnsi="Arial"/>
                  <w:sz w:val="18"/>
                  <w:szCs w:val="18"/>
                  <w:color w:val="0000FF"/>
                  <w:w w:val="94"/>
                </w:rPr>
                <w:t>2, 2018, to the Credit Agreement, dated February 24, 2011,</w:t>
              </w:r>
            </w:hyperlink>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2018</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425">
              <w:r>
                <w:rPr>
                  <w:rFonts w:ascii="Arial" w:cs="Arial" w:eastAsia="Arial" w:hAnsi="Arial"/>
                  <w:sz w:val="18"/>
                  <w:szCs w:val="18"/>
                  <w:color w:val="0000FF"/>
                  <w:w w:val="90"/>
                </w:rPr>
                <w:t>by and among Burlington Coat Factory Warehouse</w:t>
              </w:r>
            </w:hyperlink>
          </w:p>
        </w:tc>
        <w:tc>
          <w:tcPr>
            <w:tcW w:w="6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r:id="rId425">
              <w:r>
                <w:rPr>
                  <w:rFonts w:ascii="Arial" w:cs="Arial" w:eastAsia="Arial" w:hAnsi="Arial"/>
                  <w:sz w:val="18"/>
                  <w:szCs w:val="18"/>
                  <w:color w:val="0000FF"/>
                  <w:w w:val="89"/>
                </w:rPr>
                <w:t>Corporation, the lenders party thereto, JPMorgan Chase</w:t>
              </w:r>
            </w:hyperlink>
          </w:p>
        </w:tc>
        <w:tc>
          <w:tcPr>
            <w:tcW w:w="520" w:type="dxa"/>
            <w:vAlign w:val="bottom"/>
            <w:tcBorders>
              <w:right w:val="single" w:sz="8" w:color="auto"/>
            </w:tcBorders>
            <w:gridSpan w:val="20"/>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5"/>
              </w:rPr>
            </w:pPr>
            <w:hyperlink r:id="rId425">
              <w:r>
                <w:rPr>
                  <w:rFonts w:ascii="Arial" w:cs="Arial" w:eastAsia="Arial" w:hAnsi="Arial"/>
                  <w:sz w:val="18"/>
                  <w:szCs w:val="18"/>
                  <w:color w:val="0000FF"/>
                  <w:w w:val="95"/>
                </w:rPr>
                <w:t>Bank, N.A., as administrative agent and as collateral agent.</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10.1.8</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w w:val="95"/>
              </w:rPr>
            </w:pPr>
            <w:hyperlink r:id="rId426">
              <w:r>
                <w:rPr>
                  <w:rFonts w:ascii="Arial" w:cs="Arial" w:eastAsia="Arial" w:hAnsi="Arial"/>
                  <w:sz w:val="18"/>
                  <w:szCs w:val="18"/>
                  <w:color w:val="0000FF"/>
                  <w:w w:val="95"/>
                </w:rPr>
                <w:t>Amendment No. 8 to the Credit Agreement, dated February</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3,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2"/>
          </w:tcPr>
          <w:p>
            <w:pPr>
              <w:spacing w:after="0" w:line="156" w:lineRule="exact"/>
              <w:rPr>
                <w:rFonts w:ascii="Arial" w:cs="Arial" w:eastAsia="Arial" w:hAnsi="Arial"/>
                <w:sz w:val="18"/>
                <w:szCs w:val="18"/>
                <w:color w:val="0000FF"/>
                <w:w w:val="88"/>
              </w:rPr>
            </w:pPr>
            <w:hyperlink r:id="rId426">
              <w:r>
                <w:rPr>
                  <w:rFonts w:ascii="Arial" w:cs="Arial" w:eastAsia="Arial" w:hAnsi="Arial"/>
                  <w:sz w:val="18"/>
                  <w:szCs w:val="18"/>
                  <w:color w:val="0000FF"/>
                  <w:w w:val="88"/>
                </w:rPr>
                <w:t>26, 2020, to the Credit Agreement, dated February 24, 2011,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426">
              <w:r>
                <w:rPr>
                  <w:rFonts w:ascii="Arial" w:cs="Arial" w:eastAsia="Arial" w:hAnsi="Arial"/>
                  <w:sz w:val="18"/>
                  <w:szCs w:val="18"/>
                  <w:color w:val="0000FF"/>
                  <w:w w:val="90"/>
                </w:rPr>
                <w:t>by and among Burlington Coat Factory Warehouse</w:t>
              </w:r>
            </w:hyperlink>
          </w:p>
        </w:tc>
        <w:tc>
          <w:tcPr>
            <w:tcW w:w="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r:id="rId426">
              <w:r>
                <w:rPr>
                  <w:rFonts w:ascii="Arial" w:cs="Arial" w:eastAsia="Arial" w:hAnsi="Arial"/>
                  <w:sz w:val="18"/>
                  <w:szCs w:val="18"/>
                  <w:color w:val="0000FF"/>
                  <w:w w:val="89"/>
                </w:rPr>
                <w:t>Corporation, the lenders party thereto, JPMorgan Chase</w:t>
              </w:r>
            </w:hyperlink>
          </w:p>
        </w:tc>
        <w:tc>
          <w:tcPr>
            <w:tcW w:w="520" w:type="dxa"/>
            <w:vAlign w:val="bottom"/>
            <w:tcBorders>
              <w:right w:val="single" w:sz="8" w:color="auto"/>
            </w:tcBorders>
            <w:gridSpan w:val="20"/>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5"/>
              </w:rPr>
            </w:pPr>
            <w:hyperlink r:id="rId426">
              <w:r>
                <w:rPr>
                  <w:rFonts w:ascii="Arial" w:cs="Arial" w:eastAsia="Arial" w:hAnsi="Arial"/>
                  <w:sz w:val="18"/>
                  <w:szCs w:val="18"/>
                  <w:color w:val="0000FF"/>
                  <w:w w:val="95"/>
                </w:rPr>
                <w:t>Bank, N.A., as administrative agent and as collateral agent.</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10.1.9</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w w:val="96"/>
              </w:rPr>
            </w:pPr>
            <w:hyperlink r:id="rId427">
              <w:r>
                <w:rPr>
                  <w:rFonts w:ascii="Arial" w:cs="Arial" w:eastAsia="Arial" w:hAnsi="Arial"/>
                  <w:sz w:val="18"/>
                  <w:szCs w:val="18"/>
                  <w:color w:val="0000FF"/>
                  <w:w w:val="96"/>
                </w:rPr>
                <w:t>Amendment No. 9, dated as of June 24, 2021, to the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June 25,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427">
              <w:r>
                <w:rPr>
                  <w:rFonts w:ascii="Arial" w:cs="Arial" w:eastAsia="Arial" w:hAnsi="Arial"/>
                  <w:sz w:val="18"/>
                  <w:szCs w:val="18"/>
                  <w:color w:val="0000FF"/>
                  <w:w w:val="89"/>
                </w:rPr>
                <w:t>Agreement dated as of February 24, 2011, by and among</w:t>
              </w:r>
            </w:hyperlink>
          </w:p>
        </w:tc>
        <w:tc>
          <w:tcPr>
            <w:tcW w:w="160" w:type="dxa"/>
            <w:vAlign w:val="bottom"/>
            <w:tcBorders>
              <w:top w:val="single" w:sz="8" w:color="0000FF"/>
            </w:tcBorders>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4"/>
              </w:rPr>
            </w:pPr>
            <w:hyperlink r:id="rId427">
              <w:r>
                <w:rPr>
                  <w:rFonts w:ascii="Arial" w:cs="Arial" w:eastAsia="Arial" w:hAnsi="Arial"/>
                  <w:sz w:val="18"/>
                  <w:szCs w:val="18"/>
                  <w:color w:val="0000FF"/>
                  <w:w w:val="94"/>
                </w:rPr>
                <w:t>Burlington Coat Factory Warehouse Corporation, JPMorgan</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427">
              <w:r>
                <w:rPr>
                  <w:rFonts w:ascii="Arial" w:cs="Arial" w:eastAsia="Arial" w:hAnsi="Arial"/>
                  <w:sz w:val="18"/>
                  <w:szCs w:val="18"/>
                  <w:color w:val="0000FF"/>
                  <w:w w:val="92"/>
                </w:rPr>
                <w:t>Chase Bank, N.A., as administrative agent, and the lenders</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27">
              <w:r>
                <w:rPr>
                  <w:rFonts w:ascii="Arial" w:cs="Arial" w:eastAsia="Arial" w:hAnsi="Arial"/>
                  <w:sz w:val="18"/>
                  <w:szCs w:val="18"/>
                  <w:color w:val="0000FF"/>
                </w:rPr>
                <w:t>and facility guarantors party thereto.</w:t>
              </w:r>
            </w:hyperlink>
          </w:p>
        </w:tc>
        <w:tc>
          <w:tcPr>
            <w:tcW w:w="16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3"/>
                <w:szCs w:val="13"/>
                <w:color w:val="auto"/>
              </w:rPr>
            </w:pPr>
          </w:p>
        </w:tc>
        <w:tc>
          <w:tcPr>
            <w:tcW w:w="4580" w:type="dxa"/>
            <w:vAlign w:val="bottom"/>
            <w:tcBorders>
              <w:right w:val="single" w:sz="8" w:color="auto"/>
            </w:tcBorders>
            <w:gridSpan w:val="31"/>
          </w:tcPr>
          <w:p>
            <w:pPr>
              <w:spacing w:after="0" w:line="156" w:lineRule="exact"/>
              <w:rPr>
                <w:rFonts w:ascii="Arial" w:cs="Arial" w:eastAsia="Arial" w:hAnsi="Arial"/>
                <w:sz w:val="18"/>
                <w:szCs w:val="18"/>
                <w:color w:val="0000FF"/>
                <w:w w:val="99"/>
              </w:rPr>
            </w:pPr>
            <w:hyperlink r:id="rId428">
              <w:r>
                <w:rPr>
                  <w:rFonts w:ascii="Arial" w:cs="Arial" w:eastAsia="Arial" w:hAnsi="Arial"/>
                  <w:sz w:val="18"/>
                  <w:szCs w:val="18"/>
                  <w:color w:val="0000FF"/>
                  <w:w w:val="99"/>
                </w:rPr>
                <w:t>Second Amended and Restated Credit Agreement, dated</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September 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428">
              <w:r>
                <w:rPr>
                  <w:rFonts w:ascii="Arial" w:cs="Arial" w:eastAsia="Arial" w:hAnsi="Arial"/>
                  <w:sz w:val="18"/>
                  <w:szCs w:val="18"/>
                  <w:color w:val="0000FF"/>
                  <w:w w:val="90"/>
                </w:rPr>
                <w:t>September 2, 2011, among Burlington Coat Factory</w:t>
              </w:r>
            </w:hyperlink>
          </w:p>
        </w:tc>
        <w:tc>
          <w:tcPr>
            <w:tcW w:w="360" w:type="dxa"/>
            <w:vAlign w:val="bottom"/>
            <w:tcBorders>
              <w:top w:val="single" w:sz="8" w:color="0000FF"/>
            </w:tcBorders>
            <w:gridSpan w:val="7"/>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r:id="rId428">
              <w:r>
                <w:rPr>
                  <w:rFonts w:ascii="Arial" w:cs="Arial" w:eastAsia="Arial" w:hAnsi="Arial"/>
                  <w:sz w:val="18"/>
                  <w:szCs w:val="18"/>
                  <w:color w:val="0000FF"/>
                  <w:w w:val="90"/>
                </w:rPr>
                <w:t>Warehouse Corporation, as lead borrower, the borrowers</w:t>
              </w:r>
            </w:hyperlink>
          </w:p>
        </w:tc>
        <w:tc>
          <w:tcPr>
            <w:tcW w:w="440" w:type="dxa"/>
            <w:vAlign w:val="bottom"/>
            <w:tcBorders>
              <w:right w:val="single" w:sz="8" w:color="auto"/>
            </w:tcBorders>
            <w:gridSpan w:val="16"/>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3"/>
              </w:rPr>
            </w:pPr>
            <w:hyperlink r:id="rId428">
              <w:r>
                <w:rPr>
                  <w:rFonts w:ascii="Arial" w:cs="Arial" w:eastAsia="Arial" w:hAnsi="Arial"/>
                  <w:sz w:val="18"/>
                  <w:szCs w:val="18"/>
                  <w:color w:val="0000FF"/>
                  <w:w w:val="93"/>
                </w:rPr>
                <w:t>named therein and the facility guarantors party thereto, Bank</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428">
              <w:r>
                <w:rPr>
                  <w:rFonts w:ascii="Arial" w:cs="Arial" w:eastAsia="Arial" w:hAnsi="Arial"/>
                  <w:sz w:val="18"/>
                  <w:szCs w:val="18"/>
                  <w:color w:val="0000FF"/>
                  <w:w w:val="95"/>
                </w:rPr>
                <w:t>of America, N.A., as administrative agent and as collateral</w:t>
              </w:r>
            </w:hyperlink>
          </w:p>
        </w:tc>
        <w:tc>
          <w:tcPr>
            <w:tcW w:w="80" w:type="dxa"/>
            <w:vAlign w:val="bottom"/>
            <w:gridSpan w:val="4"/>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428">
              <w:r>
                <w:rPr>
                  <w:rFonts w:ascii="Arial" w:cs="Arial" w:eastAsia="Arial" w:hAnsi="Arial"/>
                  <w:sz w:val="18"/>
                  <w:szCs w:val="18"/>
                  <w:color w:val="0000FF"/>
                  <w:w w:val="94"/>
                </w:rPr>
                <w:t>agent, Wells Fargo Capital Finance, LLC and JPMorgan</w:t>
              </w:r>
            </w:hyperlink>
          </w:p>
        </w:tc>
        <w:tc>
          <w:tcPr>
            <w:tcW w:w="260" w:type="dxa"/>
            <w:vAlign w:val="bottom"/>
            <w:gridSpan w:val="11"/>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7"/>
              </w:rPr>
            </w:pPr>
            <w:hyperlink r:id="rId428">
              <w:r>
                <w:rPr>
                  <w:rFonts w:ascii="Arial" w:cs="Arial" w:eastAsia="Arial" w:hAnsi="Arial"/>
                  <w:sz w:val="18"/>
                  <w:szCs w:val="18"/>
                  <w:color w:val="0000FF"/>
                  <w:w w:val="87"/>
                </w:rPr>
                <w:t>Chase Bank, N.A., as co-syndication agents, and Suntrust</w:t>
              </w:r>
            </w:hyperlink>
          </w:p>
        </w:tc>
        <w:tc>
          <w:tcPr>
            <w:tcW w:w="6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0" w:type="dxa"/>
            <w:vAlign w:val="bottom"/>
            <w:gridSpan w:val="1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58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428">
              <w:r>
                <w:rPr>
                  <w:rFonts w:ascii="Arial" w:cs="Arial" w:eastAsia="Arial" w:hAnsi="Arial"/>
                  <w:sz w:val="18"/>
                  <w:szCs w:val="18"/>
                  <w:color w:val="0000FF"/>
                  <w:w w:val="90"/>
                </w:rPr>
                <w:t>Bank and U.S. Bank, National Association, as co-</w:t>
              </w:r>
            </w:hyperlink>
          </w:p>
        </w:tc>
        <w:tc>
          <w:tcPr>
            <w:tcW w:w="620" w:type="dxa"/>
            <w:vAlign w:val="bottom"/>
            <w:gridSpan w:val="13"/>
          </w:tcPr>
          <w:p>
            <w:pPr>
              <w:spacing w:after="0"/>
              <w:rPr>
                <w:sz w:val="13"/>
                <w:szCs w:val="13"/>
                <w:color w:val="auto"/>
              </w:rPr>
            </w:pPr>
          </w:p>
        </w:tc>
        <w:tc>
          <w:tcPr>
            <w:tcW w:w="300" w:type="dxa"/>
            <w:vAlign w:val="bottom"/>
            <w:gridSpan w:val="1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gridSpan w:val="5"/>
          </w:tcPr>
          <w:p>
            <w:pPr>
              <w:spacing w:after="0" w:line="156" w:lineRule="exact"/>
              <w:rPr>
                <w:rFonts w:ascii="Arial" w:cs="Arial" w:eastAsia="Arial" w:hAnsi="Arial"/>
                <w:sz w:val="18"/>
                <w:szCs w:val="18"/>
                <w:color w:val="0000FF"/>
                <w:w w:val="89"/>
              </w:rPr>
            </w:pPr>
            <w:hyperlink r:id="rId428">
              <w:r>
                <w:rPr>
                  <w:rFonts w:ascii="Arial" w:cs="Arial" w:eastAsia="Arial" w:hAnsi="Arial"/>
                  <w:sz w:val="18"/>
                  <w:szCs w:val="18"/>
                  <w:color w:val="0000FF"/>
                  <w:w w:val="89"/>
                </w:rPr>
                <w:t>documentation agents, the lenders named therein,</w:t>
              </w:r>
            </w:hyperlink>
          </w:p>
        </w:tc>
        <w:tc>
          <w:tcPr>
            <w:tcW w:w="980" w:type="dxa"/>
            <w:vAlign w:val="bottom"/>
            <w:tcBorders>
              <w:right w:val="single" w:sz="8" w:color="auto"/>
            </w:tcBorders>
            <w:gridSpan w:val="26"/>
          </w:tcPr>
          <w:p>
            <w:pPr>
              <w:ind w:left="20"/>
              <w:spacing w:after="0" w:line="156" w:lineRule="exact"/>
              <w:rPr>
                <w:rFonts w:ascii="Arial" w:cs="Arial" w:eastAsia="Arial" w:hAnsi="Arial"/>
                <w:sz w:val="18"/>
                <w:szCs w:val="18"/>
                <w:color w:val="0000FF"/>
              </w:rPr>
            </w:pPr>
            <w:hyperlink r:id="rId428">
              <w:r>
                <w:rPr>
                  <w:rFonts w:ascii="Arial" w:cs="Arial" w:eastAsia="Arial" w:hAnsi="Arial"/>
                  <w:sz w:val="18"/>
                  <w:szCs w:val="18"/>
                  <w:color w:val="0000FF"/>
                </w:rPr>
                <w:t>Merrill</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980" w:type="dxa"/>
            <w:vAlign w:val="bottom"/>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2"/>
              </w:rPr>
            </w:pPr>
            <w:hyperlink r:id="rId428">
              <w:r>
                <w:rPr>
                  <w:rFonts w:ascii="Arial" w:cs="Arial" w:eastAsia="Arial" w:hAnsi="Arial"/>
                  <w:sz w:val="18"/>
                  <w:szCs w:val="18"/>
                  <w:color w:val="0000FF"/>
                  <w:w w:val="92"/>
                </w:rPr>
                <w:t>Lynch, Pierce, Fenner &amp; Smith Incorporated and Wells Fargo</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428">
              <w:r>
                <w:rPr>
                  <w:rFonts w:ascii="Arial" w:cs="Arial" w:eastAsia="Arial" w:hAnsi="Arial"/>
                  <w:sz w:val="18"/>
                  <w:szCs w:val="18"/>
                  <w:color w:val="0000FF"/>
                  <w:w w:val="92"/>
                </w:rPr>
                <w:t>Capital Finance, LLC, as joint lead arrangers, and Merrill</w:t>
              </w:r>
            </w:hyperlink>
          </w:p>
        </w:tc>
        <w:tc>
          <w:tcPr>
            <w:tcW w:w="320" w:type="dxa"/>
            <w:vAlign w:val="bottom"/>
            <w:tcBorders>
              <w:top w:val="single" w:sz="8" w:color="0000FF"/>
            </w:tcBorders>
            <w:gridSpan w:val="13"/>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right w:val="single" w:sz="8" w:color="auto"/>
            </w:tcBorders>
            <w:gridSpan w:val="30"/>
          </w:tcPr>
          <w:p>
            <w:pPr>
              <w:spacing w:after="0" w:line="156" w:lineRule="exact"/>
              <w:rPr>
                <w:rFonts w:ascii="Arial" w:cs="Arial" w:eastAsia="Arial" w:hAnsi="Arial"/>
                <w:sz w:val="18"/>
                <w:szCs w:val="18"/>
                <w:color w:val="0000FF"/>
                <w:w w:val="92"/>
              </w:rPr>
            </w:pPr>
            <w:hyperlink r:id="rId428">
              <w:r>
                <w:rPr>
                  <w:rFonts w:ascii="Arial" w:cs="Arial" w:eastAsia="Arial" w:hAnsi="Arial"/>
                  <w:sz w:val="18"/>
                  <w:szCs w:val="18"/>
                  <w:color w:val="0000FF"/>
                  <w:w w:val="92"/>
                </w:rPr>
                <w:t>Lynch, Pierce, Fenner &amp; Smith Incorporated and Wells Fargo</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28">
              <w:r>
                <w:rPr>
                  <w:rFonts w:ascii="Arial" w:cs="Arial" w:eastAsia="Arial" w:hAnsi="Arial"/>
                  <w:sz w:val="18"/>
                  <w:szCs w:val="18"/>
                  <w:color w:val="0000FF"/>
                </w:rPr>
                <w:t>Capital Finance, LLC, as joint bookrunners.</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gridSpan w:val="6"/>
          </w:tcPr>
          <w:p>
            <w:pPr>
              <w:jc w:val="right"/>
              <w:ind w:right="1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10.2.1</w:t>
            </w:r>
          </w:p>
        </w:tc>
        <w:tc>
          <w:tcPr>
            <w:tcW w:w="100" w:type="dxa"/>
            <w:vAlign w:val="bottom"/>
            <w:tcBorders>
              <w:top w:val="single" w:sz="8" w:color="auto"/>
            </w:tcBorders>
          </w:tcPr>
          <w:p>
            <w:pPr>
              <w:spacing w:after="0"/>
              <w:rPr>
                <w:sz w:val="16"/>
                <w:szCs w:val="16"/>
                <w:color w:val="auto"/>
              </w:rPr>
            </w:pPr>
          </w:p>
        </w:tc>
        <w:tc>
          <w:tcPr>
            <w:tcW w:w="4560" w:type="dxa"/>
            <w:vAlign w:val="bottom"/>
            <w:tcBorders>
              <w:top w:val="single" w:sz="8" w:color="auto"/>
              <w:right w:val="single" w:sz="8" w:color="auto"/>
            </w:tcBorders>
            <w:gridSpan w:val="34"/>
          </w:tcPr>
          <w:p>
            <w:pPr>
              <w:spacing w:after="0" w:line="192" w:lineRule="exact"/>
              <w:rPr>
                <w:rFonts w:ascii="Arial" w:cs="Arial" w:eastAsia="Arial" w:hAnsi="Arial"/>
                <w:sz w:val="18"/>
                <w:szCs w:val="18"/>
                <w:color w:val="0000FF"/>
                <w:w w:val="96"/>
              </w:rPr>
            </w:pPr>
            <w:hyperlink r:id="rId431">
              <w:r>
                <w:rPr>
                  <w:rFonts w:ascii="Arial" w:cs="Arial" w:eastAsia="Arial" w:hAnsi="Arial"/>
                  <w:sz w:val="18"/>
                  <w:szCs w:val="18"/>
                  <w:color w:val="0000FF"/>
                  <w:w w:val="96"/>
                </w:rPr>
                <w:t>First Amendment to Second Amended and Restated Credit</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w w:val="99"/>
              </w:rPr>
              <w:t>August 18, 2014</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6"/>
              </w:rPr>
            </w:pPr>
            <w:hyperlink r:id="rId431">
              <w:r>
                <w:rPr>
                  <w:rFonts w:ascii="Arial" w:cs="Arial" w:eastAsia="Arial" w:hAnsi="Arial"/>
                  <w:sz w:val="18"/>
                  <w:szCs w:val="18"/>
                  <w:color w:val="0000FF"/>
                  <w:w w:val="86"/>
                </w:rPr>
                <w:t>Agreement, dated August 13, 2014, by and among Burlington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gridSpan w:val="33"/>
          </w:tcPr>
          <w:p>
            <w:pPr>
              <w:spacing w:after="0" w:line="156" w:lineRule="exact"/>
              <w:rPr>
                <w:rFonts w:ascii="Arial" w:cs="Arial" w:eastAsia="Arial" w:hAnsi="Arial"/>
                <w:sz w:val="18"/>
                <w:szCs w:val="18"/>
                <w:color w:val="0000FF"/>
                <w:w w:val="92"/>
              </w:rPr>
            </w:pPr>
            <w:hyperlink r:id="rId431">
              <w:r>
                <w:rPr>
                  <w:rFonts w:ascii="Arial" w:cs="Arial" w:eastAsia="Arial" w:hAnsi="Arial"/>
                  <w:sz w:val="18"/>
                  <w:szCs w:val="18"/>
                  <w:color w:val="0000FF"/>
                  <w:w w:val="92"/>
                </w:rPr>
                <w:t>Coat Factory Warehouse Corporation, as lead borrower, the</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89"/>
              </w:rPr>
            </w:pPr>
            <w:hyperlink r:id="rId431">
              <w:r>
                <w:rPr>
                  <w:rFonts w:ascii="Arial" w:cs="Arial" w:eastAsia="Arial" w:hAnsi="Arial"/>
                  <w:sz w:val="18"/>
                  <w:szCs w:val="18"/>
                  <w:color w:val="0000FF"/>
                  <w:w w:val="89"/>
                </w:rPr>
                <w:t>other borrowers party thereto, the facility guarantors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31"/>
          </w:tcPr>
          <w:p>
            <w:pPr>
              <w:spacing w:after="0" w:line="156" w:lineRule="exact"/>
              <w:rPr>
                <w:rFonts w:ascii="Arial" w:cs="Arial" w:eastAsia="Arial" w:hAnsi="Arial"/>
                <w:sz w:val="18"/>
                <w:szCs w:val="18"/>
                <w:color w:val="0000FF"/>
                <w:w w:val="99"/>
              </w:rPr>
            </w:pPr>
            <w:hyperlink r:id="rId431">
              <w:r>
                <w:rPr>
                  <w:rFonts w:ascii="Arial" w:cs="Arial" w:eastAsia="Arial" w:hAnsi="Arial"/>
                  <w:sz w:val="18"/>
                  <w:szCs w:val="18"/>
                  <w:color w:val="0000FF"/>
                  <w:w w:val="99"/>
                </w:rPr>
                <w:t>the lenders party thereto and Bank of America, N.A., as</w:t>
              </w:r>
            </w:hyperlink>
          </w:p>
        </w:tc>
        <w:tc>
          <w:tcPr>
            <w:tcW w:w="2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60" w:type="dxa"/>
            <w:vAlign w:val="bottom"/>
            <w:tcBorders>
              <w:top w:val="single" w:sz="8" w:color="0000FF"/>
              <w:bottom w:val="single" w:sz="8" w:color="auto"/>
            </w:tcBorders>
            <w:gridSpan w:val="17"/>
          </w:tcPr>
          <w:p>
            <w:pPr>
              <w:spacing w:after="0" w:line="156" w:lineRule="exact"/>
              <w:rPr>
                <w:rFonts w:ascii="Arial" w:cs="Arial" w:eastAsia="Arial" w:hAnsi="Arial"/>
                <w:sz w:val="18"/>
                <w:szCs w:val="18"/>
                <w:color w:val="0000FF"/>
              </w:rPr>
            </w:pPr>
            <w:hyperlink r:id="rId431">
              <w:r>
                <w:rPr>
                  <w:rFonts w:ascii="Arial" w:cs="Arial" w:eastAsia="Arial" w:hAnsi="Arial"/>
                  <w:sz w:val="18"/>
                  <w:szCs w:val="18"/>
                  <w:color w:val="0000FF"/>
                </w:rPr>
                <w:t>administrative agent and collateral agent.</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right w:val="single" w:sz="8" w:color="auto"/>
            </w:tcBorders>
            <w:gridSpan w:val="2"/>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1"/>
              </w:rPr>
            </w:pPr>
            <w:hyperlink r:id="rId432">
              <w:r>
                <w:rPr>
                  <w:rFonts w:ascii="Arial" w:cs="Arial" w:eastAsia="Arial" w:hAnsi="Arial"/>
                  <w:sz w:val="18"/>
                  <w:szCs w:val="18"/>
                  <w:color w:val="0000FF"/>
                  <w:w w:val="91"/>
                </w:rPr>
                <w:t>Second Amendment to Second Amended and Restated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2, 2018</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432">
              <w:r>
                <w:rPr>
                  <w:rFonts w:ascii="Arial" w:cs="Arial" w:eastAsia="Arial" w:hAnsi="Arial"/>
                  <w:sz w:val="18"/>
                  <w:szCs w:val="18"/>
                  <w:color w:val="0000FF"/>
                  <w:w w:val="93"/>
                </w:rPr>
                <w:t>Agreement, dated June 29, 2018, by and among Burlington</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FF"/>
            </w:tcBorders>
            <w:gridSpan w:val="26"/>
          </w:tcPr>
          <w:p>
            <w:pPr>
              <w:spacing w:after="0" w:line="156" w:lineRule="exact"/>
              <w:rPr>
                <w:rFonts w:ascii="Arial" w:cs="Arial" w:eastAsia="Arial" w:hAnsi="Arial"/>
                <w:sz w:val="18"/>
                <w:szCs w:val="18"/>
                <w:color w:val="0000FF"/>
                <w:w w:val="89"/>
              </w:rPr>
            </w:pPr>
            <w:hyperlink r:id="rId432">
              <w:r>
                <w:rPr>
                  <w:rFonts w:ascii="Arial" w:cs="Arial" w:eastAsia="Arial" w:hAnsi="Arial"/>
                  <w:sz w:val="18"/>
                  <w:szCs w:val="18"/>
                  <w:color w:val="0000FF"/>
                  <w:w w:val="89"/>
                </w:rPr>
                <w:t>Coat Factory Warehouse Corporation, as lead borrower,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top w:val="single" w:sz="8" w:color="0000FF"/>
            </w:tcBorders>
            <w:gridSpan w:val="27"/>
          </w:tcPr>
          <w:p>
            <w:pPr>
              <w:spacing w:after="0" w:line="156" w:lineRule="exact"/>
              <w:rPr>
                <w:rFonts w:ascii="Arial" w:cs="Arial" w:eastAsia="Arial" w:hAnsi="Arial"/>
                <w:sz w:val="18"/>
                <w:szCs w:val="18"/>
                <w:color w:val="0000FF"/>
                <w:w w:val="89"/>
              </w:rPr>
            </w:pPr>
            <w:hyperlink r:id="rId432">
              <w:r>
                <w:rPr>
                  <w:rFonts w:ascii="Arial" w:cs="Arial" w:eastAsia="Arial" w:hAnsi="Arial"/>
                  <w:sz w:val="18"/>
                  <w:szCs w:val="18"/>
                  <w:color w:val="0000FF"/>
                  <w:w w:val="89"/>
                </w:rPr>
                <w:t>other borrowers party thereto, the facility guarantors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Borders>
              <w:top w:val="single" w:sz="8" w:color="0000FF"/>
            </w:tcBorders>
            <w:gridSpan w:val="31"/>
          </w:tcPr>
          <w:p>
            <w:pPr>
              <w:spacing w:after="0" w:line="156" w:lineRule="exact"/>
              <w:rPr>
                <w:rFonts w:ascii="Arial" w:cs="Arial" w:eastAsia="Arial" w:hAnsi="Arial"/>
                <w:sz w:val="18"/>
                <w:szCs w:val="18"/>
                <w:color w:val="0000FF"/>
                <w:w w:val="99"/>
              </w:rPr>
            </w:pPr>
            <w:hyperlink r:id="rId432">
              <w:r>
                <w:rPr>
                  <w:rFonts w:ascii="Arial" w:cs="Arial" w:eastAsia="Arial" w:hAnsi="Arial"/>
                  <w:sz w:val="18"/>
                  <w:szCs w:val="18"/>
                  <w:color w:val="0000FF"/>
                  <w:w w:val="99"/>
                </w:rPr>
                <w:t>the lenders party thereto and Bank of America, N.A., as</w:t>
              </w:r>
            </w:hyperlink>
          </w:p>
        </w:tc>
        <w:tc>
          <w:tcPr>
            <w:tcW w:w="2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32">
              <w:r>
                <w:rPr>
                  <w:rFonts w:ascii="Arial" w:cs="Arial" w:eastAsia="Arial" w:hAnsi="Arial"/>
                  <w:sz w:val="18"/>
                  <w:szCs w:val="18"/>
                  <w:color w:val="0000FF"/>
                </w:rPr>
                <w:t>administrative agent and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33">
              <w:r>
                <w:rPr>
                  <w:rFonts w:ascii="Arial" w:cs="Arial" w:eastAsia="Arial" w:hAnsi="Arial"/>
                  <w:sz w:val="18"/>
                  <w:szCs w:val="18"/>
                  <w:color w:val="0000FF"/>
                </w:rPr>
                <w:t>Consent and Technical Modification Agreement, dated</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20,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4"/>
              </w:rPr>
            </w:pPr>
            <w:hyperlink r:id="rId433">
              <w:r>
                <w:rPr>
                  <w:rFonts w:ascii="Arial" w:cs="Arial" w:eastAsia="Arial" w:hAnsi="Arial"/>
                  <w:sz w:val="18"/>
                  <w:szCs w:val="18"/>
                  <w:color w:val="0000FF"/>
                  <w:w w:val="94"/>
                </w:rPr>
                <w:t>December 3, 2018, by and between Burlington Coat Factory</w:t>
              </w:r>
            </w:hyperlink>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Borders>
              <w:top w:val="single" w:sz="8" w:color="0000FF"/>
            </w:tcBorders>
            <w:gridSpan w:val="30"/>
          </w:tcPr>
          <w:p>
            <w:pPr>
              <w:spacing w:after="0" w:line="156" w:lineRule="exact"/>
              <w:rPr>
                <w:rFonts w:ascii="Arial" w:cs="Arial" w:eastAsia="Arial" w:hAnsi="Arial"/>
                <w:sz w:val="18"/>
                <w:szCs w:val="18"/>
                <w:color w:val="0000FF"/>
                <w:w w:val="98"/>
              </w:rPr>
            </w:pPr>
            <w:hyperlink r:id="rId433">
              <w:r>
                <w:rPr>
                  <w:rFonts w:ascii="Arial" w:cs="Arial" w:eastAsia="Arial" w:hAnsi="Arial"/>
                  <w:sz w:val="18"/>
                  <w:szCs w:val="18"/>
                  <w:color w:val="0000FF"/>
                  <w:w w:val="98"/>
                </w:rPr>
                <w:t>Warehouse Corporation, as lead borrower, and Bank of</w:t>
              </w:r>
            </w:hyperlink>
          </w:p>
        </w:tc>
        <w:tc>
          <w:tcPr>
            <w:tcW w:w="4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433">
              <w:r>
                <w:rPr>
                  <w:rFonts w:ascii="Arial" w:cs="Arial" w:eastAsia="Arial" w:hAnsi="Arial"/>
                  <w:sz w:val="18"/>
                  <w:szCs w:val="18"/>
                  <w:color w:val="0000FF"/>
                </w:rPr>
                <w:t>America,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10.2.4</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4"/>
              </w:rPr>
            </w:pPr>
            <w:hyperlink r:id="rId434">
              <w:r>
                <w:rPr>
                  <w:rFonts w:ascii="Arial" w:cs="Arial" w:eastAsia="Arial" w:hAnsi="Arial"/>
                  <w:sz w:val="18"/>
                  <w:szCs w:val="18"/>
                  <w:color w:val="0000FF"/>
                  <w:w w:val="94"/>
                </w:rPr>
                <w:t>Consent and Technical Modification Agreement, dated as of</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29,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34">
              <w:r>
                <w:rPr>
                  <w:rFonts w:ascii="Arial" w:cs="Arial" w:eastAsia="Arial" w:hAnsi="Arial"/>
                  <w:sz w:val="18"/>
                  <w:szCs w:val="18"/>
                  <w:color w:val="0000FF"/>
                </w:rPr>
                <w:t>April 7, 2020, by and between Burlington Coat Factory</w:t>
              </w:r>
            </w:hyperlink>
          </w:p>
        </w:tc>
        <w:tc>
          <w:tcPr>
            <w:tcW w:w="60" w:type="dxa"/>
            <w:vAlign w:val="bottom"/>
            <w:gridSpan w:val="3"/>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tcBorders>
              <w:top w:val="single" w:sz="8" w:color="0000FF"/>
            </w:tcBorders>
            <w:gridSpan w:val="16"/>
          </w:tcPr>
          <w:p>
            <w:pPr>
              <w:spacing w:after="0" w:line="156" w:lineRule="exact"/>
              <w:rPr>
                <w:rFonts w:ascii="Arial" w:cs="Arial" w:eastAsia="Arial" w:hAnsi="Arial"/>
                <w:sz w:val="18"/>
                <w:szCs w:val="18"/>
                <w:color w:val="0000FF"/>
                <w:w w:val="98"/>
              </w:rPr>
            </w:pPr>
            <w:hyperlink r:id="rId434">
              <w:r>
                <w:rPr>
                  <w:rFonts w:ascii="Arial" w:cs="Arial" w:eastAsia="Arial" w:hAnsi="Arial"/>
                  <w:sz w:val="18"/>
                  <w:szCs w:val="18"/>
                  <w:color w:val="0000FF"/>
                  <w:w w:val="98"/>
                </w:rPr>
                <w:t>Warehouse Corporation and Bank of America, N.A.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10.2.5</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4"/>
              </w:rPr>
            </w:pPr>
            <w:hyperlink r:id="rId435">
              <w:r>
                <w:rPr>
                  <w:rFonts w:ascii="Arial" w:cs="Arial" w:eastAsia="Arial" w:hAnsi="Arial"/>
                  <w:sz w:val="18"/>
                  <w:szCs w:val="18"/>
                  <w:color w:val="0000FF"/>
                  <w:w w:val="94"/>
                </w:rPr>
                <w:t>Third Amendment to Second Amended and Restated 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December 22,</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140" w:type="dxa"/>
            <w:vAlign w:val="bottom"/>
            <w:tcBorders>
              <w:right w:val="single" w:sz="8" w:color="auto"/>
            </w:tcBorders>
            <w:gridSpan w:val="2"/>
            <w:vMerge w:val="restart"/>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vMerge w:val="restart"/>
          </w:tcPr>
          <w:p>
            <w:pPr>
              <w:ind w:left="100"/>
              <w:spacing w:after="0" w:line="176" w:lineRule="exact"/>
              <w:rPr>
                <w:sz w:val="20"/>
                <w:szCs w:val="20"/>
                <w:color w:val="auto"/>
              </w:rPr>
            </w:pPr>
            <w:r>
              <w:rPr>
                <w:rFonts w:ascii="Arial" w:cs="Arial" w:eastAsia="Arial" w:hAnsi="Arial"/>
                <w:sz w:val="18"/>
                <w:szCs w:val="18"/>
                <w:color w:val="auto"/>
              </w:rPr>
              <w:t>2021</w:t>
            </w: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gridSpan w:val="28"/>
          </w:tcPr>
          <w:p>
            <w:pPr>
              <w:spacing w:after="0" w:line="156" w:lineRule="exact"/>
              <w:rPr>
                <w:rFonts w:ascii="Arial" w:cs="Arial" w:eastAsia="Arial" w:hAnsi="Arial"/>
                <w:sz w:val="18"/>
                <w:szCs w:val="18"/>
                <w:color w:val="0000FF"/>
                <w:w w:val="91"/>
              </w:rPr>
            </w:pPr>
            <w:hyperlink r:id="rId435">
              <w:r>
                <w:rPr>
                  <w:rFonts w:ascii="Arial" w:cs="Arial" w:eastAsia="Arial" w:hAnsi="Arial"/>
                  <w:sz w:val="18"/>
                  <w:szCs w:val="18"/>
                  <w:color w:val="0000FF"/>
                  <w:w w:val="91"/>
                </w:rPr>
                <w:t>Agreement, dated as of December 22, 2021, by and among</w:t>
              </w:r>
            </w:hyperlink>
          </w:p>
        </w:tc>
        <w:tc>
          <w:tcPr>
            <w:tcW w:w="80" w:type="dxa"/>
            <w:vAlign w:val="bottom"/>
            <w:gridSpan w:val="4"/>
            <w:vMerge w:val="continue"/>
          </w:tcPr>
          <w:p>
            <w:pPr>
              <w:spacing w:after="0"/>
              <w:rPr>
                <w:sz w:val="13"/>
                <w:szCs w:val="13"/>
                <w:color w:val="auto"/>
              </w:rPr>
            </w:pPr>
          </w:p>
        </w:tc>
        <w:tc>
          <w:tcPr>
            <w:tcW w:w="140" w:type="dxa"/>
            <w:vAlign w:val="bottom"/>
            <w:tcBorders>
              <w:right w:val="single" w:sz="8" w:color="auto"/>
            </w:tcBorders>
            <w:gridSpan w:val="2"/>
            <w:vMerge w:val="continue"/>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435">
              <w:r>
                <w:rPr>
                  <w:rFonts w:ascii="Arial" w:cs="Arial" w:eastAsia="Arial" w:hAnsi="Arial"/>
                  <w:sz w:val="18"/>
                  <w:szCs w:val="18"/>
                  <w:color w:val="0000FF"/>
                  <w:w w:val="93"/>
                </w:rPr>
                <w:t>Burlington Coat Factory Warehouse Corporation, as lead</w:t>
              </w:r>
            </w:hyperlink>
          </w:p>
        </w:tc>
        <w:tc>
          <w:tcPr>
            <w:tcW w:w="140" w:type="dxa"/>
            <w:vAlign w:val="bottom"/>
            <w:gridSpan w:val="7"/>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435">
              <w:r>
                <w:rPr>
                  <w:rFonts w:ascii="Arial" w:cs="Arial" w:eastAsia="Arial" w:hAnsi="Arial"/>
                  <w:sz w:val="18"/>
                  <w:szCs w:val="18"/>
                  <w:color w:val="0000FF"/>
                  <w:w w:val="94"/>
                </w:rPr>
                <w:t>borrower, the other borrowers party thereto, the facility</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435">
              <w:r>
                <w:rPr>
                  <w:rFonts w:ascii="Arial" w:cs="Arial" w:eastAsia="Arial" w:hAnsi="Arial"/>
                  <w:sz w:val="18"/>
                  <w:szCs w:val="18"/>
                  <w:color w:val="0000FF"/>
                  <w:w w:val="90"/>
                </w:rPr>
                <w:t>guarantors party thereto, each lender party thereto, and</w:t>
              </w:r>
            </w:hyperlink>
          </w:p>
        </w:tc>
        <w:tc>
          <w:tcPr>
            <w:tcW w:w="540" w:type="dxa"/>
            <w:vAlign w:val="bottom"/>
            <w:tcBorders>
              <w:right w:val="single" w:sz="8" w:color="auto"/>
            </w:tcBorders>
            <w:gridSpan w:val="19"/>
          </w:tcPr>
          <w:p>
            <w:pPr>
              <w:spacing w:after="0" w:line="156" w:lineRule="exact"/>
              <w:rPr>
                <w:rFonts w:ascii="Arial" w:cs="Arial" w:eastAsia="Arial" w:hAnsi="Arial"/>
                <w:sz w:val="18"/>
                <w:szCs w:val="18"/>
                <w:color w:val="0000FF"/>
              </w:rPr>
            </w:pPr>
            <w:hyperlink r:id="rId435">
              <w:r>
                <w:rPr>
                  <w:rFonts w:ascii="Arial" w:cs="Arial" w:eastAsia="Arial" w:hAnsi="Arial"/>
                  <w:sz w:val="18"/>
                  <w:szCs w:val="18"/>
                  <w:color w:val="0000FF"/>
                </w:rPr>
                <w:t>Bank</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435">
              <w:r>
                <w:rPr>
                  <w:rFonts w:ascii="Arial" w:cs="Arial" w:eastAsia="Arial" w:hAnsi="Arial"/>
                  <w:sz w:val="18"/>
                  <w:szCs w:val="18"/>
                  <w:color w:val="0000FF"/>
                </w:rPr>
                <w:t>of America, N.A., as administrative agent and collateral</w:t>
              </w:r>
            </w:hyperlink>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35">
              <w:r>
                <w:rPr>
                  <w:rFonts w:ascii="Arial" w:cs="Arial" w:eastAsia="Arial" w:hAnsi="Arial"/>
                  <w:sz w:val="18"/>
                  <w:szCs w:val="18"/>
                  <w:color w:val="0000FF"/>
                </w:rPr>
                <w:t>agent.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36">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gridSpan w:val="11"/>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vMerge w:val="restart"/>
          </w:tcPr>
          <w:p>
            <w:pPr>
              <w:ind w:left="100"/>
              <w:spacing w:after="0" w:line="17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36">
              <w:r>
                <w:rPr>
                  <w:rFonts w:ascii="Arial" w:cs="Arial" w:eastAsia="Arial" w:hAnsi="Arial"/>
                  <w:sz w:val="18"/>
                  <w:szCs w:val="18"/>
                  <w:color w:val="0000FF"/>
                </w:rPr>
                <w:t>borrowers party thereto in favor of PNC Bank, National</w:t>
              </w:r>
            </w:hyperlink>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36">
              <w:r>
                <w:rPr>
                  <w:rFonts w:ascii="Arial" w:cs="Arial" w:eastAsia="Arial" w:hAnsi="Arial"/>
                  <w:sz w:val="18"/>
                  <w:szCs w:val="18"/>
                  <w:color w:val="0000FF"/>
                </w:rPr>
                <w:t>Association.</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37">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437">
              <w:r>
                <w:rPr>
                  <w:rFonts w:ascii="Arial" w:cs="Arial" w:eastAsia="Arial" w:hAnsi="Arial"/>
                  <w:sz w:val="18"/>
                  <w:szCs w:val="18"/>
                  <w:color w:val="0000FF"/>
                  <w:w w:val="89"/>
                </w:rPr>
                <w:t>borrowers party thereto in favor of Siemens Financial</w:t>
              </w:r>
            </w:hyperlink>
          </w:p>
        </w:tc>
        <w:tc>
          <w:tcPr>
            <w:tcW w:w="100" w:type="dxa"/>
            <w:vAlign w:val="bottom"/>
            <w:tcBorders>
              <w:bottom w:val="single" w:sz="8" w:color="0000FF"/>
            </w:tcBorders>
          </w:tcPr>
          <w:p>
            <w:pPr>
              <w:spacing w:after="0"/>
              <w:rPr>
                <w:sz w:val="13"/>
                <w:szCs w:val="13"/>
                <w:color w:val="auto"/>
              </w:rPr>
            </w:pPr>
          </w:p>
        </w:tc>
        <w:tc>
          <w:tcPr>
            <w:tcW w:w="28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12"/>
          </w:tcPr>
          <w:p>
            <w:pPr>
              <w:spacing w:after="0" w:line="156" w:lineRule="exact"/>
              <w:rPr>
                <w:rFonts w:ascii="Arial" w:cs="Arial" w:eastAsia="Arial" w:hAnsi="Arial"/>
                <w:sz w:val="18"/>
                <w:szCs w:val="18"/>
                <w:color w:val="0000FF"/>
              </w:rPr>
            </w:pPr>
            <w:hyperlink r:id="rId437">
              <w:r>
                <w:rPr>
                  <w:rFonts w:ascii="Arial" w:cs="Arial" w:eastAsia="Arial" w:hAnsi="Arial"/>
                  <w:sz w:val="18"/>
                  <w:szCs w:val="18"/>
                  <w:color w:val="0000FF"/>
                </w:rPr>
                <w:t>Services, Inc.</w:t>
              </w:r>
            </w:hyperlink>
          </w:p>
        </w:tc>
        <w:tc>
          <w:tcPr>
            <w:tcW w:w="28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1"/>
              </w:rPr>
            </w:pPr>
            <w:hyperlink r:id="rId438">
              <w:r>
                <w:rPr>
                  <w:rFonts w:ascii="Arial" w:cs="Arial" w:eastAsia="Arial" w:hAnsi="Arial"/>
                  <w:sz w:val="18"/>
                  <w:szCs w:val="18"/>
                  <w:color w:val="0000FF"/>
                  <w:w w:val="91"/>
                </w:rPr>
                <w:t>Amended and Restated Revolving Credit Note, dated January</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Transition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30, 2010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438">
              <w:r>
                <w:rPr>
                  <w:rFonts w:ascii="Arial" w:cs="Arial" w:eastAsia="Arial" w:hAnsi="Arial"/>
                  <w:sz w:val="18"/>
                  <w:szCs w:val="18"/>
                  <w:color w:val="0000FF"/>
                  <w:w w:val="97"/>
                </w:rPr>
                <w:t>15, 2010, by the borrowers party thereto in favor of Wells</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10-K/T</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1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38">
              <w:r>
                <w:rPr>
                  <w:rFonts w:ascii="Arial" w:cs="Arial" w:eastAsia="Arial" w:hAnsi="Arial"/>
                  <w:sz w:val="18"/>
                  <w:szCs w:val="18"/>
                  <w:color w:val="0000FF"/>
                </w:rPr>
                <w:t>Fargo Retail Finance, LLC.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39">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gridSpan w:val="11"/>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vMerge w:val="restart"/>
          </w:tcPr>
          <w:p>
            <w:pPr>
              <w:ind w:left="100"/>
              <w:spacing w:after="0" w:line="17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w w:val="99"/>
              </w:rPr>
            </w:pPr>
            <w:hyperlink r:id="rId439">
              <w:r>
                <w:rPr>
                  <w:rFonts w:ascii="Arial" w:cs="Arial" w:eastAsia="Arial" w:hAnsi="Arial"/>
                  <w:sz w:val="18"/>
                  <w:szCs w:val="18"/>
                  <w:color w:val="0000FF"/>
                  <w:w w:val="99"/>
                </w:rPr>
                <w:t>borrowers party thereto in favor of National City Business</w:t>
              </w:r>
            </w:hyperlink>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39">
              <w:r>
                <w:rPr>
                  <w:rFonts w:ascii="Arial" w:cs="Arial" w:eastAsia="Arial" w:hAnsi="Arial"/>
                  <w:sz w:val="18"/>
                  <w:szCs w:val="18"/>
                  <w:color w:val="0000FF"/>
                </w:rPr>
                <w:t>Credit, Inc.</w:t>
              </w:r>
            </w:hyperlink>
          </w:p>
        </w:tc>
        <w:tc>
          <w:tcPr>
            <w:tcW w:w="320" w:type="dxa"/>
            <w:vAlign w:val="bottom"/>
            <w:tcBorders>
              <w:right w:val="single" w:sz="8" w:color="auto"/>
            </w:tcBorders>
            <w:gridSpan w:val="1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40">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440">
              <w:r>
                <w:rPr>
                  <w:rFonts w:ascii="Arial" w:cs="Arial" w:eastAsia="Arial" w:hAnsi="Arial"/>
                  <w:sz w:val="18"/>
                  <w:szCs w:val="18"/>
                  <w:color w:val="0000FF"/>
                  <w:w w:val="92"/>
                </w:rPr>
                <w:t>borrowers party thereto in favor of Citizens Bank of</w:t>
              </w:r>
            </w:hyperlink>
          </w:p>
        </w:tc>
        <w:tc>
          <w:tcPr>
            <w:tcW w:w="420" w:type="dxa"/>
            <w:vAlign w:val="bottom"/>
            <w:gridSpan w:val="11"/>
          </w:tcPr>
          <w:p>
            <w:pPr>
              <w:spacing w:after="0"/>
              <w:rPr>
                <w:sz w:val="13"/>
                <w:szCs w:val="13"/>
                <w:color w:val="auto"/>
              </w:rPr>
            </w:pPr>
          </w:p>
        </w:tc>
        <w:tc>
          <w:tcPr>
            <w:tcW w:w="340" w:type="dxa"/>
            <w:vAlign w:val="bottom"/>
            <w:tcBorders>
              <w:right w:val="single" w:sz="8" w:color="auto"/>
            </w:tcBorders>
            <w:gridSpan w:val="1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40">
              <w:r>
                <w:rPr>
                  <w:rFonts w:ascii="Arial" w:cs="Arial" w:eastAsia="Arial" w:hAnsi="Arial"/>
                  <w:sz w:val="18"/>
                  <w:szCs w:val="18"/>
                  <w:color w:val="0000FF"/>
                </w:rPr>
                <w:t>Pennsylvania.</w:t>
              </w:r>
            </w:hyperlink>
          </w:p>
        </w:tc>
        <w:tc>
          <w:tcPr>
            <w:tcW w:w="420" w:type="dxa"/>
            <w:vAlign w:val="bottom"/>
            <w:gridSpan w:val="11"/>
          </w:tcPr>
          <w:p>
            <w:pPr>
              <w:spacing w:after="0"/>
              <w:rPr>
                <w:sz w:val="13"/>
                <w:szCs w:val="13"/>
                <w:color w:val="auto"/>
              </w:rPr>
            </w:pPr>
          </w:p>
        </w:tc>
        <w:tc>
          <w:tcPr>
            <w:tcW w:w="340" w:type="dxa"/>
            <w:vAlign w:val="bottom"/>
            <w:tcBorders>
              <w:right w:val="single" w:sz="8" w:color="auto"/>
            </w:tcBorders>
            <w:gridSpan w:val="1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41">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441">
              <w:r>
                <w:rPr>
                  <w:rFonts w:ascii="Arial" w:cs="Arial" w:eastAsia="Arial" w:hAnsi="Arial"/>
                  <w:sz w:val="18"/>
                  <w:szCs w:val="18"/>
                  <w:color w:val="0000FF"/>
                  <w:w w:val="93"/>
                </w:rPr>
                <w:t>borrowers party thereto in favor of HSBC Business</w:t>
              </w:r>
            </w:hyperlink>
          </w:p>
        </w:tc>
        <w:tc>
          <w:tcPr>
            <w:tcW w:w="760" w:type="dxa"/>
            <w:vAlign w:val="bottom"/>
            <w:tcBorders>
              <w:right w:val="single" w:sz="8" w:color="auto"/>
            </w:tcBorders>
            <w:gridSpan w:val="23"/>
          </w:tcPr>
          <w:p>
            <w:pPr>
              <w:spacing w:after="0" w:line="156" w:lineRule="exact"/>
              <w:rPr>
                <w:rFonts w:ascii="Arial" w:cs="Arial" w:eastAsia="Arial" w:hAnsi="Arial"/>
                <w:sz w:val="18"/>
                <w:szCs w:val="18"/>
                <w:color w:val="0000FF"/>
              </w:rPr>
            </w:pPr>
            <w:hyperlink r:id="rId441">
              <w:r>
                <w:rPr>
                  <w:rFonts w:ascii="Arial" w:cs="Arial" w:eastAsia="Arial" w:hAnsi="Arial"/>
                  <w:sz w:val="18"/>
                  <w:szCs w:val="18"/>
                  <w:color w:val="0000FF"/>
                </w:rPr>
                <w:t>Credit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41">
              <w:r>
                <w:rPr>
                  <w:rFonts w:ascii="Arial" w:cs="Arial" w:eastAsia="Arial" w:hAnsi="Arial"/>
                  <w:sz w:val="18"/>
                  <w:szCs w:val="18"/>
                  <w:color w:val="0000FF"/>
                </w:rPr>
                <w:t>(USA), Inc.</w:t>
              </w:r>
            </w:hyperlink>
          </w:p>
        </w:tc>
        <w:tc>
          <w:tcPr>
            <w:tcW w:w="340" w:type="dxa"/>
            <w:vAlign w:val="bottom"/>
            <w:tcBorders>
              <w:right w:val="single" w:sz="8" w:color="auto"/>
            </w:tcBorders>
            <w:gridSpan w:val="1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3"/>
                <w:szCs w:val="13"/>
                <w:color w:val="auto"/>
              </w:rPr>
            </w:pPr>
          </w:p>
        </w:tc>
        <w:tc>
          <w:tcPr>
            <w:tcW w:w="456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42">
              <w:r>
                <w:rPr>
                  <w:rFonts w:ascii="Arial" w:cs="Arial" w:eastAsia="Arial" w:hAnsi="Arial"/>
                  <w:sz w:val="18"/>
                  <w:szCs w:val="18"/>
                  <w:color w:val="0000FF"/>
                </w:rPr>
                <w:t>Revolving Credit Note, dated April 13, 2006, by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442">
              <w:r>
                <w:rPr>
                  <w:rFonts w:ascii="Arial" w:cs="Arial" w:eastAsia="Arial" w:hAnsi="Arial"/>
                  <w:sz w:val="18"/>
                  <w:szCs w:val="18"/>
                  <w:color w:val="0000FF"/>
                  <w:w w:val="92"/>
                </w:rPr>
                <w:t>borrowers party thereto in favor of Sovereign Bank.</w:t>
              </w:r>
            </w:hyperlink>
          </w:p>
        </w:tc>
        <w:tc>
          <w:tcPr>
            <w:tcW w:w="760" w:type="dxa"/>
            <w:vAlign w:val="bottom"/>
            <w:tcBorders>
              <w:right w:val="single" w:sz="8" w:color="auto"/>
            </w:tcBorders>
            <w:gridSpan w:val="23"/>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gridSpan w:val="11"/>
          </w:tcPr>
          <w:p>
            <w:pPr>
              <w:jc w:val="right"/>
              <w:ind w:right="30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10.10</w:t>
            </w:r>
          </w:p>
        </w:tc>
        <w:tc>
          <w:tcPr>
            <w:tcW w:w="4660" w:type="dxa"/>
            <w:vAlign w:val="bottom"/>
            <w:tcBorders>
              <w:top w:val="single" w:sz="8" w:color="auto"/>
              <w:right w:val="single" w:sz="8" w:color="auto"/>
            </w:tcBorders>
            <w:gridSpan w:val="35"/>
          </w:tcPr>
          <w:p>
            <w:pPr>
              <w:ind w:left="80"/>
              <w:spacing w:after="0" w:line="192" w:lineRule="exact"/>
              <w:rPr>
                <w:rFonts w:ascii="Arial" w:cs="Arial" w:eastAsia="Arial" w:hAnsi="Arial"/>
                <w:sz w:val="18"/>
                <w:szCs w:val="18"/>
                <w:color w:val="0000FF"/>
                <w:w w:val="92"/>
              </w:rPr>
            </w:pPr>
            <w:hyperlink r:id="rId445">
              <w:r>
                <w:rPr>
                  <w:rFonts w:ascii="Arial" w:cs="Arial" w:eastAsia="Arial" w:hAnsi="Arial"/>
                  <w:sz w:val="18"/>
                  <w:szCs w:val="18"/>
                  <w:color w:val="0000FF"/>
                  <w:w w:val="92"/>
                </w:rPr>
                <w:t>Amended and Restated Revolving Credit Note, dated January</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9"/>
              </w:rPr>
              <w:t>Transition Report on Form</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April 30, 2010</w:t>
            </w:r>
          </w:p>
        </w:tc>
        <w:tc>
          <w:tcPr>
            <w:tcW w:w="720" w:type="dxa"/>
            <w:vAlign w:val="bottom"/>
          </w:tcPr>
          <w:p>
            <w:pPr>
              <w:spacing w:after="0"/>
              <w:rPr>
                <w:sz w:val="16"/>
                <w:szCs w:val="16"/>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445">
              <w:r>
                <w:rPr>
                  <w:rFonts w:ascii="Arial" w:cs="Arial" w:eastAsia="Arial" w:hAnsi="Arial"/>
                  <w:sz w:val="18"/>
                  <w:szCs w:val="18"/>
                  <w:color w:val="0000FF"/>
                  <w:w w:val="95"/>
                </w:rPr>
                <w:t>15, 2010, by the borrowers party thereto in favor of Capital</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10-K/T</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20" w:type="dxa"/>
            <w:vAlign w:val="bottom"/>
            <w:tcBorders>
              <w:top w:val="single" w:sz="8" w:color="0000FF"/>
              <w:bottom w:val="single" w:sz="8" w:color="auto"/>
            </w:tcBorders>
            <w:gridSpan w:val="28"/>
          </w:tcPr>
          <w:p>
            <w:pPr>
              <w:spacing w:after="0" w:line="156" w:lineRule="exact"/>
              <w:rPr>
                <w:rFonts w:ascii="Arial" w:cs="Arial" w:eastAsia="Arial" w:hAnsi="Arial"/>
                <w:sz w:val="18"/>
                <w:szCs w:val="18"/>
                <w:color w:val="0000FF"/>
              </w:rPr>
            </w:pPr>
            <w:hyperlink r:id="rId445">
              <w:r>
                <w:rPr>
                  <w:rFonts w:ascii="Arial" w:cs="Arial" w:eastAsia="Arial" w:hAnsi="Arial"/>
                  <w:sz w:val="18"/>
                  <w:szCs w:val="18"/>
                  <w:color w:val="0000FF"/>
                </w:rPr>
                <w:t>One Leverage Finance Corp.</w:t>
              </w:r>
            </w:hyperlink>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gridSpan w:val="2"/>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10.11</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rPr>
            </w:pPr>
            <w:hyperlink r:id="rId446">
              <w:r>
                <w:rPr>
                  <w:rFonts w:ascii="Arial" w:cs="Arial" w:eastAsia="Arial" w:hAnsi="Arial"/>
                  <w:sz w:val="18"/>
                  <w:szCs w:val="18"/>
                  <w:color w:val="0000FF"/>
                </w:rPr>
                <w:t>Form of Swingline Note.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top w:val="single" w:sz="8" w:color="0000FF"/>
              <w:bottom w:val="single" w:sz="8" w:color="auto"/>
            </w:tcBorders>
          </w:tcPr>
          <w:p>
            <w:pPr>
              <w:spacing w:after="0"/>
              <w:rPr>
                <w:sz w:val="15"/>
                <w:szCs w:val="15"/>
                <w:color w:val="auto"/>
              </w:rPr>
            </w:pPr>
          </w:p>
        </w:tc>
        <w:tc>
          <w:tcPr>
            <w:tcW w:w="40" w:type="dxa"/>
            <w:vAlign w:val="bottom"/>
            <w:tcBorders>
              <w:top w:val="single" w:sz="8" w:color="0000FF"/>
              <w:bottom w:val="single" w:sz="8" w:color="auto"/>
            </w:tcBorders>
          </w:tcPr>
          <w:p>
            <w:pPr>
              <w:spacing w:after="0"/>
              <w:rPr>
                <w:sz w:val="15"/>
                <w:szCs w:val="15"/>
                <w:color w:val="auto"/>
              </w:rPr>
            </w:pPr>
          </w:p>
        </w:tc>
        <w:tc>
          <w:tcPr>
            <w:tcW w:w="80" w:type="dxa"/>
            <w:vAlign w:val="bottom"/>
            <w:tcBorders>
              <w:top w:val="single" w:sz="8" w:color="0000FF"/>
              <w:bottom w:val="single" w:sz="8" w:color="auto"/>
            </w:tcBorders>
          </w:tcPr>
          <w:p>
            <w:pPr>
              <w:spacing w:after="0"/>
              <w:rPr>
                <w:sz w:val="15"/>
                <w:szCs w:val="15"/>
                <w:color w:val="auto"/>
              </w:rPr>
            </w:pPr>
          </w:p>
        </w:tc>
        <w:tc>
          <w:tcPr>
            <w:tcW w:w="560" w:type="dxa"/>
            <w:vAlign w:val="bottom"/>
            <w:tcBorders>
              <w:top w:val="single" w:sz="8" w:color="0000FF"/>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94967277"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Form S-4</w:t>
            </w:r>
          </w:p>
        </w:tc>
        <w:tc>
          <w:tcPr>
            <w:tcW w:w="144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5"/>
                <w:szCs w:val="15"/>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10.12</w:t>
            </w:r>
          </w:p>
        </w:tc>
        <w:tc>
          <w:tcPr>
            <w:tcW w:w="4660" w:type="dxa"/>
            <w:vAlign w:val="bottom"/>
            <w:tcBorders>
              <w:right w:val="single" w:sz="8" w:color="auto"/>
            </w:tcBorders>
            <w:gridSpan w:val="35"/>
          </w:tcPr>
          <w:p>
            <w:pPr>
              <w:ind w:left="80"/>
              <w:spacing w:after="0" w:line="169" w:lineRule="exact"/>
              <w:rPr>
                <w:rFonts w:ascii="Arial" w:cs="Arial" w:eastAsia="Arial" w:hAnsi="Arial"/>
                <w:sz w:val="18"/>
                <w:szCs w:val="18"/>
                <w:color w:val="0000FF"/>
              </w:rPr>
            </w:pPr>
            <w:hyperlink r:id="rId447">
              <w:r>
                <w:rPr>
                  <w:rFonts w:ascii="Arial" w:cs="Arial" w:eastAsia="Arial" w:hAnsi="Arial"/>
                  <w:sz w:val="18"/>
                  <w:szCs w:val="18"/>
                  <w:color w:val="0000FF"/>
                </w:rPr>
                <w:t>Guaranty, dated April 13, 2006, by the facility guarantors</w:t>
              </w:r>
            </w:hyperlink>
          </w:p>
        </w:tc>
        <w:tc>
          <w:tcPr>
            <w:tcW w:w="22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4"/>
                <w:szCs w:val="14"/>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3"/>
              </w:rPr>
            </w:pPr>
            <w:hyperlink r:id="rId447">
              <w:r>
                <w:rPr>
                  <w:rFonts w:ascii="Arial" w:cs="Arial" w:eastAsia="Arial" w:hAnsi="Arial"/>
                  <w:sz w:val="18"/>
                  <w:szCs w:val="18"/>
                  <w:color w:val="0000FF"/>
                  <w:w w:val="93"/>
                </w:rPr>
                <w:t>party thereto in favor of Bank of America, N.A., as</w:t>
              </w:r>
            </w:hyperlink>
          </w:p>
        </w:tc>
        <w:tc>
          <w:tcPr>
            <w:tcW w:w="4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447">
              <w:r>
                <w:rPr>
                  <w:rFonts w:ascii="Arial" w:cs="Arial" w:eastAsia="Arial" w:hAnsi="Arial"/>
                  <w:sz w:val="18"/>
                  <w:szCs w:val="18"/>
                  <w:color w:val="0000FF"/>
                </w:rPr>
                <w:t>administrative Agent and Bank of America, N.A., as</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47">
              <w:r>
                <w:rPr>
                  <w:rFonts w:ascii="Arial" w:cs="Arial" w:eastAsia="Arial" w:hAnsi="Arial"/>
                  <w:sz w:val="18"/>
                  <w:szCs w:val="18"/>
                  <w:color w:val="0000FF"/>
                </w:rPr>
                <w:t>Collateral Agent.</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10.13</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rPr>
            </w:pPr>
            <w:hyperlink r:id="rId448">
              <w:r>
                <w:rPr>
                  <w:rFonts w:ascii="Arial" w:cs="Arial" w:eastAsia="Arial" w:hAnsi="Arial"/>
                  <w:sz w:val="18"/>
                  <w:szCs w:val="18"/>
                  <w:color w:val="0000FF"/>
                </w:rPr>
                <w:t>Security Agreement, dated April 13, 2006, by and among</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6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448">
              <w:r>
                <w:rPr>
                  <w:rFonts w:ascii="Arial" w:cs="Arial" w:eastAsia="Arial" w:hAnsi="Arial"/>
                  <w:sz w:val="18"/>
                  <w:szCs w:val="18"/>
                  <w:color w:val="0000FF"/>
                  <w:w w:val="97"/>
                </w:rPr>
                <w:t>each of the borrowers party thereto, each of the facility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448">
              <w:r>
                <w:rPr>
                  <w:rFonts w:ascii="Arial" w:cs="Arial" w:eastAsia="Arial" w:hAnsi="Arial"/>
                  <w:sz w:val="18"/>
                  <w:szCs w:val="18"/>
                  <w:color w:val="0000FF"/>
                  <w:w w:val="89"/>
                </w:rPr>
                <w:t>guarantors party thereto, and Bank of America, N.A., as</w:t>
              </w:r>
            </w:hyperlink>
          </w:p>
        </w:tc>
        <w:tc>
          <w:tcPr>
            <w:tcW w:w="8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16"/>
          </w:tcPr>
          <w:p>
            <w:pPr>
              <w:spacing w:after="0" w:line="156" w:lineRule="exact"/>
              <w:rPr>
                <w:rFonts w:ascii="Arial" w:cs="Arial" w:eastAsia="Arial" w:hAnsi="Arial"/>
                <w:sz w:val="18"/>
                <w:szCs w:val="18"/>
                <w:color w:val="0000FF"/>
              </w:rPr>
            </w:pPr>
            <w:hyperlink r:id="rId448">
              <w:r>
                <w:rPr>
                  <w:rFonts w:ascii="Arial" w:cs="Arial" w:eastAsia="Arial" w:hAnsi="Arial"/>
                  <w:sz w:val="18"/>
                  <w:szCs w:val="18"/>
                  <w:color w:val="0000FF"/>
                </w:rPr>
                <w:t>collateral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10.14</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rPr>
            </w:pPr>
            <w:hyperlink r:id="rId449">
              <w:r>
                <w:rPr>
                  <w:rFonts w:ascii="Arial" w:cs="Arial" w:eastAsia="Arial" w:hAnsi="Arial"/>
                  <w:sz w:val="18"/>
                  <w:szCs w:val="18"/>
                  <w:color w:val="0000FF"/>
                </w:rPr>
                <w:t>Intellectual Property Security Agreement, dated April 13,</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449">
              <w:r>
                <w:rPr>
                  <w:rFonts w:ascii="Arial" w:cs="Arial" w:eastAsia="Arial" w:hAnsi="Arial"/>
                  <w:sz w:val="18"/>
                  <w:szCs w:val="18"/>
                  <w:color w:val="0000FF"/>
                  <w:w w:val="93"/>
                </w:rPr>
                <w:t>2006, by and among each of the borrowers party thereto,</w:t>
              </w:r>
            </w:hyperlink>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449">
              <w:r>
                <w:rPr>
                  <w:rFonts w:ascii="Arial" w:cs="Arial" w:eastAsia="Arial" w:hAnsi="Arial"/>
                  <w:sz w:val="18"/>
                  <w:szCs w:val="18"/>
                  <w:color w:val="0000FF"/>
                  <w:w w:val="92"/>
                </w:rPr>
                <w:t>each of the facility guarantors party thereto, and Bank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49">
              <w:r>
                <w:rPr>
                  <w:rFonts w:ascii="Arial" w:cs="Arial" w:eastAsia="Arial" w:hAnsi="Arial"/>
                  <w:sz w:val="18"/>
                  <w:szCs w:val="18"/>
                  <w:color w:val="0000FF"/>
                </w:rPr>
                <w:t>America, N.A.,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10.15</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9"/>
              </w:rPr>
            </w:pPr>
            <w:hyperlink r:id="rId450">
              <w:r>
                <w:rPr>
                  <w:rFonts w:ascii="Arial" w:cs="Arial" w:eastAsia="Arial" w:hAnsi="Arial"/>
                  <w:sz w:val="18"/>
                  <w:szCs w:val="18"/>
                  <w:color w:val="0000FF"/>
                  <w:w w:val="99"/>
                </w:rPr>
                <w:t>Pledge Agreement, dated April 13, 2006, by and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October 10,</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5"/>
              </w:rPr>
            </w:pPr>
            <w:hyperlink r:id="rId450">
              <w:r>
                <w:rPr>
                  <w:rFonts w:ascii="Arial" w:cs="Arial" w:eastAsia="Arial" w:hAnsi="Arial"/>
                  <w:sz w:val="18"/>
                  <w:szCs w:val="18"/>
                  <w:color w:val="0000FF"/>
                  <w:w w:val="95"/>
                </w:rPr>
                <w:t>Burlington Coat Factory Holdings, Inc., Burlington Coat</w:t>
              </w:r>
            </w:hyperlink>
          </w:p>
        </w:tc>
        <w:tc>
          <w:tcPr>
            <w:tcW w:w="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S-4</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2006</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5"/>
              </w:rPr>
            </w:pPr>
            <w:hyperlink r:id="rId450">
              <w:r>
                <w:rPr>
                  <w:rFonts w:ascii="Arial" w:cs="Arial" w:eastAsia="Arial" w:hAnsi="Arial"/>
                  <w:sz w:val="18"/>
                  <w:szCs w:val="18"/>
                  <w:color w:val="0000FF"/>
                  <w:w w:val="95"/>
                </w:rPr>
                <w:t>Factory Investments Holdings, Inc., Burlington Coat Factory</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40" w:type="dxa"/>
            <w:vAlign w:val="bottom"/>
            <w:tcBorders>
              <w:top w:val="single" w:sz="8" w:color="0000FF"/>
            </w:tcBorders>
            <w:gridSpan w:val="32"/>
          </w:tcPr>
          <w:p>
            <w:pPr>
              <w:spacing w:after="0" w:line="156" w:lineRule="exact"/>
              <w:rPr>
                <w:rFonts w:ascii="Arial" w:cs="Arial" w:eastAsia="Arial" w:hAnsi="Arial"/>
                <w:sz w:val="18"/>
                <w:szCs w:val="18"/>
                <w:color w:val="0000FF"/>
                <w:w w:val="99"/>
              </w:rPr>
            </w:pPr>
            <w:hyperlink r:id="rId450">
              <w:r>
                <w:rPr>
                  <w:rFonts w:ascii="Arial" w:cs="Arial" w:eastAsia="Arial" w:hAnsi="Arial"/>
                  <w:sz w:val="18"/>
                  <w:szCs w:val="18"/>
                  <w:color w:val="0000FF"/>
                  <w:w w:val="99"/>
                </w:rPr>
                <w:t>Warehouse Corporation, Burlington Coat Factory Realty</w:t>
              </w:r>
            </w:hyperlink>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r:id="rId450">
              <w:r>
                <w:rPr>
                  <w:rFonts w:ascii="Arial" w:cs="Arial" w:eastAsia="Arial" w:hAnsi="Arial"/>
                  <w:sz w:val="18"/>
                  <w:szCs w:val="18"/>
                  <w:color w:val="0000FF"/>
                  <w:w w:val="93"/>
                </w:rPr>
                <w:t>Corp., Burlington Coat Factory Purchasing, Inc., K&amp;T</w:t>
              </w:r>
            </w:hyperlink>
          </w:p>
        </w:tc>
        <w:tc>
          <w:tcPr>
            <w:tcW w:w="14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bottom w:val="single" w:sz="8" w:color="0000FF"/>
            </w:tcBorders>
            <w:gridSpan w:val="27"/>
          </w:tcPr>
          <w:p>
            <w:pPr>
              <w:spacing w:after="0" w:line="156" w:lineRule="exact"/>
              <w:rPr>
                <w:rFonts w:ascii="Arial" w:cs="Arial" w:eastAsia="Arial" w:hAnsi="Arial"/>
                <w:sz w:val="18"/>
                <w:szCs w:val="18"/>
                <w:color w:val="0000FF"/>
                <w:w w:val="96"/>
              </w:rPr>
            </w:pPr>
            <w:hyperlink r:id="rId450">
              <w:r>
                <w:rPr>
                  <w:rFonts w:ascii="Arial" w:cs="Arial" w:eastAsia="Arial" w:hAnsi="Arial"/>
                  <w:sz w:val="18"/>
                  <w:szCs w:val="18"/>
                  <w:color w:val="0000FF"/>
                  <w:w w:val="96"/>
                </w:rPr>
                <w:t>Acquisition Corp., Burlington Coat Factory of New York,</w:t>
              </w:r>
            </w:hyperlink>
          </w:p>
        </w:tc>
        <w:tc>
          <w:tcPr>
            <w:tcW w:w="30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7"/>
              </w:rPr>
            </w:pPr>
            <w:hyperlink r:id="rId450">
              <w:r>
                <w:rPr>
                  <w:rFonts w:ascii="Arial" w:cs="Arial" w:eastAsia="Arial" w:hAnsi="Arial"/>
                  <w:sz w:val="18"/>
                  <w:szCs w:val="18"/>
                  <w:color w:val="0000FF"/>
                  <w:w w:val="97"/>
                </w:rPr>
                <w:t>LLC, Burlington Coat Factory Warehouse of Baytown, Inc.,</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450">
              <w:r>
                <w:rPr>
                  <w:rFonts w:ascii="Arial" w:cs="Arial" w:eastAsia="Arial" w:hAnsi="Arial"/>
                  <w:sz w:val="18"/>
                  <w:szCs w:val="18"/>
                  <w:color w:val="0000FF"/>
                  <w:w w:val="91"/>
                </w:rPr>
                <w:t>Burlington Coat Factory of Texas, Inc., as the pledgors, and</w:t>
              </w:r>
            </w:hyperlink>
          </w:p>
        </w:tc>
        <w:tc>
          <w:tcPr>
            <w:tcW w:w="20" w:type="dxa"/>
            <w:vAlign w:val="bottom"/>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450">
              <w:r>
                <w:rPr>
                  <w:rFonts w:ascii="Arial" w:cs="Arial" w:eastAsia="Arial" w:hAnsi="Arial"/>
                  <w:sz w:val="18"/>
                  <w:szCs w:val="18"/>
                  <w:color w:val="0000FF"/>
                </w:rPr>
                <w:t>Bank of America, N.A., as collateral agent.</w:t>
              </w:r>
            </w:hyperlink>
          </w:p>
        </w:tc>
        <w:tc>
          <w:tcPr>
            <w:tcW w:w="60" w:type="dxa"/>
            <w:vAlign w:val="bottom"/>
            <w:gridSpan w:val="2"/>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10.16+</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9"/>
              </w:rPr>
            </w:pPr>
            <w:hyperlink r:id="rId451">
              <w:r>
                <w:rPr>
                  <w:rFonts w:ascii="Arial" w:cs="Arial" w:eastAsia="Arial" w:hAnsi="Arial"/>
                  <w:sz w:val="18"/>
                  <w:szCs w:val="18"/>
                  <w:color w:val="0000FF"/>
                  <w:w w:val="99"/>
                </w:rPr>
                <w:t>Employment Agreement, dated October 13, 2009, by and</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Transition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30, 2010</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451">
              <w:r>
                <w:rPr>
                  <w:rFonts w:ascii="Arial" w:cs="Arial" w:eastAsia="Arial" w:hAnsi="Arial"/>
                  <w:sz w:val="18"/>
                  <w:szCs w:val="18"/>
                  <w:color w:val="0000FF"/>
                  <w:w w:val="91"/>
                </w:rPr>
                <w:t>between Burlington Coat Factory Warehouse Corporation</w:t>
              </w:r>
            </w:hyperlink>
          </w:p>
        </w:tc>
        <w:tc>
          <w:tcPr>
            <w:tcW w:w="100" w:type="dxa"/>
            <w:vAlign w:val="bottom"/>
            <w:tcBorders>
              <w:bottom w:val="single" w:sz="8" w:color="0000FF"/>
            </w:tcBorders>
            <w:gridSpan w:val="5"/>
          </w:tcPr>
          <w:p>
            <w:pPr>
              <w:spacing w:after="0"/>
              <w:rPr>
                <w:sz w:val="13"/>
                <w:szCs w:val="13"/>
                <w:color w:val="auto"/>
              </w:rPr>
            </w:pPr>
          </w:p>
        </w:tc>
        <w:tc>
          <w:tcPr>
            <w:tcW w:w="4294967277"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10-K/T</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gridSpan w:val="26"/>
          </w:tcPr>
          <w:p>
            <w:pPr>
              <w:spacing w:after="0" w:line="156" w:lineRule="exact"/>
              <w:rPr>
                <w:rFonts w:ascii="Arial" w:cs="Arial" w:eastAsia="Arial" w:hAnsi="Arial"/>
                <w:sz w:val="18"/>
                <w:szCs w:val="18"/>
                <w:color w:val="0000FF"/>
              </w:rPr>
            </w:pPr>
            <w:hyperlink r:id="rId451">
              <w:r>
                <w:rPr>
                  <w:rFonts w:ascii="Arial" w:cs="Arial" w:eastAsia="Arial" w:hAnsi="Arial"/>
                  <w:sz w:val="18"/>
                  <w:szCs w:val="18"/>
                  <w:color w:val="0000FF"/>
                </w:rPr>
                <w:t>and Joyce Manning Magrini.</w:t>
              </w:r>
            </w:hyperlink>
          </w:p>
        </w:tc>
        <w:tc>
          <w:tcPr>
            <w:tcW w:w="4294967277"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10.16.1+</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5"/>
              </w:rPr>
            </w:pPr>
            <w:hyperlink r:id="rId452">
              <w:r>
                <w:rPr>
                  <w:rFonts w:ascii="Arial" w:cs="Arial" w:eastAsia="Arial" w:hAnsi="Arial"/>
                  <w:sz w:val="18"/>
                  <w:szCs w:val="18"/>
                  <w:color w:val="0000FF"/>
                  <w:w w:val="95"/>
                </w:rPr>
                <w:t>Amendment to Employment Agreement, dated February 26,</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Transition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30, 2010</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452">
              <w:r>
                <w:rPr>
                  <w:rFonts w:ascii="Arial" w:cs="Arial" w:eastAsia="Arial" w:hAnsi="Arial"/>
                  <w:sz w:val="18"/>
                  <w:szCs w:val="18"/>
                  <w:color w:val="0000FF"/>
                  <w:w w:val="93"/>
                </w:rPr>
                <w:t>2010, by and between Burlington Coat Factory Warehouse</w:t>
              </w:r>
            </w:hyperlink>
          </w:p>
        </w:tc>
        <w:tc>
          <w:tcPr>
            <w:tcW w:w="180" w:type="dxa"/>
            <w:vAlign w:val="bottom"/>
            <w:tcBorders>
              <w:right w:val="single" w:sz="8" w:color="auto"/>
            </w:tcBorders>
            <w:gridSpan w:val="3"/>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10-K/T</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52">
              <w:r>
                <w:rPr>
                  <w:rFonts w:ascii="Arial" w:cs="Arial" w:eastAsia="Arial" w:hAnsi="Arial"/>
                  <w:sz w:val="18"/>
                  <w:szCs w:val="18"/>
                  <w:color w:val="0000FF"/>
                </w:rPr>
                <w:t>Corporation and Joyce Manning Magrini.</w:t>
              </w:r>
            </w:hyperlink>
          </w:p>
        </w:tc>
        <w:tc>
          <w:tcPr>
            <w:tcW w:w="30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10.16.2+</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3"/>
              </w:rPr>
            </w:pPr>
            <w:hyperlink r:id="rId453">
              <w:r>
                <w:rPr>
                  <w:rFonts w:ascii="Arial" w:cs="Arial" w:eastAsia="Arial" w:hAnsi="Arial"/>
                  <w:sz w:val="18"/>
                  <w:szCs w:val="18"/>
                  <w:color w:val="0000FF"/>
                  <w:w w:val="93"/>
                </w:rPr>
                <w:t>Amendment No. 2 to Employment Agreement, dated October</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December 11,</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53">
              <w:r>
                <w:rPr>
                  <w:rFonts w:ascii="Arial" w:cs="Arial" w:eastAsia="Arial" w:hAnsi="Arial"/>
                  <w:sz w:val="18"/>
                  <w:szCs w:val="18"/>
                  <w:color w:val="0000FF"/>
                </w:rPr>
                <w:t>18, 2012, by and between Burlington Coat Factory</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2012</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7"/>
              </w:rPr>
            </w:pPr>
            <w:hyperlink r:id="rId453">
              <w:r>
                <w:rPr>
                  <w:rFonts w:ascii="Arial" w:cs="Arial" w:eastAsia="Arial" w:hAnsi="Arial"/>
                  <w:sz w:val="18"/>
                  <w:szCs w:val="18"/>
                  <w:color w:val="0000FF"/>
                  <w:w w:val="87"/>
                </w:rPr>
                <w:t>Warehouse Corporation and Joyce Manning Magrini.</w:t>
              </w:r>
            </w:hyperlink>
          </w:p>
        </w:tc>
        <w:tc>
          <w:tcPr>
            <w:tcW w:w="160" w:type="dxa"/>
            <w:vAlign w:val="bottom"/>
            <w:tcBorders>
              <w:bottom w:val="single" w:sz="8" w:color="0000FF"/>
            </w:tcBorders>
            <w:gridSpan w:val="3"/>
          </w:tcPr>
          <w:p>
            <w:pPr>
              <w:spacing w:after="0"/>
              <w:rPr>
                <w:sz w:val="13"/>
                <w:szCs w:val="13"/>
                <w:color w:val="auto"/>
              </w:rPr>
            </w:pPr>
          </w:p>
        </w:tc>
        <w:tc>
          <w:tcPr>
            <w:tcW w:w="320" w:type="dxa"/>
            <w:vAlign w:val="bottom"/>
            <w:gridSpan w:val="7"/>
          </w:tcPr>
          <w:p>
            <w:pPr>
              <w:spacing w:after="0"/>
              <w:rPr>
                <w:sz w:val="13"/>
                <w:szCs w:val="13"/>
                <w:color w:val="auto"/>
              </w:rPr>
            </w:pPr>
          </w:p>
        </w:tc>
        <w:tc>
          <w:tcPr>
            <w:tcW w:w="400" w:type="dxa"/>
            <w:vAlign w:val="bottom"/>
            <w:tcBorders>
              <w:right w:val="single" w:sz="8" w:color="auto"/>
            </w:tcBorders>
            <w:gridSpan w:val="14"/>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10.16.3+</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3"/>
              </w:rPr>
            </w:pPr>
            <w:hyperlink r:id="rId454">
              <w:r>
                <w:rPr>
                  <w:rFonts w:ascii="Arial" w:cs="Arial" w:eastAsia="Arial" w:hAnsi="Arial"/>
                  <w:sz w:val="18"/>
                  <w:szCs w:val="18"/>
                  <w:color w:val="0000FF"/>
                  <w:w w:val="93"/>
                </w:rPr>
                <w:t>Amendment No. 3 to Employment Agreement, dated July 22,</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24, 2020</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454">
              <w:r>
                <w:rPr>
                  <w:rFonts w:ascii="Arial" w:cs="Arial" w:eastAsia="Arial" w:hAnsi="Arial"/>
                  <w:sz w:val="18"/>
                  <w:szCs w:val="18"/>
                  <w:color w:val="0000FF"/>
                  <w:w w:val="94"/>
                </w:rPr>
                <w:t>2020, by and between Burlington Coat Factory Warehouse</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54">
              <w:r>
                <w:rPr>
                  <w:rFonts w:ascii="Arial" w:cs="Arial" w:eastAsia="Arial" w:hAnsi="Arial"/>
                  <w:sz w:val="18"/>
                  <w:szCs w:val="18"/>
                  <w:color w:val="0000FF"/>
                </w:rPr>
                <w:t>Corporation and Joyce Manning Magrini.</w:t>
              </w:r>
            </w:hyperlink>
          </w:p>
        </w:tc>
        <w:tc>
          <w:tcPr>
            <w:tcW w:w="30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10.17+</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9"/>
              </w:rPr>
            </w:pPr>
            <w:hyperlink r:id="rId455">
              <w:r>
                <w:rPr>
                  <w:rFonts w:ascii="Arial" w:cs="Arial" w:eastAsia="Arial" w:hAnsi="Arial"/>
                  <w:sz w:val="18"/>
                  <w:szCs w:val="18"/>
                  <w:color w:val="0000FF"/>
                  <w:w w:val="99"/>
                </w:rPr>
                <w:t>Employment Agreement, dated January 28, 2008, by and</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15, 2008</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455">
              <w:r>
                <w:rPr>
                  <w:rFonts w:ascii="Arial" w:cs="Arial" w:eastAsia="Arial" w:hAnsi="Arial"/>
                  <w:sz w:val="18"/>
                  <w:szCs w:val="18"/>
                  <w:color w:val="0000FF"/>
                  <w:w w:val="90"/>
                </w:rPr>
                <w:t>between Burlington Coat Factory Warehouse Corporation</w:t>
              </w:r>
            </w:hyperlink>
          </w:p>
        </w:tc>
        <w:tc>
          <w:tcPr>
            <w:tcW w:w="400" w:type="dxa"/>
            <w:vAlign w:val="bottom"/>
            <w:tcBorders>
              <w:right w:val="single" w:sz="8" w:color="auto"/>
            </w:tcBorders>
            <w:gridSpan w:val="14"/>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55">
              <w:r>
                <w:rPr>
                  <w:rFonts w:ascii="Arial" w:cs="Arial" w:eastAsia="Arial" w:hAnsi="Arial"/>
                  <w:sz w:val="18"/>
                  <w:szCs w:val="18"/>
                  <w:color w:val="0000FF"/>
                </w:rPr>
                <w:t>and Fred Hand.</w:t>
              </w:r>
            </w:hyperlink>
          </w:p>
        </w:tc>
        <w:tc>
          <w:tcPr>
            <w:tcW w:w="280" w:type="dxa"/>
            <w:vAlign w:val="bottom"/>
            <w:tcBorders>
              <w:right w:val="single" w:sz="8" w:color="auto"/>
            </w:tcBorders>
            <w:gridSpan w:val="8"/>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10.17.1+</w:t>
            </w:r>
          </w:p>
        </w:tc>
        <w:tc>
          <w:tcPr>
            <w:tcW w:w="4660" w:type="dxa"/>
            <w:vAlign w:val="bottom"/>
            <w:tcBorders>
              <w:right w:val="single" w:sz="8" w:color="auto"/>
            </w:tcBorders>
            <w:gridSpan w:val="35"/>
          </w:tcPr>
          <w:p>
            <w:pPr>
              <w:ind w:left="80"/>
              <w:spacing w:after="0" w:line="156" w:lineRule="exact"/>
              <w:rPr>
                <w:rFonts w:ascii="Arial" w:cs="Arial" w:eastAsia="Arial" w:hAnsi="Arial"/>
                <w:sz w:val="18"/>
                <w:szCs w:val="18"/>
                <w:color w:val="0000FF"/>
                <w:w w:val="93"/>
              </w:rPr>
            </w:pPr>
            <w:hyperlink r:id="rId456">
              <w:r>
                <w:rPr>
                  <w:rFonts w:ascii="Arial" w:cs="Arial" w:eastAsia="Arial" w:hAnsi="Arial"/>
                  <w:sz w:val="18"/>
                  <w:szCs w:val="18"/>
                  <w:color w:val="0000FF"/>
                  <w:w w:val="93"/>
                </w:rPr>
                <w:t>Amendment No. 1 to Employment Agreement, dated October</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September 6,</w:t>
            </w:r>
          </w:p>
        </w:tc>
        <w:tc>
          <w:tcPr>
            <w:tcW w:w="720" w:type="dxa"/>
            <w:vAlign w:val="bottom"/>
          </w:tcPr>
          <w:p>
            <w:pPr>
              <w:spacing w:after="0"/>
              <w:rPr>
                <w:sz w:val="13"/>
                <w:szCs w:val="13"/>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56">
              <w:r>
                <w:rPr>
                  <w:rFonts w:ascii="Arial" w:cs="Arial" w:eastAsia="Arial" w:hAnsi="Arial"/>
                  <w:sz w:val="18"/>
                  <w:szCs w:val="18"/>
                  <w:color w:val="0000FF"/>
                </w:rPr>
                <w:t>31, 2012, by and between Burlington Coat Factory</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56">
              <w:r>
                <w:rPr>
                  <w:rFonts w:ascii="Arial" w:cs="Arial" w:eastAsia="Arial" w:hAnsi="Arial"/>
                  <w:sz w:val="18"/>
                  <w:szCs w:val="18"/>
                  <w:color w:val="0000FF"/>
                </w:rPr>
                <w:t>Warehouse Corporation and Fred Hand.</w:t>
              </w:r>
            </w:hyperlink>
          </w:p>
        </w:tc>
        <w:tc>
          <w:tcPr>
            <w:tcW w:w="880" w:type="dxa"/>
            <w:vAlign w:val="bottom"/>
            <w:tcBorders>
              <w:right w:val="single" w:sz="8" w:color="auto"/>
            </w:tcBorders>
            <w:gridSpan w:val="24"/>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80" w:type="dxa"/>
            <w:vAlign w:val="bottom"/>
            <w:gridSpan w:val="11"/>
          </w:tcPr>
          <w:p>
            <w:pPr>
              <w:jc w:val="right"/>
              <w:ind w:right="26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7277"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10.18+</w:t>
            </w:r>
          </w:p>
        </w:tc>
        <w:tc>
          <w:tcPr>
            <w:tcW w:w="80" w:type="dxa"/>
            <w:vAlign w:val="bottom"/>
            <w:tcBorders>
              <w:top w:val="single" w:sz="8" w:color="auto"/>
            </w:tcBorders>
          </w:tcPr>
          <w:p>
            <w:pPr>
              <w:spacing w:after="0"/>
              <w:rPr>
                <w:sz w:val="16"/>
                <w:szCs w:val="16"/>
                <w:color w:val="auto"/>
              </w:rPr>
            </w:pPr>
          </w:p>
        </w:tc>
        <w:tc>
          <w:tcPr>
            <w:tcW w:w="4600" w:type="dxa"/>
            <w:vAlign w:val="bottom"/>
            <w:tcBorders>
              <w:top w:val="single" w:sz="8" w:color="auto"/>
              <w:right w:val="single" w:sz="8" w:color="auto"/>
            </w:tcBorders>
            <w:gridSpan w:val="37"/>
          </w:tcPr>
          <w:p>
            <w:pPr>
              <w:spacing w:after="0" w:line="192" w:lineRule="exact"/>
              <w:rPr>
                <w:rFonts w:ascii="Arial" w:cs="Arial" w:eastAsia="Arial" w:hAnsi="Arial"/>
                <w:sz w:val="18"/>
                <w:szCs w:val="18"/>
                <w:color w:val="0000FF"/>
                <w:w w:val="95"/>
              </w:rPr>
            </w:pPr>
            <w:hyperlink r:id="rId459">
              <w:r>
                <w:rPr>
                  <w:rFonts w:ascii="Arial" w:cs="Arial" w:eastAsia="Arial" w:hAnsi="Arial"/>
                  <w:sz w:val="18"/>
                  <w:szCs w:val="18"/>
                  <w:color w:val="0000FF"/>
                  <w:w w:val="95"/>
                </w:rPr>
                <w:t>Amended and Restated Employment Agreement, dated July</w:t>
              </w:r>
            </w:hyperlink>
          </w:p>
        </w:tc>
        <w:tc>
          <w:tcPr>
            <w:tcW w:w="220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w w:val="99"/>
              </w:rPr>
              <w:t>August 31, 2015</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9"/>
              </w:rPr>
            </w:pPr>
            <w:hyperlink r:id="rId459">
              <w:r>
                <w:rPr>
                  <w:rFonts w:ascii="Arial" w:cs="Arial" w:eastAsia="Arial" w:hAnsi="Arial"/>
                  <w:sz w:val="18"/>
                  <w:szCs w:val="18"/>
                  <w:color w:val="0000FF"/>
                  <w:w w:val="89"/>
                </w:rPr>
                <w:t>28, 2015, by and among Burlington Coat Factory Warehouse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33"/>
          </w:tcPr>
          <w:p>
            <w:pPr>
              <w:spacing w:after="0" w:line="156" w:lineRule="exact"/>
              <w:rPr>
                <w:rFonts w:ascii="Arial" w:cs="Arial" w:eastAsia="Arial" w:hAnsi="Arial"/>
                <w:sz w:val="18"/>
                <w:szCs w:val="18"/>
                <w:color w:val="0000FF"/>
              </w:rPr>
            </w:pPr>
            <w:hyperlink r:id="rId459">
              <w:r>
                <w:rPr>
                  <w:rFonts w:ascii="Arial" w:cs="Arial" w:eastAsia="Arial" w:hAnsi="Arial"/>
                  <w:sz w:val="18"/>
                  <w:szCs w:val="18"/>
                  <w:color w:val="0000FF"/>
                </w:rPr>
                <w:t>Corporation and Jennifer Vecchio.</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10.18.1+</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rPr>
            </w:pPr>
            <w:hyperlink r:id="rId460">
              <w:r>
                <w:rPr>
                  <w:rFonts w:ascii="Arial" w:cs="Arial" w:eastAsia="Arial" w:hAnsi="Arial"/>
                  <w:sz w:val="18"/>
                  <w:szCs w:val="18"/>
                  <w:color w:val="0000FF"/>
                </w:rPr>
                <w:t>Amendment, dated May 19, 2017, to the Amended and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rFonts w:ascii="Arial" w:cs="Arial" w:eastAsia="Arial" w:hAnsi="Arial"/>
                <w:sz w:val="18"/>
                <w:szCs w:val="18"/>
                <w:color w:val="0000FF"/>
                <w:w w:val="89"/>
              </w:rPr>
            </w:pPr>
            <w:hyperlink r:id="rId460">
              <w:r>
                <w:rPr>
                  <w:rFonts w:ascii="Arial" w:cs="Arial" w:eastAsia="Arial" w:hAnsi="Arial"/>
                  <w:sz w:val="18"/>
                  <w:szCs w:val="18"/>
                  <w:color w:val="0000FF"/>
                  <w:w w:val="89"/>
                </w:rPr>
                <w:t>Restated Employment Agreement, dated July 28, 2015,</w:t>
              </w:r>
            </w:hyperlink>
          </w:p>
        </w:tc>
        <w:tc>
          <w:tcPr>
            <w:tcW w:w="20" w:type="dxa"/>
            <w:vAlign w:val="bottom"/>
          </w:tcPr>
          <w:p>
            <w:pPr>
              <w:spacing w:after="0"/>
              <w:rPr>
                <w:sz w:val="13"/>
                <w:szCs w:val="13"/>
                <w:color w:val="auto"/>
              </w:rPr>
            </w:pPr>
          </w:p>
        </w:tc>
        <w:tc>
          <w:tcPr>
            <w:tcW w:w="560" w:type="dxa"/>
            <w:vAlign w:val="bottom"/>
            <w:tcBorders>
              <w:right w:val="single" w:sz="8" w:color="auto"/>
            </w:tcBorders>
            <w:gridSpan w:val="23"/>
          </w:tcPr>
          <w:p>
            <w:pPr>
              <w:spacing w:after="0" w:line="156" w:lineRule="exact"/>
              <w:rPr>
                <w:rFonts w:ascii="Arial" w:cs="Arial" w:eastAsia="Arial" w:hAnsi="Arial"/>
                <w:sz w:val="18"/>
                <w:szCs w:val="18"/>
                <w:color w:val="0000FF"/>
              </w:rPr>
            </w:pPr>
            <w:hyperlink r:id="rId460">
              <w:r>
                <w:rPr>
                  <w:rFonts w:ascii="Arial" w:cs="Arial" w:eastAsia="Arial" w:hAnsi="Arial"/>
                  <w:sz w:val="18"/>
                  <w:szCs w:val="18"/>
                  <w:color w:val="0000FF"/>
                </w:rPr>
                <w:t>by</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7"/>
              </w:rPr>
            </w:pPr>
            <w:hyperlink r:id="rId460">
              <w:r>
                <w:rPr>
                  <w:rFonts w:ascii="Arial" w:cs="Arial" w:eastAsia="Arial" w:hAnsi="Arial"/>
                  <w:sz w:val="18"/>
                  <w:szCs w:val="18"/>
                  <w:color w:val="0000FF"/>
                  <w:w w:val="87"/>
                </w:rPr>
                <w:t>and among Burlington Coat Factory Warehouse Corporation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31"/>
          </w:tcPr>
          <w:p>
            <w:pPr>
              <w:spacing w:after="0" w:line="156" w:lineRule="exact"/>
              <w:rPr>
                <w:rFonts w:ascii="Arial" w:cs="Arial" w:eastAsia="Arial" w:hAnsi="Arial"/>
                <w:sz w:val="18"/>
                <w:szCs w:val="18"/>
                <w:color w:val="0000FF"/>
              </w:rPr>
            </w:pPr>
            <w:hyperlink r:id="rId460">
              <w:r>
                <w:rPr>
                  <w:rFonts w:ascii="Arial" w:cs="Arial" w:eastAsia="Arial" w:hAnsi="Arial"/>
                  <w:sz w:val="18"/>
                  <w:szCs w:val="18"/>
                  <w:color w:val="0000FF"/>
                </w:rPr>
                <w:t>and Jennifer Vecchio.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10.18.2+</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w w:val="97"/>
              </w:rPr>
            </w:pPr>
            <w:hyperlink r:id="rId461">
              <w:r>
                <w:rPr>
                  <w:rFonts w:ascii="Arial" w:cs="Arial" w:eastAsia="Arial" w:hAnsi="Arial"/>
                  <w:sz w:val="18"/>
                  <w:szCs w:val="18"/>
                  <w:color w:val="0000FF"/>
                  <w:w w:val="97"/>
                </w:rPr>
                <w:t>Amendment No. 2, dated March 12, 2021, to the Amended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15,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9"/>
              </w:rPr>
            </w:pPr>
            <w:hyperlink r:id="rId461">
              <w:r>
                <w:rPr>
                  <w:rFonts w:ascii="Arial" w:cs="Arial" w:eastAsia="Arial" w:hAnsi="Arial"/>
                  <w:sz w:val="18"/>
                  <w:szCs w:val="18"/>
                  <w:color w:val="0000FF"/>
                  <w:w w:val="89"/>
                </w:rPr>
                <w:t>and Restated Employment Agreement, dated July 28, 2015,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gridSpan w:val="25"/>
          </w:tcPr>
          <w:p>
            <w:pPr>
              <w:spacing w:after="0" w:line="156" w:lineRule="exact"/>
              <w:rPr>
                <w:rFonts w:ascii="Arial" w:cs="Arial" w:eastAsia="Arial" w:hAnsi="Arial"/>
                <w:sz w:val="18"/>
                <w:szCs w:val="18"/>
                <w:color w:val="0000FF"/>
              </w:rPr>
            </w:pPr>
            <w:hyperlink r:id="rId461">
              <w:r>
                <w:rPr>
                  <w:rFonts w:ascii="Arial" w:cs="Arial" w:eastAsia="Arial" w:hAnsi="Arial"/>
                  <w:sz w:val="18"/>
                  <w:szCs w:val="18"/>
                  <w:color w:val="0000FF"/>
                </w:rPr>
                <w:t>by and among Burlington Coat Factory Warehouse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461">
              <w:r>
                <w:rPr>
                  <w:rFonts w:ascii="Arial" w:cs="Arial" w:eastAsia="Arial" w:hAnsi="Arial"/>
                  <w:sz w:val="18"/>
                  <w:szCs w:val="18"/>
                  <w:color w:val="0000FF"/>
                </w:rPr>
                <w:t>Corporation and Jennifer Vecchio.</w:t>
              </w:r>
            </w:hyperlink>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10.19+</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w w:val="96"/>
              </w:rPr>
            </w:pPr>
            <w:hyperlink r:id="rId462">
              <w:r>
                <w:rPr>
                  <w:rFonts w:ascii="Arial" w:cs="Arial" w:eastAsia="Arial" w:hAnsi="Arial"/>
                  <w:sz w:val="18"/>
                  <w:szCs w:val="18"/>
                  <w:color w:val="0000FF"/>
                  <w:w w:val="96"/>
                </w:rPr>
                <w:t>Employment Agreement, dated as of April 23, 2019, by and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23,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462">
              <w:r>
                <w:rPr>
                  <w:rFonts w:ascii="Arial" w:cs="Arial" w:eastAsia="Arial" w:hAnsi="Arial"/>
                  <w:sz w:val="18"/>
                  <w:szCs w:val="18"/>
                  <w:color w:val="0000FF"/>
                  <w:w w:val="98"/>
                </w:rPr>
                <w:t>between Burlington Stores, Inc. and Michael O’Sullivan.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10.20+</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w w:val="93"/>
              </w:rPr>
            </w:pPr>
            <w:hyperlink r:id="rId463">
              <w:r>
                <w:rPr>
                  <w:rFonts w:ascii="Arial" w:cs="Arial" w:eastAsia="Arial" w:hAnsi="Arial"/>
                  <w:sz w:val="18"/>
                  <w:szCs w:val="18"/>
                  <w:color w:val="0000FF"/>
                  <w:w w:val="93"/>
                </w:rPr>
                <w:t>Employment Agreement, dated as of March 23, 2011, by and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13,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34"/>
          </w:tcPr>
          <w:p>
            <w:pPr>
              <w:spacing w:after="0" w:line="156" w:lineRule="exact"/>
              <w:rPr>
                <w:rFonts w:ascii="Arial" w:cs="Arial" w:eastAsia="Arial" w:hAnsi="Arial"/>
                <w:sz w:val="18"/>
                <w:szCs w:val="18"/>
                <w:color w:val="0000FF"/>
                <w:w w:val="98"/>
              </w:rPr>
            </w:pPr>
            <w:hyperlink r:id="rId463">
              <w:r>
                <w:rPr>
                  <w:rFonts w:ascii="Arial" w:cs="Arial" w:eastAsia="Arial" w:hAnsi="Arial"/>
                  <w:sz w:val="18"/>
                  <w:szCs w:val="18"/>
                  <w:color w:val="0000FF"/>
                  <w:w w:val="98"/>
                </w:rPr>
                <w:t>between Burlington Coat Factory Warehouse Corporation</w:t>
              </w:r>
            </w:hyperlink>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63">
              <w:r>
                <w:rPr>
                  <w:rFonts w:ascii="Arial" w:cs="Arial" w:eastAsia="Arial" w:hAnsi="Arial"/>
                  <w:sz w:val="18"/>
                  <w:szCs w:val="18"/>
                  <w:color w:val="0000FF"/>
                </w:rPr>
                <w:t>and John Crimmins</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10.21+</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rPr>
            </w:pPr>
            <w:hyperlink r:id="rId464">
              <w:r>
                <w:rPr>
                  <w:rFonts w:ascii="Arial" w:cs="Arial" w:eastAsia="Arial" w:hAnsi="Arial"/>
                  <w:sz w:val="18"/>
                  <w:szCs w:val="18"/>
                  <w:color w:val="0000FF"/>
                </w:rPr>
                <w:t>Form of Non-Qualified Stock Option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30, 2009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580" w:type="dxa"/>
            <w:vAlign w:val="bottom"/>
            <w:tcBorders>
              <w:right w:val="single" w:sz="8" w:color="auto"/>
            </w:tcBorders>
            <w:gridSpan w:val="36"/>
          </w:tcPr>
          <w:p>
            <w:pPr>
              <w:spacing w:after="0" w:line="156" w:lineRule="exact"/>
              <w:rPr>
                <w:rFonts w:ascii="Arial" w:cs="Arial" w:eastAsia="Arial" w:hAnsi="Arial"/>
                <w:sz w:val="18"/>
                <w:szCs w:val="18"/>
                <w:color w:val="0000FF"/>
                <w:w w:val="96"/>
              </w:rPr>
            </w:pPr>
            <w:hyperlink r:id="rId464">
              <w:r>
                <w:rPr>
                  <w:rFonts w:ascii="Arial" w:cs="Arial" w:eastAsia="Arial" w:hAnsi="Arial"/>
                  <w:sz w:val="18"/>
                  <w:szCs w:val="18"/>
                  <w:color w:val="0000FF"/>
                  <w:w w:val="96"/>
                </w:rPr>
                <w:t>Burlington Coat Factory Holdings, Inc. and Employees with</w:t>
              </w:r>
            </w:hyperlink>
          </w:p>
        </w:tc>
        <w:tc>
          <w:tcPr>
            <w:tcW w:w="220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464">
              <w:r>
                <w:rPr>
                  <w:rFonts w:ascii="Arial" w:cs="Arial" w:eastAsia="Arial" w:hAnsi="Arial"/>
                  <w:sz w:val="18"/>
                  <w:szCs w:val="18"/>
                  <w:color w:val="0000FF"/>
                  <w:w w:val="91"/>
                </w:rPr>
                <w:t>Employment Agreements (for grants made after March 2009</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2"/>
          </w:tcPr>
          <w:p>
            <w:pPr>
              <w:spacing w:after="0" w:line="156" w:lineRule="exact"/>
              <w:rPr>
                <w:rFonts w:ascii="Arial" w:cs="Arial" w:eastAsia="Arial" w:hAnsi="Arial"/>
                <w:sz w:val="18"/>
                <w:szCs w:val="18"/>
                <w:color w:val="0000FF"/>
                <w:w w:val="93"/>
              </w:rPr>
            </w:pPr>
            <w:hyperlink r:id="rId464">
              <w:r>
                <w:rPr>
                  <w:rFonts w:ascii="Arial" w:cs="Arial" w:eastAsia="Arial" w:hAnsi="Arial"/>
                  <w:sz w:val="18"/>
                  <w:szCs w:val="18"/>
                  <w:color w:val="0000FF"/>
                  <w:w w:val="93"/>
                </w:rPr>
                <w:t>and prior to 2014 (other than 2013 special one-time grants))</w:t>
              </w:r>
            </w:hyperlink>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64">
              <w:r>
                <w:rPr>
                  <w:rFonts w:ascii="Arial" w:cs="Arial" w:eastAsia="Arial" w:hAnsi="Arial"/>
                  <w:sz w:val="18"/>
                  <w:szCs w:val="18"/>
                  <w:color w:val="0000FF"/>
                </w:rPr>
                <w:t>pursuant to 2006 Management Incentive Plan.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10.22+</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rPr>
            </w:pPr>
            <w:hyperlink r:id="rId465">
              <w:r>
                <w:rPr>
                  <w:rFonts w:ascii="Arial" w:cs="Arial" w:eastAsia="Arial" w:hAnsi="Arial"/>
                  <w:sz w:val="18"/>
                  <w:szCs w:val="18"/>
                  <w:color w:val="0000FF"/>
                </w:rPr>
                <w:t>Form of Non-Qualified Stock Option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30, 2009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465">
              <w:r>
                <w:rPr>
                  <w:rFonts w:ascii="Arial" w:cs="Arial" w:eastAsia="Arial" w:hAnsi="Arial"/>
                  <w:sz w:val="18"/>
                  <w:szCs w:val="18"/>
                  <w:color w:val="0000FF"/>
                  <w:w w:val="96"/>
                </w:rPr>
                <w:t>Burlington Coat Factory Holdings, Inc. and Employees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465">
              <w:r>
                <w:rPr>
                  <w:rFonts w:ascii="Arial" w:cs="Arial" w:eastAsia="Arial" w:hAnsi="Arial"/>
                  <w:sz w:val="18"/>
                  <w:szCs w:val="18"/>
                  <w:color w:val="0000FF"/>
                  <w:w w:val="90"/>
                </w:rPr>
                <w:t>without Employment Agreements (for grants made after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320" w:type="dxa"/>
            <w:vAlign w:val="bottom"/>
            <w:tcBorders>
              <w:bottom w:val="single" w:sz="8" w:color="0000FF"/>
            </w:tcBorders>
            <w:gridSpan w:val="24"/>
          </w:tcPr>
          <w:p>
            <w:pPr>
              <w:spacing w:after="0" w:line="156" w:lineRule="exact"/>
              <w:rPr>
                <w:rFonts w:ascii="Arial" w:cs="Arial" w:eastAsia="Arial" w:hAnsi="Arial"/>
                <w:sz w:val="18"/>
                <w:szCs w:val="18"/>
                <w:color w:val="0000FF"/>
                <w:w w:val="90"/>
              </w:rPr>
            </w:pPr>
            <w:hyperlink r:id="rId465">
              <w:r>
                <w:rPr>
                  <w:rFonts w:ascii="Arial" w:cs="Arial" w:eastAsia="Arial" w:hAnsi="Arial"/>
                  <w:sz w:val="18"/>
                  <w:szCs w:val="18"/>
                  <w:color w:val="0000FF"/>
                  <w:w w:val="90"/>
                </w:rPr>
                <w:t>March 2009 and prior to 2014 (other than 2013 special one-</w:t>
              </w:r>
            </w:hyperlink>
          </w:p>
        </w:tc>
        <w:tc>
          <w:tcPr>
            <w:tcW w:w="260" w:type="dxa"/>
            <w:vAlign w:val="bottom"/>
            <w:tcBorders>
              <w:right w:val="single" w:sz="8" w:color="auto"/>
            </w:tcBorders>
            <w:gridSpan w:val="1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gridSpan w:val="25"/>
          </w:tcPr>
          <w:p>
            <w:pPr>
              <w:spacing w:after="0" w:line="156" w:lineRule="exact"/>
              <w:rPr>
                <w:rFonts w:ascii="Arial" w:cs="Arial" w:eastAsia="Arial" w:hAnsi="Arial"/>
                <w:sz w:val="18"/>
                <w:szCs w:val="18"/>
                <w:color w:val="0000FF"/>
                <w:w w:val="91"/>
              </w:rPr>
            </w:pPr>
            <w:hyperlink r:id="rId465">
              <w:r>
                <w:rPr>
                  <w:rFonts w:ascii="Arial" w:cs="Arial" w:eastAsia="Arial" w:hAnsi="Arial"/>
                  <w:sz w:val="18"/>
                  <w:szCs w:val="18"/>
                  <w:color w:val="0000FF"/>
                  <w:w w:val="91"/>
                </w:rPr>
                <w:t>time grants)) pursuant to 2006 Management Incentive Plan.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10.23+</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w w:val="99"/>
              </w:rPr>
            </w:pPr>
            <w:hyperlink r:id="rId466">
              <w:r>
                <w:rPr>
                  <w:rFonts w:ascii="Arial" w:cs="Arial" w:eastAsia="Arial" w:hAnsi="Arial"/>
                  <w:sz w:val="18"/>
                  <w:szCs w:val="18"/>
                  <w:color w:val="0000FF"/>
                  <w:w w:val="99"/>
                </w:rPr>
                <w:t>Burlington Coat Factory Holdings, Inc. 2006 Management</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September 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466">
              <w:r>
                <w:rPr>
                  <w:rFonts w:ascii="Arial" w:cs="Arial" w:eastAsia="Arial" w:hAnsi="Arial"/>
                  <w:sz w:val="18"/>
                  <w:szCs w:val="18"/>
                  <w:color w:val="0000FF"/>
                  <w:w w:val="95"/>
                </w:rPr>
                <w:t>Incentive Plan (Amended and Restated June 15,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top w:val="single" w:sz="8" w:color="0000FF"/>
              <w:bottom w:val="single" w:sz="8" w:color="auto"/>
            </w:tcBorders>
          </w:tcPr>
          <w:p>
            <w:pPr>
              <w:spacing w:after="0"/>
              <w:rPr>
                <w:sz w:val="15"/>
                <w:szCs w:val="15"/>
                <w:color w:val="auto"/>
              </w:rPr>
            </w:pPr>
          </w:p>
        </w:tc>
        <w:tc>
          <w:tcPr>
            <w:tcW w:w="140" w:type="dxa"/>
            <w:vAlign w:val="bottom"/>
            <w:tcBorders>
              <w:top w:val="single" w:sz="8" w:color="0000FF"/>
              <w:bottom w:val="single" w:sz="8" w:color="auto"/>
            </w:tcBorders>
          </w:tcPr>
          <w:p>
            <w:pPr>
              <w:spacing w:after="0"/>
              <w:rPr>
                <w:sz w:val="15"/>
                <w:szCs w:val="15"/>
                <w:color w:val="auto"/>
              </w:rPr>
            </w:pPr>
          </w:p>
        </w:tc>
        <w:tc>
          <w:tcPr>
            <w:tcW w:w="300" w:type="dxa"/>
            <w:vAlign w:val="bottom"/>
            <w:tcBorders>
              <w:top w:val="single" w:sz="8" w:color="0000FF"/>
              <w:bottom w:val="single" w:sz="8" w:color="auto"/>
            </w:tcBorders>
          </w:tcPr>
          <w:p>
            <w:pPr>
              <w:spacing w:after="0"/>
              <w:rPr>
                <w:sz w:val="15"/>
                <w:szCs w:val="15"/>
                <w:color w:val="auto"/>
              </w:rPr>
            </w:pPr>
          </w:p>
        </w:tc>
        <w:tc>
          <w:tcPr>
            <w:tcW w:w="6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160" w:type="dxa"/>
            <w:vAlign w:val="bottom"/>
            <w:tcBorders>
              <w:top w:val="single" w:sz="8" w:color="0000FF"/>
              <w:bottom w:val="single" w:sz="8" w:color="auto"/>
            </w:tcBorders>
          </w:tcPr>
          <w:p>
            <w:pPr>
              <w:spacing w:after="0"/>
              <w:rPr>
                <w:sz w:val="15"/>
                <w:szCs w:val="15"/>
                <w:color w:val="auto"/>
              </w:rPr>
            </w:pPr>
          </w:p>
        </w:tc>
        <w:tc>
          <w:tcPr>
            <w:tcW w:w="660" w:type="dxa"/>
            <w:vAlign w:val="bottom"/>
            <w:tcBorders>
              <w:top w:val="single" w:sz="8" w:color="0000FF"/>
              <w:bottom w:val="single" w:sz="8" w:color="auto"/>
            </w:tcBorders>
          </w:tcPr>
          <w:p>
            <w:pPr>
              <w:spacing w:after="0"/>
              <w:rPr>
                <w:sz w:val="15"/>
                <w:szCs w:val="15"/>
                <w:color w:val="auto"/>
              </w:rPr>
            </w:pPr>
          </w:p>
        </w:tc>
        <w:tc>
          <w:tcPr>
            <w:tcW w:w="100" w:type="dxa"/>
            <w:vAlign w:val="bottom"/>
            <w:tcBorders>
              <w:top w:val="single" w:sz="8" w:color="0000FF"/>
              <w:bottom w:val="single" w:sz="8" w:color="auto"/>
            </w:tcBorders>
          </w:tcPr>
          <w:p>
            <w:pPr>
              <w:spacing w:after="0"/>
              <w:rPr>
                <w:sz w:val="15"/>
                <w:szCs w:val="15"/>
                <w:color w:val="auto"/>
              </w:rPr>
            </w:pPr>
          </w:p>
        </w:tc>
        <w:tc>
          <w:tcPr>
            <w:tcW w:w="300" w:type="dxa"/>
            <w:vAlign w:val="bottom"/>
            <w:tcBorders>
              <w:top w:val="single" w:sz="8" w:color="0000FF"/>
              <w:bottom w:val="single" w:sz="8" w:color="auto"/>
            </w:tcBorders>
          </w:tcPr>
          <w:p>
            <w:pPr>
              <w:spacing w:after="0"/>
              <w:rPr>
                <w:sz w:val="15"/>
                <w:szCs w:val="15"/>
                <w:color w:val="auto"/>
              </w:rPr>
            </w:pPr>
          </w:p>
        </w:tc>
        <w:tc>
          <w:tcPr>
            <w:tcW w:w="80" w:type="dxa"/>
            <w:vAlign w:val="bottom"/>
            <w:tcBorders>
              <w:top w:val="single" w:sz="8" w:color="0000FF"/>
              <w:bottom w:val="single" w:sz="8" w:color="auto"/>
            </w:tcBorders>
          </w:tcPr>
          <w:p>
            <w:pPr>
              <w:spacing w:after="0"/>
              <w:rPr>
                <w:sz w:val="15"/>
                <w:szCs w:val="15"/>
                <w:color w:val="auto"/>
              </w:rPr>
            </w:pPr>
          </w:p>
        </w:tc>
        <w:tc>
          <w:tcPr>
            <w:tcW w:w="160" w:type="dxa"/>
            <w:vAlign w:val="bottom"/>
            <w:tcBorders>
              <w:top w:val="single" w:sz="8" w:color="0000FF"/>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10.24+</w:t>
            </w:r>
          </w:p>
        </w:tc>
        <w:tc>
          <w:tcPr>
            <w:tcW w:w="80" w:type="dxa"/>
            <w:vAlign w:val="bottom"/>
          </w:tcPr>
          <w:p>
            <w:pPr>
              <w:spacing w:after="0"/>
              <w:rPr>
                <w:sz w:val="14"/>
                <w:szCs w:val="14"/>
                <w:color w:val="auto"/>
              </w:rPr>
            </w:pPr>
          </w:p>
        </w:tc>
        <w:tc>
          <w:tcPr>
            <w:tcW w:w="4600" w:type="dxa"/>
            <w:vAlign w:val="bottom"/>
            <w:tcBorders>
              <w:right w:val="single" w:sz="8" w:color="auto"/>
            </w:tcBorders>
            <w:gridSpan w:val="37"/>
          </w:tcPr>
          <w:p>
            <w:pPr>
              <w:spacing w:after="0" w:line="169" w:lineRule="exact"/>
              <w:rPr>
                <w:rFonts w:ascii="Arial" w:cs="Arial" w:eastAsia="Arial" w:hAnsi="Arial"/>
                <w:sz w:val="18"/>
                <w:szCs w:val="18"/>
                <w:color w:val="0000FF"/>
                <w:w w:val="98"/>
              </w:rPr>
            </w:pPr>
            <w:hyperlink r:id="rId467">
              <w:r>
                <w:rPr>
                  <w:rFonts w:ascii="Arial" w:cs="Arial" w:eastAsia="Arial" w:hAnsi="Arial"/>
                  <w:sz w:val="18"/>
                  <w:szCs w:val="18"/>
                  <w:color w:val="0000FF"/>
                  <w:w w:val="98"/>
                </w:rPr>
                <w:t>Form of Directors and Officers Indemnification Agreement.</w:t>
              </w:r>
            </w:hyperlink>
          </w:p>
        </w:tc>
        <w:tc>
          <w:tcPr>
            <w:tcW w:w="22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September 10,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10.25+</w:t>
            </w:r>
          </w:p>
        </w:tc>
        <w:tc>
          <w:tcPr>
            <w:tcW w:w="80" w:type="dxa"/>
            <w:vAlign w:val="bottom"/>
          </w:tcPr>
          <w:p>
            <w:pPr>
              <w:spacing w:after="0"/>
              <w:rPr>
                <w:sz w:val="14"/>
                <w:szCs w:val="14"/>
                <w:color w:val="auto"/>
              </w:rPr>
            </w:pPr>
          </w:p>
        </w:tc>
        <w:tc>
          <w:tcPr>
            <w:tcW w:w="4600" w:type="dxa"/>
            <w:vAlign w:val="bottom"/>
            <w:tcBorders>
              <w:right w:val="single" w:sz="8" w:color="auto"/>
            </w:tcBorders>
            <w:gridSpan w:val="37"/>
          </w:tcPr>
          <w:p>
            <w:pPr>
              <w:spacing w:after="0" w:line="169" w:lineRule="exact"/>
              <w:rPr>
                <w:rFonts w:ascii="Arial" w:cs="Arial" w:eastAsia="Arial" w:hAnsi="Arial"/>
                <w:sz w:val="18"/>
                <w:szCs w:val="18"/>
                <w:color w:val="0000FF"/>
              </w:rPr>
            </w:pPr>
            <w:hyperlink r:id="rId468">
              <w:r>
                <w:rPr>
                  <w:rFonts w:ascii="Arial" w:cs="Arial" w:eastAsia="Arial" w:hAnsi="Arial"/>
                  <w:sz w:val="18"/>
                  <w:szCs w:val="18"/>
                  <w:color w:val="0000FF"/>
                </w:rPr>
                <w:t>Burlington Stores, Inc. 2013 Omnibus Incentive Plan, as</w:t>
              </w:r>
            </w:hyperlink>
          </w:p>
        </w:tc>
        <w:tc>
          <w:tcPr>
            <w:tcW w:w="22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68">
              <w:r>
                <w:rPr>
                  <w:rFonts w:ascii="Arial" w:cs="Arial" w:eastAsia="Arial" w:hAnsi="Arial"/>
                  <w:sz w:val="18"/>
                  <w:szCs w:val="18"/>
                  <w:color w:val="0000FF"/>
                </w:rPr>
                <w:t>amended and restated May 17, 2017.</w:t>
              </w:r>
            </w:hyperlink>
          </w:p>
        </w:tc>
        <w:tc>
          <w:tcPr>
            <w:tcW w:w="6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top w:val="single" w:sz="8" w:color="0000FF"/>
              <w:bottom w:val="single" w:sz="8" w:color="auto"/>
            </w:tcBorders>
          </w:tcPr>
          <w:p>
            <w:pPr>
              <w:spacing w:after="0"/>
              <w:rPr>
                <w:sz w:val="15"/>
                <w:szCs w:val="15"/>
                <w:color w:val="auto"/>
              </w:rPr>
            </w:pPr>
          </w:p>
        </w:tc>
        <w:tc>
          <w:tcPr>
            <w:tcW w:w="140" w:type="dxa"/>
            <w:vAlign w:val="bottom"/>
            <w:tcBorders>
              <w:top w:val="single" w:sz="8" w:color="0000FF"/>
              <w:bottom w:val="single" w:sz="8" w:color="auto"/>
            </w:tcBorders>
          </w:tcPr>
          <w:p>
            <w:pPr>
              <w:spacing w:after="0"/>
              <w:rPr>
                <w:sz w:val="15"/>
                <w:szCs w:val="15"/>
                <w:color w:val="auto"/>
              </w:rPr>
            </w:pPr>
          </w:p>
        </w:tc>
        <w:tc>
          <w:tcPr>
            <w:tcW w:w="300" w:type="dxa"/>
            <w:vAlign w:val="bottom"/>
            <w:tcBorders>
              <w:top w:val="single" w:sz="8" w:color="0000FF"/>
              <w:bottom w:val="single" w:sz="8" w:color="auto"/>
            </w:tcBorders>
          </w:tcPr>
          <w:p>
            <w:pPr>
              <w:spacing w:after="0"/>
              <w:rPr>
                <w:sz w:val="15"/>
                <w:szCs w:val="15"/>
                <w:color w:val="auto"/>
              </w:rPr>
            </w:pPr>
          </w:p>
        </w:tc>
        <w:tc>
          <w:tcPr>
            <w:tcW w:w="6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160" w:type="dxa"/>
            <w:vAlign w:val="bottom"/>
            <w:tcBorders>
              <w:top w:val="single" w:sz="8" w:color="0000FF"/>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10.26+</w:t>
            </w:r>
          </w:p>
        </w:tc>
        <w:tc>
          <w:tcPr>
            <w:tcW w:w="80" w:type="dxa"/>
            <w:vAlign w:val="bottom"/>
          </w:tcPr>
          <w:p>
            <w:pPr>
              <w:spacing w:after="0"/>
              <w:rPr>
                <w:sz w:val="14"/>
                <w:szCs w:val="14"/>
                <w:color w:val="auto"/>
              </w:rPr>
            </w:pPr>
          </w:p>
        </w:tc>
        <w:tc>
          <w:tcPr>
            <w:tcW w:w="4600" w:type="dxa"/>
            <w:vAlign w:val="bottom"/>
            <w:tcBorders>
              <w:right w:val="single" w:sz="8" w:color="auto"/>
            </w:tcBorders>
            <w:gridSpan w:val="37"/>
          </w:tcPr>
          <w:p>
            <w:pPr>
              <w:spacing w:after="0" w:line="169" w:lineRule="exact"/>
              <w:rPr>
                <w:rFonts w:ascii="Arial" w:cs="Arial" w:eastAsia="Arial" w:hAnsi="Arial"/>
                <w:sz w:val="18"/>
                <w:szCs w:val="18"/>
                <w:color w:val="0000FF"/>
                <w:w w:val="95"/>
              </w:rPr>
            </w:pPr>
            <w:hyperlink r:id="rId469">
              <w:r>
                <w:rPr>
                  <w:rFonts w:ascii="Arial" w:cs="Arial" w:eastAsia="Arial" w:hAnsi="Arial"/>
                  <w:sz w:val="18"/>
                  <w:szCs w:val="18"/>
                  <w:color w:val="0000FF"/>
                  <w:w w:val="95"/>
                </w:rPr>
                <w:t>Form of Non-Qualified Stock Option Agreement, pursuant to</w:t>
              </w:r>
            </w:hyperlink>
          </w:p>
        </w:tc>
        <w:tc>
          <w:tcPr>
            <w:tcW w:w="22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September 6,</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469">
              <w:r>
                <w:rPr>
                  <w:rFonts w:ascii="Arial" w:cs="Arial" w:eastAsia="Arial" w:hAnsi="Arial"/>
                  <w:sz w:val="18"/>
                  <w:szCs w:val="18"/>
                  <w:color w:val="0000FF"/>
                  <w:w w:val="96"/>
                </w:rPr>
                <w:t>Burlington Holdings, Inc. 2006 Management Incentive Plan</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469">
              <w:r>
                <w:rPr>
                  <w:rFonts w:ascii="Arial" w:cs="Arial" w:eastAsia="Arial" w:hAnsi="Arial"/>
                  <w:sz w:val="18"/>
                  <w:szCs w:val="18"/>
                  <w:color w:val="0000FF"/>
                  <w:w w:val="90"/>
                </w:rPr>
                <w:t>(Amended and Restated June 15, 2013), between Burlington</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tcBorders>
              <w:right w:val="single" w:sz="8" w:color="auto"/>
            </w:tcBorders>
            <w:gridSpan w:val="6"/>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30"/>
          </w:tcPr>
          <w:p>
            <w:pPr>
              <w:spacing w:after="0" w:line="15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Holdings, Inc. and Employees with Employment Agreements</w:t>
              </w:r>
            </w:hyperlink>
          </w:p>
        </w:tc>
        <w:tc>
          <w:tcPr>
            <w:tcW w:w="140" w:type="dxa"/>
            <w:vAlign w:val="bottom"/>
            <w:tcBorders>
              <w:right w:val="single" w:sz="8" w:color="auto"/>
            </w:tcBorders>
            <w:gridSpan w:val="6"/>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469">
              <w:r>
                <w:rPr>
                  <w:rFonts w:ascii="Arial" w:cs="Arial" w:eastAsia="Arial" w:hAnsi="Arial"/>
                  <w:sz w:val="18"/>
                  <w:szCs w:val="18"/>
                  <w:color w:val="0000FF"/>
                </w:rPr>
                <w:t>(for 2013 special one-time grants).</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10.27+</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w w:val="95"/>
              </w:rPr>
            </w:pPr>
            <w:hyperlink r:id="rId470">
              <w:r>
                <w:rPr>
                  <w:rFonts w:ascii="Arial" w:cs="Arial" w:eastAsia="Arial" w:hAnsi="Arial"/>
                  <w:sz w:val="18"/>
                  <w:szCs w:val="18"/>
                  <w:color w:val="0000FF"/>
                  <w:w w:val="95"/>
                </w:rPr>
                <w:t>Form of Non-Qualified Stock Option Agreement, pursuant to</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Registration Statement on</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September 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470">
              <w:r>
                <w:rPr>
                  <w:rFonts w:ascii="Arial" w:cs="Arial" w:eastAsia="Arial" w:hAnsi="Arial"/>
                  <w:sz w:val="18"/>
                  <w:szCs w:val="18"/>
                  <w:color w:val="0000FF"/>
                  <w:w w:val="96"/>
                </w:rPr>
                <w:t>Burlington Holdings, Inc. 2006 Management Incentive Plan</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Form S-1/A</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470">
              <w:r>
                <w:rPr>
                  <w:rFonts w:ascii="Arial" w:cs="Arial" w:eastAsia="Arial" w:hAnsi="Arial"/>
                  <w:sz w:val="18"/>
                  <w:szCs w:val="18"/>
                  <w:color w:val="0000FF"/>
                  <w:w w:val="90"/>
                </w:rPr>
                <w:t>(Amended and Restated June 15, 2013), between Burlington</w:t>
              </w:r>
            </w:hyperlink>
          </w:p>
        </w:tc>
        <w:tc>
          <w:tcPr>
            <w:tcW w:w="180" w:type="dxa"/>
            <w:vAlign w:val="bottom"/>
            <w:tcBorders>
              <w:right w:val="single" w:sz="8" w:color="auto"/>
            </w:tcBorders>
            <w:gridSpan w:val="8"/>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470">
              <w:r>
                <w:rPr>
                  <w:rFonts w:ascii="Arial" w:cs="Arial" w:eastAsia="Arial" w:hAnsi="Arial"/>
                  <w:sz w:val="18"/>
                  <w:szCs w:val="18"/>
                  <w:color w:val="0000FF"/>
                </w:rPr>
                <w:t>Holdings, Inc. and Employees without Employment</w:t>
              </w:r>
            </w:hyperlink>
          </w:p>
        </w:tc>
        <w:tc>
          <w:tcPr>
            <w:tcW w:w="140" w:type="dxa"/>
            <w:vAlign w:val="bottom"/>
            <w:tcBorders>
              <w:right w:val="single" w:sz="8" w:color="auto"/>
            </w:tcBorders>
            <w:gridSpan w:val="6"/>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0"/>
          </w:tcPr>
          <w:p>
            <w:pPr>
              <w:spacing w:after="0" w:line="156" w:lineRule="exact"/>
              <w:rPr>
                <w:rFonts w:ascii="Arial" w:cs="Arial" w:eastAsia="Arial" w:hAnsi="Arial"/>
                <w:sz w:val="18"/>
                <w:szCs w:val="18"/>
                <w:color w:val="0000FF"/>
                <w:w w:val="99"/>
              </w:rPr>
            </w:pPr>
            <w:hyperlink r:id="rId470">
              <w:r>
                <w:rPr>
                  <w:rFonts w:ascii="Arial" w:cs="Arial" w:eastAsia="Arial" w:hAnsi="Arial"/>
                  <w:sz w:val="18"/>
                  <w:szCs w:val="18"/>
                  <w:color w:val="0000FF"/>
                  <w:w w:val="99"/>
                </w:rPr>
                <w:t>Agreements (for 2013 special one-time grants).</w:t>
              </w:r>
            </w:hyperlink>
          </w:p>
        </w:tc>
        <w:tc>
          <w:tcPr>
            <w:tcW w:w="26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300" w:type="dxa"/>
            <w:vAlign w:val="bottom"/>
            <w:tcBorders>
              <w:right w:val="single" w:sz="8" w:color="auto"/>
            </w:tcBorders>
            <w:gridSpan w:val="1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10.28+</w:t>
            </w:r>
          </w:p>
        </w:tc>
        <w:tc>
          <w:tcPr>
            <w:tcW w:w="80" w:type="dxa"/>
            <w:vAlign w:val="bottom"/>
          </w:tcPr>
          <w:p>
            <w:pPr>
              <w:spacing w:after="0"/>
              <w:rPr>
                <w:sz w:val="13"/>
                <w:szCs w:val="13"/>
                <w:color w:val="auto"/>
              </w:rPr>
            </w:pPr>
          </w:p>
        </w:tc>
        <w:tc>
          <w:tcPr>
            <w:tcW w:w="4600" w:type="dxa"/>
            <w:vAlign w:val="bottom"/>
            <w:tcBorders>
              <w:right w:val="single" w:sz="8" w:color="auto"/>
            </w:tcBorders>
            <w:gridSpan w:val="37"/>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Form of Non-Qualified Stock Option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March 15, 2016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471">
              <w:r>
                <w:rPr>
                  <w:rFonts w:ascii="Arial" w:cs="Arial" w:eastAsia="Arial" w:hAnsi="Arial"/>
                  <w:sz w:val="18"/>
                  <w:szCs w:val="18"/>
                  <w:color w:val="0000FF"/>
                  <w:w w:val="93"/>
                </w:rPr>
                <w:t>Burlington Stores, Inc. and Employees with Employment</w:t>
              </w:r>
            </w:hyperlink>
          </w:p>
        </w:tc>
        <w:tc>
          <w:tcPr>
            <w:tcW w:w="80" w:type="dxa"/>
            <w:vAlign w:val="bottom"/>
            <w:gridSpan w:val="3"/>
          </w:tcPr>
          <w:p>
            <w:pPr>
              <w:spacing w:after="0"/>
              <w:rPr>
                <w:sz w:val="13"/>
                <w:szCs w:val="13"/>
                <w:color w:val="auto"/>
              </w:rPr>
            </w:pPr>
          </w:p>
        </w:tc>
        <w:tc>
          <w:tcPr>
            <w:tcW w:w="300" w:type="dxa"/>
            <w:vAlign w:val="bottom"/>
            <w:tcBorders>
              <w:right w:val="single" w:sz="8" w:color="auto"/>
            </w:tcBorders>
            <w:gridSpan w:val="14"/>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71">
              <w:r>
                <w:rPr>
                  <w:rFonts w:ascii="Arial" w:cs="Arial" w:eastAsia="Arial" w:hAnsi="Arial"/>
                  <w:sz w:val="18"/>
                  <w:szCs w:val="18"/>
                  <w:color w:val="0000FF"/>
                  <w:w w:val="91"/>
                </w:rPr>
                <w:t>Agreements pursuant to Burlington Holdings, Inc. 2006</w:t>
              </w:r>
            </w:hyperlink>
          </w:p>
        </w:tc>
        <w:tc>
          <w:tcPr>
            <w:tcW w:w="120" w:type="dxa"/>
            <w:vAlign w:val="bottom"/>
            <w:tcBorders>
              <w:top w:val="single" w:sz="8" w:color="0000FF"/>
            </w:tcBorders>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300" w:type="dxa"/>
            <w:vAlign w:val="bottom"/>
            <w:tcBorders>
              <w:right w:val="single" w:sz="8" w:color="auto"/>
            </w:tcBorders>
            <w:gridSpan w:val="1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right w:val="single" w:sz="8" w:color="auto"/>
            </w:tcBorders>
            <w:gridSpan w:val="36"/>
          </w:tcPr>
          <w:p>
            <w:pPr>
              <w:spacing w:after="0" w:line="156" w:lineRule="exact"/>
              <w:rPr>
                <w:rFonts w:ascii="Arial" w:cs="Arial" w:eastAsia="Arial" w:hAnsi="Arial"/>
                <w:sz w:val="18"/>
                <w:szCs w:val="18"/>
                <w:color w:val="0000FF"/>
                <w:w w:val="91"/>
              </w:rPr>
            </w:pPr>
            <w:hyperlink r:id="rId471">
              <w:r>
                <w:rPr>
                  <w:rFonts w:ascii="Arial" w:cs="Arial" w:eastAsia="Arial" w:hAnsi="Arial"/>
                  <w:sz w:val="18"/>
                  <w:szCs w:val="18"/>
                  <w:color w:val="0000FF"/>
                  <w:w w:val="91"/>
                </w:rPr>
                <w:t>Management Incentive Plan (Amended and Restated June 15,</w:t>
              </w:r>
            </w:hyperlink>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471">
              <w:r>
                <w:rPr>
                  <w:rFonts w:ascii="Arial" w:cs="Arial" w:eastAsia="Arial" w:hAnsi="Arial"/>
                  <w:sz w:val="18"/>
                  <w:szCs w:val="18"/>
                  <w:color w:val="0000FF"/>
                  <w:w w:val="96"/>
                </w:rPr>
                <w:t>2013) (for grants made from and after December 2015 and</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71">
              <w:r>
                <w:rPr>
                  <w:rFonts w:ascii="Arial" w:cs="Arial" w:eastAsia="Arial" w:hAnsi="Arial"/>
                  <w:sz w:val="18"/>
                  <w:szCs w:val="18"/>
                  <w:color w:val="0000FF"/>
                </w:rPr>
                <w:t>prior to November 2016).</w:t>
              </w:r>
            </w:hyperlink>
          </w:p>
        </w:tc>
        <w:tc>
          <w:tcPr>
            <w:tcW w:w="300" w:type="dxa"/>
            <w:vAlign w:val="bottom"/>
            <w:tcBorders>
              <w:right w:val="single" w:sz="8" w:color="auto"/>
            </w:tcBorders>
            <w:gridSpan w:val="1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0" w:type="dxa"/>
            <w:vAlign w:val="bottom"/>
            <w:gridSpan w:val="11"/>
          </w:tcPr>
          <w:p>
            <w:pPr>
              <w:jc w:val="right"/>
              <w:ind w:right="2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jc w:val="right"/>
              <w:ind w:right="750"/>
              <w:spacing w:after="0" w:line="192" w:lineRule="exact"/>
              <w:rPr>
                <w:sz w:val="20"/>
                <w:szCs w:val="20"/>
                <w:color w:val="auto"/>
              </w:rPr>
            </w:pPr>
            <w:r>
              <w:rPr>
                <w:rFonts w:ascii="Arial" w:cs="Arial" w:eastAsia="Arial" w:hAnsi="Arial"/>
                <w:sz w:val="18"/>
                <w:szCs w:val="18"/>
                <w:color w:val="auto"/>
              </w:rPr>
              <w:t>10.29+</w:t>
            </w:r>
          </w:p>
        </w:tc>
        <w:tc>
          <w:tcPr>
            <w:tcW w:w="100" w:type="dxa"/>
            <w:vAlign w:val="bottom"/>
            <w:tcBorders>
              <w:top w:val="single" w:sz="8" w:color="auto"/>
            </w:tcBorders>
          </w:tcPr>
          <w:p>
            <w:pPr>
              <w:spacing w:after="0"/>
              <w:rPr>
                <w:sz w:val="16"/>
                <w:szCs w:val="16"/>
                <w:color w:val="auto"/>
              </w:rPr>
            </w:pPr>
          </w:p>
        </w:tc>
        <w:tc>
          <w:tcPr>
            <w:tcW w:w="4560" w:type="dxa"/>
            <w:vAlign w:val="bottom"/>
            <w:tcBorders>
              <w:top w:val="single" w:sz="8" w:color="auto"/>
              <w:right w:val="single" w:sz="8" w:color="auto"/>
            </w:tcBorders>
            <w:gridSpan w:val="20"/>
          </w:tcPr>
          <w:p>
            <w:pPr>
              <w:spacing w:after="0" w:line="192" w:lineRule="exact"/>
              <w:rPr>
                <w:rFonts w:ascii="Arial" w:cs="Arial" w:eastAsia="Arial" w:hAnsi="Arial"/>
                <w:sz w:val="18"/>
                <w:szCs w:val="18"/>
                <w:color w:val="0000FF"/>
              </w:rPr>
            </w:pPr>
            <w:hyperlink r:id="rId474">
              <w:r>
                <w:rPr>
                  <w:rFonts w:ascii="Arial" w:cs="Arial" w:eastAsia="Arial" w:hAnsi="Arial"/>
                  <w:sz w:val="18"/>
                  <w:szCs w:val="18"/>
                  <w:color w:val="0000FF"/>
                </w:rPr>
                <w:t>Form of Non-Qualified Stock Option Agreement between</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March 15, 2016</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474">
              <w:r>
                <w:rPr>
                  <w:rFonts w:ascii="Arial" w:cs="Arial" w:eastAsia="Arial" w:hAnsi="Arial"/>
                  <w:sz w:val="18"/>
                  <w:szCs w:val="18"/>
                  <w:color w:val="0000FF"/>
                  <w:w w:val="88"/>
                </w:rPr>
                <w:t>Burlington Stores, Inc. and Employees without Employment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bottom w:val="single" w:sz="8" w:color="0000FF"/>
            </w:tcBorders>
            <w:gridSpan w:val="7"/>
          </w:tcPr>
          <w:p>
            <w:pPr>
              <w:spacing w:after="0" w:line="156" w:lineRule="exact"/>
              <w:rPr>
                <w:rFonts w:ascii="Arial" w:cs="Arial" w:eastAsia="Arial" w:hAnsi="Arial"/>
                <w:sz w:val="18"/>
                <w:szCs w:val="18"/>
                <w:color w:val="0000FF"/>
                <w:w w:val="92"/>
              </w:rPr>
            </w:pPr>
            <w:hyperlink r:id="rId474">
              <w:r>
                <w:rPr>
                  <w:rFonts w:ascii="Arial" w:cs="Arial" w:eastAsia="Arial" w:hAnsi="Arial"/>
                  <w:sz w:val="18"/>
                  <w:szCs w:val="18"/>
                  <w:color w:val="0000FF"/>
                  <w:w w:val="92"/>
                </w:rPr>
                <w:t>Agreements pursuant to Burlington Holdings, Inc. 2006</w:t>
              </w:r>
            </w:hyperlink>
          </w:p>
        </w:tc>
        <w:tc>
          <w:tcPr>
            <w:tcW w:w="32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0"/>
              </w:rPr>
            </w:pPr>
            <w:hyperlink r:id="rId474">
              <w:r>
                <w:rPr>
                  <w:rFonts w:ascii="Arial" w:cs="Arial" w:eastAsia="Arial" w:hAnsi="Arial"/>
                  <w:sz w:val="18"/>
                  <w:szCs w:val="18"/>
                  <w:color w:val="0000FF"/>
                  <w:w w:val="90"/>
                </w:rPr>
                <w:t>Management Incentive Plan (Amended and Restated June 15,</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474">
              <w:r>
                <w:rPr>
                  <w:rFonts w:ascii="Arial" w:cs="Arial" w:eastAsia="Arial" w:hAnsi="Arial"/>
                  <w:sz w:val="18"/>
                  <w:szCs w:val="18"/>
                  <w:color w:val="0000FF"/>
                  <w:w w:val="94"/>
                </w:rPr>
                <w:t>2013) (for grants made from and after December 2015 and</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60" w:type="dxa"/>
            <w:vAlign w:val="bottom"/>
            <w:tcBorders>
              <w:top w:val="single" w:sz="8" w:color="0000FF"/>
              <w:bottom w:val="single" w:sz="8" w:color="auto"/>
            </w:tcBorders>
            <w:gridSpan w:val="12"/>
          </w:tcPr>
          <w:p>
            <w:pPr>
              <w:spacing w:after="0" w:line="156" w:lineRule="exact"/>
              <w:rPr>
                <w:rFonts w:ascii="Arial" w:cs="Arial" w:eastAsia="Arial" w:hAnsi="Arial"/>
                <w:sz w:val="18"/>
                <w:szCs w:val="18"/>
                <w:color w:val="0000FF"/>
              </w:rPr>
            </w:pPr>
            <w:hyperlink r:id="rId474">
              <w:r>
                <w:rPr>
                  <w:rFonts w:ascii="Arial" w:cs="Arial" w:eastAsia="Arial" w:hAnsi="Arial"/>
                  <w:sz w:val="18"/>
                  <w:szCs w:val="18"/>
                  <w:color w:val="0000FF"/>
                </w:rPr>
                <w:t>prior to November 2016).</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right w:val="single" w:sz="8" w:color="auto"/>
            </w:tcBorders>
            <w:gridSpan w:val="2"/>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10.30+</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5">
              <w:r>
                <w:rPr>
                  <w:rFonts w:ascii="Arial" w:cs="Arial" w:eastAsia="Arial" w:hAnsi="Arial"/>
                  <w:sz w:val="18"/>
                  <w:szCs w:val="18"/>
                  <w:color w:val="0000FF"/>
                </w:rPr>
                <w:t>Form of Non-Qualified Stock Option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23,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475">
              <w:r>
                <w:rPr>
                  <w:rFonts w:ascii="Arial" w:cs="Arial" w:eastAsia="Arial" w:hAnsi="Arial"/>
                  <w:sz w:val="18"/>
                  <w:szCs w:val="18"/>
                  <w:color w:val="0000FF"/>
                  <w:w w:val="93"/>
                </w:rPr>
                <w:t>Burlington Stores, Inc. and Employees with Employment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75">
              <w:r>
                <w:rPr>
                  <w:rFonts w:ascii="Arial" w:cs="Arial" w:eastAsia="Arial" w:hAnsi="Arial"/>
                  <w:sz w:val="18"/>
                  <w:szCs w:val="18"/>
                  <w:color w:val="0000FF"/>
                  <w:w w:val="91"/>
                </w:rPr>
                <w:t>Agreements pursuant to Burlington Stores, Inc. 2013</w:t>
              </w:r>
            </w:hyperlink>
          </w:p>
        </w:tc>
        <w:tc>
          <w:tcPr>
            <w:tcW w:w="3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75">
              <w:r>
                <w:rPr>
                  <w:rFonts w:ascii="Arial" w:cs="Arial" w:eastAsia="Arial" w:hAnsi="Arial"/>
                  <w:sz w:val="18"/>
                  <w:szCs w:val="18"/>
                  <w:color w:val="0000FF"/>
                  <w:w w:val="95"/>
                </w:rPr>
                <w:t>Omnibus Incentive Plan, as amended and restated May 17,</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475">
              <w:r>
                <w:rPr>
                  <w:rFonts w:ascii="Arial" w:cs="Arial" w:eastAsia="Arial" w:hAnsi="Arial"/>
                  <w:sz w:val="18"/>
                  <w:szCs w:val="18"/>
                  <w:color w:val="0000FF"/>
                  <w:w w:val="92"/>
                </w:rPr>
                <w:t>2017 (for grants made from and after November 2016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75">
              <w:r>
                <w:rPr>
                  <w:rFonts w:ascii="Arial" w:cs="Arial" w:eastAsia="Arial" w:hAnsi="Arial"/>
                  <w:sz w:val="18"/>
                  <w:szCs w:val="18"/>
                  <w:color w:val="0000FF"/>
                </w:rPr>
                <w:t>prior to May 2017).</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10.31+</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6">
              <w:r>
                <w:rPr>
                  <w:rFonts w:ascii="Arial" w:cs="Arial" w:eastAsia="Arial" w:hAnsi="Arial"/>
                  <w:sz w:val="18"/>
                  <w:szCs w:val="18"/>
                  <w:color w:val="0000FF"/>
                </w:rPr>
                <w:t>Form of Non-Qualified Stock Option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23,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476">
              <w:r>
                <w:rPr>
                  <w:rFonts w:ascii="Arial" w:cs="Arial" w:eastAsia="Arial" w:hAnsi="Arial"/>
                  <w:sz w:val="18"/>
                  <w:szCs w:val="18"/>
                  <w:color w:val="0000FF"/>
                  <w:w w:val="88"/>
                </w:rPr>
                <w:t>Burlington Stores, Inc. and Employees without Employment</w:t>
              </w:r>
            </w:hyperlink>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2016</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76">
              <w:r>
                <w:rPr>
                  <w:rFonts w:ascii="Arial" w:cs="Arial" w:eastAsia="Arial" w:hAnsi="Arial"/>
                  <w:sz w:val="18"/>
                  <w:szCs w:val="18"/>
                  <w:color w:val="0000FF"/>
                  <w:w w:val="91"/>
                </w:rPr>
                <w:t>Agreements pursuant to Burlington Stores, Inc. 2013</w:t>
              </w:r>
            </w:hyperlink>
          </w:p>
        </w:tc>
        <w:tc>
          <w:tcPr>
            <w:tcW w:w="5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76">
              <w:r>
                <w:rPr>
                  <w:rFonts w:ascii="Arial" w:cs="Arial" w:eastAsia="Arial" w:hAnsi="Arial"/>
                  <w:sz w:val="18"/>
                  <w:szCs w:val="18"/>
                  <w:color w:val="0000FF"/>
                  <w:w w:val="95"/>
                </w:rPr>
                <w:t>Omnibus Incentive Plan, as amended and restated May 17,</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476">
              <w:r>
                <w:rPr>
                  <w:rFonts w:ascii="Arial" w:cs="Arial" w:eastAsia="Arial" w:hAnsi="Arial"/>
                  <w:sz w:val="18"/>
                  <w:szCs w:val="18"/>
                  <w:color w:val="0000FF"/>
                  <w:w w:val="92"/>
                </w:rPr>
                <w:t>2017 (for grants made from and after November 2016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76">
              <w:r>
                <w:rPr>
                  <w:rFonts w:ascii="Arial" w:cs="Arial" w:eastAsia="Arial" w:hAnsi="Arial"/>
                  <w:sz w:val="18"/>
                  <w:szCs w:val="18"/>
                  <w:color w:val="0000FF"/>
                </w:rPr>
                <w:t>prior to May 2017).</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10.32+</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7">
              <w:r>
                <w:rPr>
                  <w:rFonts w:ascii="Arial" w:cs="Arial" w:eastAsia="Arial" w:hAnsi="Arial"/>
                  <w:sz w:val="18"/>
                  <w:szCs w:val="18"/>
                  <w:color w:val="0000FF"/>
                </w:rPr>
                <w:t>Form of Non-Qualified Stock Option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477">
              <w:r>
                <w:rPr>
                  <w:rFonts w:ascii="Arial" w:cs="Arial" w:eastAsia="Arial" w:hAnsi="Arial"/>
                  <w:sz w:val="18"/>
                  <w:szCs w:val="18"/>
                  <w:color w:val="0000FF"/>
                  <w:w w:val="93"/>
                </w:rPr>
                <w:t>Burlington Stores, Inc. and Employees with Employment</w:t>
              </w:r>
            </w:hyperlink>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77">
              <w:r>
                <w:rPr>
                  <w:rFonts w:ascii="Arial" w:cs="Arial" w:eastAsia="Arial" w:hAnsi="Arial"/>
                  <w:sz w:val="18"/>
                  <w:szCs w:val="18"/>
                  <w:color w:val="0000FF"/>
                  <w:w w:val="89"/>
                </w:rPr>
                <w:t>Agreements or Subject to the Executive Severance Plan</w:t>
              </w:r>
            </w:hyperlink>
          </w:p>
        </w:tc>
        <w:tc>
          <w:tcPr>
            <w:tcW w:w="1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77">
              <w:r>
                <w:rPr>
                  <w:rFonts w:ascii="Arial" w:cs="Arial" w:eastAsia="Arial" w:hAnsi="Arial"/>
                  <w:sz w:val="18"/>
                  <w:szCs w:val="18"/>
                  <w:color w:val="0000FF"/>
                  <w:w w:val="95"/>
                </w:rPr>
                <w:t>pursuant to Burlington Stores, Inc. 2013 Omnibus Incentive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FF"/>
            </w:tcBorders>
            <w:gridSpan w:val="15"/>
          </w:tcPr>
          <w:p>
            <w:pPr>
              <w:spacing w:after="0" w:line="156" w:lineRule="exact"/>
              <w:rPr>
                <w:rFonts w:ascii="Arial" w:cs="Arial" w:eastAsia="Arial" w:hAnsi="Arial"/>
                <w:sz w:val="18"/>
                <w:szCs w:val="18"/>
                <w:color w:val="0000FF"/>
                <w:w w:val="86"/>
              </w:rPr>
            </w:pPr>
            <w:hyperlink r:id="rId477">
              <w:r>
                <w:rPr>
                  <w:rFonts w:ascii="Arial" w:cs="Arial" w:eastAsia="Arial" w:hAnsi="Arial"/>
                  <w:sz w:val="18"/>
                  <w:szCs w:val="18"/>
                  <w:color w:val="0000FF"/>
                  <w:w w:val="86"/>
                </w:rPr>
                <w:t>Plan, as amended and restated May 17, 2017 (for grants made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77">
              <w:r>
                <w:rPr>
                  <w:rFonts w:ascii="Arial" w:cs="Arial" w:eastAsia="Arial" w:hAnsi="Arial"/>
                  <w:sz w:val="18"/>
                  <w:szCs w:val="18"/>
                  <w:color w:val="0000FF"/>
                </w:rPr>
                <w:t>from and after May 2017 and prior to May 2019).</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Form of Non-Qualified Stock Option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478">
              <w:r>
                <w:rPr>
                  <w:rFonts w:ascii="Arial" w:cs="Arial" w:eastAsia="Arial" w:hAnsi="Arial"/>
                  <w:sz w:val="18"/>
                  <w:szCs w:val="18"/>
                  <w:color w:val="0000FF"/>
                  <w:w w:val="88"/>
                </w:rPr>
                <w:t>Burlington Stores, Inc. and Employees without Employment</w:t>
              </w:r>
            </w:hyperlink>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78">
              <w:r>
                <w:rPr>
                  <w:rFonts w:ascii="Arial" w:cs="Arial" w:eastAsia="Arial" w:hAnsi="Arial"/>
                  <w:sz w:val="18"/>
                  <w:szCs w:val="18"/>
                  <w:color w:val="0000FF"/>
                  <w:w w:val="91"/>
                </w:rPr>
                <w:t>Agreements pursuant to Burlington Stores, Inc. 2013</w:t>
              </w:r>
            </w:hyperlink>
          </w:p>
        </w:tc>
        <w:tc>
          <w:tcPr>
            <w:tcW w:w="5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bottom w:val="single" w:sz="8" w:color="0000FF"/>
            </w:tcBorders>
            <w:gridSpan w:val="13"/>
          </w:tcPr>
          <w:p>
            <w:pPr>
              <w:spacing w:after="0" w:line="156" w:lineRule="exact"/>
              <w:rPr>
                <w:rFonts w:ascii="Arial" w:cs="Arial" w:eastAsia="Arial" w:hAnsi="Arial"/>
                <w:sz w:val="18"/>
                <w:szCs w:val="18"/>
                <w:color w:val="0000FF"/>
                <w:w w:val="90"/>
              </w:rPr>
            </w:pPr>
            <w:hyperlink r:id="rId478">
              <w:r>
                <w:rPr>
                  <w:rFonts w:ascii="Arial" w:cs="Arial" w:eastAsia="Arial" w:hAnsi="Arial"/>
                  <w:sz w:val="18"/>
                  <w:szCs w:val="18"/>
                  <w:color w:val="0000FF"/>
                  <w:w w:val="90"/>
                </w:rPr>
                <w:t>Omnibus Incentive Plan, as amended and restated May 17,</w:t>
              </w:r>
            </w:hyperlink>
          </w:p>
        </w:tc>
        <w:tc>
          <w:tcPr>
            <w:tcW w:w="28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78">
              <w:r>
                <w:rPr>
                  <w:rFonts w:ascii="Arial" w:cs="Arial" w:eastAsia="Arial" w:hAnsi="Arial"/>
                  <w:sz w:val="18"/>
                  <w:szCs w:val="18"/>
                  <w:color w:val="0000FF"/>
                  <w:w w:val="95"/>
                </w:rPr>
                <w:t>2017 (for grants made from and after May 2017 and prior to</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May 2019).</w:t>
              </w:r>
            </w:hyperlink>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10.34+</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Form of Restricted Stock Grant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7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Burlington Stores, Inc. and Employees with Employment</w:t>
              </w:r>
            </w:hyperlink>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79">
              <w:r>
                <w:rPr>
                  <w:rFonts w:ascii="Arial" w:cs="Arial" w:eastAsia="Arial" w:hAnsi="Arial"/>
                  <w:sz w:val="18"/>
                  <w:szCs w:val="18"/>
                  <w:color w:val="0000FF"/>
                  <w:w w:val="89"/>
                </w:rPr>
                <w:t>Agreements or Subject to the Executive Severance Plan</w:t>
              </w:r>
            </w:hyperlink>
          </w:p>
        </w:tc>
        <w:tc>
          <w:tcPr>
            <w:tcW w:w="1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79">
              <w:r>
                <w:rPr>
                  <w:rFonts w:ascii="Arial" w:cs="Arial" w:eastAsia="Arial" w:hAnsi="Arial"/>
                  <w:sz w:val="18"/>
                  <w:szCs w:val="18"/>
                  <w:color w:val="0000FF"/>
                  <w:w w:val="95"/>
                </w:rPr>
                <w:t>pursuant to Burlington Stores, Inc. 2013 Omnibus Incentive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FF"/>
            </w:tcBorders>
            <w:gridSpan w:val="15"/>
          </w:tcPr>
          <w:p>
            <w:pPr>
              <w:spacing w:after="0" w:line="156" w:lineRule="exact"/>
              <w:rPr>
                <w:rFonts w:ascii="Arial" w:cs="Arial" w:eastAsia="Arial" w:hAnsi="Arial"/>
                <w:sz w:val="18"/>
                <w:szCs w:val="18"/>
                <w:color w:val="0000FF"/>
                <w:w w:val="86"/>
              </w:rPr>
            </w:pPr>
            <w:hyperlink r:id="rId479">
              <w:r>
                <w:rPr>
                  <w:rFonts w:ascii="Arial" w:cs="Arial" w:eastAsia="Arial" w:hAnsi="Arial"/>
                  <w:sz w:val="18"/>
                  <w:szCs w:val="18"/>
                  <w:color w:val="0000FF"/>
                  <w:w w:val="86"/>
                </w:rPr>
                <w:t>Plan, as amended and restated May 17, 2017 (for grants made</w:t>
              </w:r>
            </w:hyperlink>
          </w:p>
        </w:tc>
        <w:tc>
          <w:tcPr>
            <w:tcW w:w="80" w:type="dxa"/>
            <w:vAlign w:val="bottom"/>
            <w:gridSpan w:val="3"/>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79">
              <w:r>
                <w:rPr>
                  <w:rFonts w:ascii="Arial" w:cs="Arial" w:eastAsia="Arial" w:hAnsi="Arial"/>
                  <w:sz w:val="18"/>
                  <w:szCs w:val="18"/>
                  <w:color w:val="0000FF"/>
                </w:rPr>
                <w:t>from and after May 2017 and prior to May 2019).</w:t>
              </w:r>
            </w:hyperlink>
          </w:p>
        </w:tc>
        <w:tc>
          <w:tcPr>
            <w:tcW w:w="1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10.35+</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rPr>
            </w:pPr>
            <w:hyperlink r:id="rId480">
              <w:r>
                <w:rPr>
                  <w:rFonts w:ascii="Arial" w:cs="Arial" w:eastAsia="Arial" w:hAnsi="Arial"/>
                  <w:sz w:val="18"/>
                  <w:szCs w:val="18"/>
                  <w:color w:val="0000FF"/>
                </w:rPr>
                <w:t>Form of Restricted Stock Grant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22, 2017</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7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80">
              <w:r>
                <w:rPr>
                  <w:rFonts w:ascii="Arial" w:cs="Arial" w:eastAsia="Arial" w:hAnsi="Arial"/>
                  <w:sz w:val="18"/>
                  <w:szCs w:val="18"/>
                  <w:color w:val="0000FF"/>
                  <w:w w:val="95"/>
                </w:rPr>
                <w:t>Burlington Stores, Inc. and Employees without Employment</w:t>
              </w:r>
            </w:hyperlink>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80">
              <w:r>
                <w:rPr>
                  <w:rFonts w:ascii="Arial" w:cs="Arial" w:eastAsia="Arial" w:hAnsi="Arial"/>
                  <w:sz w:val="18"/>
                  <w:szCs w:val="18"/>
                  <w:color w:val="0000FF"/>
                  <w:w w:val="91"/>
                </w:rPr>
                <w:t>Agreements pursuant to Burlington Stores, Inc. 2013</w:t>
              </w:r>
            </w:hyperlink>
          </w:p>
        </w:tc>
        <w:tc>
          <w:tcPr>
            <w:tcW w:w="5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bottom w:val="single" w:sz="8" w:color="0000FF"/>
            </w:tcBorders>
            <w:gridSpan w:val="13"/>
          </w:tcPr>
          <w:p>
            <w:pPr>
              <w:spacing w:after="0" w:line="156" w:lineRule="exact"/>
              <w:rPr>
                <w:rFonts w:ascii="Arial" w:cs="Arial" w:eastAsia="Arial" w:hAnsi="Arial"/>
                <w:sz w:val="18"/>
                <w:szCs w:val="18"/>
                <w:color w:val="0000FF"/>
                <w:w w:val="90"/>
              </w:rPr>
            </w:pPr>
            <w:hyperlink r:id="rId480">
              <w:r>
                <w:rPr>
                  <w:rFonts w:ascii="Arial" w:cs="Arial" w:eastAsia="Arial" w:hAnsi="Arial"/>
                  <w:sz w:val="18"/>
                  <w:szCs w:val="18"/>
                  <w:color w:val="0000FF"/>
                  <w:w w:val="90"/>
                </w:rPr>
                <w:t>Omnibus Incentive Plan, as amended and restated May 17,</w:t>
              </w:r>
            </w:hyperlink>
          </w:p>
        </w:tc>
        <w:tc>
          <w:tcPr>
            <w:tcW w:w="28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5"/>
              </w:rPr>
            </w:pPr>
            <w:hyperlink r:id="rId480">
              <w:r>
                <w:rPr>
                  <w:rFonts w:ascii="Arial" w:cs="Arial" w:eastAsia="Arial" w:hAnsi="Arial"/>
                  <w:sz w:val="18"/>
                  <w:szCs w:val="18"/>
                  <w:color w:val="0000FF"/>
                  <w:w w:val="95"/>
                </w:rPr>
                <w:t>2017 (for grants made from and after May 2017 and prior to</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80">
              <w:r>
                <w:rPr>
                  <w:rFonts w:ascii="Arial" w:cs="Arial" w:eastAsia="Arial" w:hAnsi="Arial"/>
                  <w:sz w:val="18"/>
                  <w:szCs w:val="18"/>
                  <w:color w:val="0000FF"/>
                </w:rPr>
                <w:t>May 2019).</w:t>
              </w:r>
            </w:hyperlink>
          </w:p>
        </w:tc>
        <w:tc>
          <w:tcPr>
            <w:tcW w:w="60" w:type="dxa"/>
            <w:vAlign w:val="bottom"/>
            <w:gridSpan w:val="2"/>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10.36+</w:t>
            </w:r>
          </w:p>
        </w:tc>
        <w:tc>
          <w:tcPr>
            <w:tcW w:w="100" w:type="dxa"/>
            <w:vAlign w:val="bottom"/>
          </w:tcPr>
          <w:p>
            <w:pPr>
              <w:spacing w:after="0"/>
              <w:rPr>
                <w:sz w:val="13"/>
                <w:szCs w:val="13"/>
                <w:color w:val="auto"/>
              </w:rPr>
            </w:pPr>
          </w:p>
        </w:tc>
        <w:tc>
          <w:tcPr>
            <w:tcW w:w="4560" w:type="dxa"/>
            <w:vAlign w:val="bottom"/>
            <w:tcBorders>
              <w:right w:val="single" w:sz="8" w:color="auto"/>
            </w:tcBorders>
            <w:gridSpan w:val="20"/>
          </w:tcPr>
          <w:p>
            <w:pPr>
              <w:spacing w:after="0" w:line="156" w:lineRule="exact"/>
              <w:rPr>
                <w:rFonts w:ascii="Arial" w:cs="Arial" w:eastAsia="Arial" w:hAnsi="Arial"/>
                <w:sz w:val="18"/>
                <w:szCs w:val="18"/>
                <w:color w:val="0000FF"/>
                <w:w w:val="99"/>
              </w:rPr>
            </w:pPr>
            <w:hyperlink r:id="rId481">
              <w:r>
                <w:rPr>
                  <w:rFonts w:ascii="Arial" w:cs="Arial" w:eastAsia="Arial" w:hAnsi="Arial"/>
                  <w:sz w:val="18"/>
                  <w:szCs w:val="18"/>
                  <w:color w:val="0000FF"/>
                  <w:w w:val="99"/>
                </w:rPr>
                <w:t>Form of Performance-Based Restricted Stock Unit Award</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June 3,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7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140" w:type="dxa"/>
            <w:vAlign w:val="bottom"/>
            <w:tcBorders>
              <w:right w:val="single" w:sz="8" w:color="auto"/>
            </w:tcBorders>
            <w:gridSpan w:val="2"/>
            <w:vMerge w:val="restart"/>
          </w:tcPr>
          <w:p>
            <w:pPr>
              <w:spacing w:after="0" w:line="20" w:lineRule="exact"/>
              <w:rPr>
                <w:sz w:val="1"/>
                <w:szCs w:val="1"/>
                <w:color w:val="auto"/>
              </w:rPr>
            </w:pPr>
          </w:p>
        </w:tc>
        <w:tc>
          <w:tcPr>
            <w:tcW w:w="222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gridSpan w:val="9"/>
          </w:tcPr>
          <w:p>
            <w:pPr>
              <w:spacing w:after="0" w:line="156" w:lineRule="exact"/>
              <w:rPr>
                <w:rFonts w:ascii="Arial" w:cs="Arial" w:eastAsia="Arial" w:hAnsi="Arial"/>
                <w:sz w:val="18"/>
                <w:szCs w:val="18"/>
                <w:color w:val="0000FF"/>
                <w:w w:val="89"/>
              </w:rPr>
            </w:pPr>
            <w:hyperlink r:id="rId481">
              <w:r>
                <w:rPr>
                  <w:rFonts w:ascii="Arial" w:cs="Arial" w:eastAsia="Arial" w:hAnsi="Arial"/>
                  <w:sz w:val="18"/>
                  <w:szCs w:val="18"/>
                  <w:color w:val="0000FF"/>
                  <w:w w:val="89"/>
                </w:rPr>
                <w:t>Notice and Agreement between Burlington Stores, Inc. and</w:t>
              </w:r>
            </w:hyperlink>
          </w:p>
        </w:tc>
        <w:tc>
          <w:tcPr>
            <w:tcW w:w="100" w:type="dxa"/>
            <w:vAlign w:val="bottom"/>
            <w:gridSpan w:val="5"/>
            <w:vMerge w:val="continue"/>
          </w:tcPr>
          <w:p>
            <w:pPr>
              <w:spacing w:after="0"/>
              <w:rPr>
                <w:sz w:val="13"/>
                <w:szCs w:val="13"/>
                <w:color w:val="auto"/>
              </w:rPr>
            </w:pPr>
          </w:p>
        </w:tc>
        <w:tc>
          <w:tcPr>
            <w:tcW w:w="120" w:type="dxa"/>
            <w:vAlign w:val="bottom"/>
            <w:gridSpan w:val="4"/>
            <w:vMerge w:val="continue"/>
          </w:tcPr>
          <w:p>
            <w:pPr>
              <w:spacing w:after="0"/>
              <w:rPr>
                <w:sz w:val="13"/>
                <w:szCs w:val="13"/>
                <w:color w:val="auto"/>
              </w:rPr>
            </w:pPr>
          </w:p>
        </w:tc>
        <w:tc>
          <w:tcPr>
            <w:tcW w:w="140" w:type="dxa"/>
            <w:vAlign w:val="bottom"/>
            <w:tcBorders>
              <w:right w:val="single" w:sz="8" w:color="auto"/>
            </w:tcBorders>
            <w:gridSpan w:val="2"/>
            <w:vMerge w:val="continue"/>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8"/>
              </w:rPr>
            </w:pPr>
            <w:hyperlink r:id="rId481">
              <w:r>
                <w:rPr>
                  <w:rFonts w:ascii="Arial" w:cs="Arial" w:eastAsia="Arial" w:hAnsi="Arial"/>
                  <w:sz w:val="18"/>
                  <w:szCs w:val="18"/>
                  <w:color w:val="0000FF"/>
                  <w:w w:val="88"/>
                </w:rPr>
                <w:t>award recipients pursuant to the Burlington Stores, Inc. 2013</w:t>
              </w:r>
            </w:hyperlink>
          </w:p>
        </w:tc>
        <w:tc>
          <w:tcPr>
            <w:tcW w:w="120" w:type="dxa"/>
            <w:vAlign w:val="bottom"/>
            <w:tcBorders>
              <w:bottom w:val="single" w:sz="8" w:color="0000FF"/>
            </w:tcBorders>
            <w:gridSpan w:val="4"/>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20" w:type="dxa"/>
            <w:vAlign w:val="bottom"/>
            <w:gridSpan w:val="18"/>
          </w:tcPr>
          <w:p>
            <w:pPr>
              <w:spacing w:after="0" w:line="156" w:lineRule="exact"/>
              <w:rPr>
                <w:rFonts w:ascii="Arial" w:cs="Arial" w:eastAsia="Arial" w:hAnsi="Arial"/>
                <w:sz w:val="18"/>
                <w:szCs w:val="18"/>
                <w:color w:val="0000FF"/>
                <w:w w:val="92"/>
              </w:rPr>
            </w:pPr>
            <w:hyperlink r:id="rId481">
              <w:r>
                <w:rPr>
                  <w:rFonts w:ascii="Arial" w:cs="Arial" w:eastAsia="Arial" w:hAnsi="Arial"/>
                  <w:sz w:val="18"/>
                  <w:szCs w:val="18"/>
                  <w:color w:val="0000FF"/>
                  <w:w w:val="92"/>
                </w:rPr>
                <w:t>Omnibus Incentive Plan, as amended and restated May 17,</w:t>
              </w:r>
            </w:hyperlink>
          </w:p>
        </w:tc>
        <w:tc>
          <w:tcPr>
            <w:tcW w:w="14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81">
              <w:r>
                <w:rPr>
                  <w:rFonts w:ascii="Arial" w:cs="Arial" w:eastAsia="Arial" w:hAnsi="Arial"/>
                  <w:sz w:val="18"/>
                  <w:szCs w:val="18"/>
                  <w:color w:val="0000FF"/>
                </w:rPr>
                <w:t>2017 (for grants made from and after May 1, 2019).</w:t>
              </w:r>
            </w:hyperlink>
          </w:p>
        </w:tc>
        <w:tc>
          <w:tcPr>
            <w:tcW w:w="28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60" w:type="dxa"/>
            <w:vAlign w:val="bottom"/>
            <w:gridSpan w:val="4"/>
          </w:tcPr>
          <w:p>
            <w:pPr>
              <w:jc w:val="right"/>
              <w:ind w:right="14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10.37+</w:t>
            </w:r>
          </w:p>
        </w:tc>
        <w:tc>
          <w:tcPr>
            <w:tcW w:w="4660" w:type="dxa"/>
            <w:vAlign w:val="bottom"/>
            <w:tcBorders>
              <w:top w:val="single" w:sz="8" w:color="auto"/>
              <w:right w:val="single" w:sz="8" w:color="auto"/>
            </w:tcBorders>
            <w:gridSpan w:val="37"/>
          </w:tcPr>
          <w:p>
            <w:pPr>
              <w:ind w:left="80"/>
              <w:spacing w:after="0" w:line="192" w:lineRule="exact"/>
              <w:rPr>
                <w:rFonts w:ascii="Arial" w:cs="Arial" w:eastAsia="Arial" w:hAnsi="Arial"/>
                <w:sz w:val="18"/>
                <w:szCs w:val="18"/>
                <w:color w:val="0000FF"/>
                <w:w w:val="95"/>
              </w:rPr>
            </w:pPr>
            <w:hyperlink r:id="rId484">
              <w:r>
                <w:rPr>
                  <w:rFonts w:ascii="Arial" w:cs="Arial" w:eastAsia="Arial" w:hAnsi="Arial"/>
                  <w:sz w:val="18"/>
                  <w:szCs w:val="18"/>
                  <w:color w:val="0000FF"/>
                  <w:w w:val="95"/>
                </w:rPr>
                <w:t>Form of Restricted Stock Unit Award Notice and Agreement</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June 3, 2019</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84">
              <w:r>
                <w:rPr>
                  <w:rFonts w:ascii="Arial" w:cs="Arial" w:eastAsia="Arial" w:hAnsi="Arial"/>
                  <w:sz w:val="18"/>
                  <w:szCs w:val="18"/>
                  <w:color w:val="0000FF"/>
                </w:rPr>
                <w:t>between Burlington Stores, Inc. and award recipients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484">
              <w:r>
                <w:rPr>
                  <w:rFonts w:ascii="Arial" w:cs="Arial" w:eastAsia="Arial" w:hAnsi="Arial"/>
                  <w:sz w:val="18"/>
                  <w:szCs w:val="18"/>
                  <w:color w:val="0000FF"/>
                  <w:w w:val="90"/>
                </w:rPr>
                <w:t>pursuant to the Burlington Stores, Inc. 2013 Omnibus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right w:val="single" w:sz="8" w:color="auto"/>
            </w:tcBorders>
            <w:gridSpan w:val="23"/>
            <w:vMerge w:val="restart"/>
          </w:tcPr>
          <w:p>
            <w:pPr>
              <w:ind w:left="20"/>
              <w:spacing w:after="0"/>
              <w:rPr>
                <w:rFonts w:ascii="Arial" w:cs="Arial" w:eastAsia="Arial" w:hAnsi="Arial"/>
                <w:sz w:val="18"/>
                <w:szCs w:val="18"/>
                <w:color w:val="0000FF"/>
              </w:rPr>
            </w:pPr>
            <w:hyperlink r:id="rId484">
              <w:r>
                <w:rPr>
                  <w:rFonts w:ascii="Arial" w:cs="Arial" w:eastAsia="Arial" w:hAnsi="Arial"/>
                  <w:sz w:val="18"/>
                  <w:szCs w:val="18"/>
                  <w:color w:val="0000FF"/>
                </w:rPr>
                <w:t>(for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20" w:type="dxa"/>
            <w:vAlign w:val="bottom"/>
            <w:gridSpan w:val="11"/>
          </w:tcPr>
          <w:p>
            <w:pPr>
              <w:spacing w:after="0" w:line="156" w:lineRule="exact"/>
              <w:rPr>
                <w:rFonts w:ascii="Arial" w:cs="Arial" w:eastAsia="Arial" w:hAnsi="Arial"/>
                <w:sz w:val="18"/>
                <w:szCs w:val="18"/>
                <w:color w:val="0000FF"/>
                <w:w w:val="88"/>
              </w:rPr>
            </w:pPr>
            <w:hyperlink r:id="rId484">
              <w:r>
                <w:rPr>
                  <w:rFonts w:ascii="Arial" w:cs="Arial" w:eastAsia="Arial" w:hAnsi="Arial"/>
                  <w:sz w:val="18"/>
                  <w:szCs w:val="18"/>
                  <w:color w:val="0000FF"/>
                  <w:w w:val="88"/>
                </w:rPr>
                <w:t>Incentive Plan, as amended and restated May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right w:val="single" w:sz="8" w:color="auto"/>
            </w:tcBorders>
            <w:gridSpan w:val="23"/>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20" w:type="dxa"/>
            <w:vAlign w:val="bottom"/>
            <w:tcBorders>
              <w:top w:val="single" w:sz="8" w:color="0000FF"/>
              <w:bottom w:val="single" w:sz="8" w:color="auto"/>
            </w:tcBorders>
            <w:gridSpan w:val="25"/>
          </w:tcPr>
          <w:p>
            <w:pPr>
              <w:spacing w:after="0" w:line="156" w:lineRule="exact"/>
              <w:rPr>
                <w:rFonts w:ascii="Arial" w:cs="Arial" w:eastAsia="Arial" w:hAnsi="Arial"/>
                <w:sz w:val="18"/>
                <w:szCs w:val="18"/>
                <w:color w:val="0000FF"/>
              </w:rPr>
            </w:pPr>
            <w:hyperlink r:id="rId484">
              <w:r>
                <w:rPr>
                  <w:rFonts w:ascii="Arial" w:cs="Arial" w:eastAsia="Arial" w:hAnsi="Arial"/>
                  <w:sz w:val="18"/>
                  <w:szCs w:val="18"/>
                  <w:color w:val="0000FF"/>
                </w:rPr>
                <w:t>grants made from and after May 2019).</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10.38+</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w w:val="93"/>
              </w:rPr>
            </w:pPr>
            <w:hyperlink r:id="rId485">
              <w:r>
                <w:rPr>
                  <w:rFonts w:ascii="Arial" w:cs="Arial" w:eastAsia="Arial" w:hAnsi="Arial"/>
                  <w:sz w:val="18"/>
                  <w:szCs w:val="18"/>
                  <w:color w:val="0000FF"/>
                  <w:w w:val="93"/>
                </w:rPr>
                <w:t>Form of Stock Option Award Notice and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June 3,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tcBorders>
            <w:gridSpan w:val="35"/>
          </w:tcPr>
          <w:p>
            <w:pPr>
              <w:spacing w:after="0" w:line="156" w:lineRule="exact"/>
              <w:rPr>
                <w:rFonts w:ascii="Arial" w:cs="Arial" w:eastAsia="Arial" w:hAnsi="Arial"/>
                <w:sz w:val="18"/>
                <w:szCs w:val="18"/>
                <w:color w:val="0000FF"/>
                <w:w w:val="95"/>
              </w:rPr>
            </w:pPr>
            <w:hyperlink r:id="rId485">
              <w:r>
                <w:rPr>
                  <w:rFonts w:ascii="Arial" w:cs="Arial" w:eastAsia="Arial" w:hAnsi="Arial"/>
                  <w:sz w:val="18"/>
                  <w:szCs w:val="18"/>
                  <w:color w:val="0000FF"/>
                  <w:w w:val="95"/>
                </w:rPr>
                <w:t>Burlington Stores, Inc. and award recipients pursuant to the</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485">
              <w:r>
                <w:rPr>
                  <w:rFonts w:ascii="Arial" w:cs="Arial" w:eastAsia="Arial" w:hAnsi="Arial"/>
                  <w:sz w:val="18"/>
                  <w:szCs w:val="18"/>
                  <w:color w:val="0000FF"/>
                  <w:w w:val="91"/>
                </w:rPr>
                <w:t>Burlington Stores, Inc. 2013 Omnibus Incentive Plan, as</w:t>
              </w:r>
            </w:hyperlink>
          </w:p>
        </w:tc>
        <w:tc>
          <w:tcPr>
            <w:tcW w:w="2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36"/>
          </w:tcPr>
          <w:p>
            <w:pPr>
              <w:spacing w:after="0" w:line="156" w:lineRule="exact"/>
              <w:rPr>
                <w:rFonts w:ascii="Arial" w:cs="Arial" w:eastAsia="Arial" w:hAnsi="Arial"/>
                <w:sz w:val="18"/>
                <w:szCs w:val="18"/>
                <w:color w:val="0000FF"/>
                <w:w w:val="96"/>
              </w:rPr>
            </w:pPr>
            <w:hyperlink r:id="rId485">
              <w:r>
                <w:rPr>
                  <w:rFonts w:ascii="Arial" w:cs="Arial" w:eastAsia="Arial" w:hAnsi="Arial"/>
                  <w:sz w:val="18"/>
                  <w:szCs w:val="18"/>
                  <w:color w:val="0000FF"/>
                  <w:w w:val="96"/>
                </w:rPr>
                <w:t>amended and restated May 17, 2017 (for grants made from</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85">
              <w:r>
                <w:rPr>
                  <w:rFonts w:ascii="Arial" w:cs="Arial" w:eastAsia="Arial" w:hAnsi="Arial"/>
                  <w:sz w:val="18"/>
                  <w:szCs w:val="18"/>
                  <w:color w:val="0000FF"/>
                </w:rPr>
                <w:t>and after May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10.39+</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w w:val="93"/>
              </w:rPr>
            </w:pPr>
            <w:hyperlink r:id="rId486">
              <w:r>
                <w:rPr>
                  <w:rFonts w:ascii="Arial" w:cs="Arial" w:eastAsia="Arial" w:hAnsi="Arial"/>
                  <w:sz w:val="18"/>
                  <w:szCs w:val="18"/>
                  <w:color w:val="0000FF"/>
                  <w:w w:val="93"/>
                </w:rPr>
                <w:t>Form of Stock Option Award Notice and Agreement between</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June 3,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2"/>
              </w:rPr>
            </w:pPr>
            <w:hyperlink r:id="rId486">
              <w:r>
                <w:rPr>
                  <w:rFonts w:ascii="Arial" w:cs="Arial" w:eastAsia="Arial" w:hAnsi="Arial"/>
                  <w:sz w:val="18"/>
                  <w:szCs w:val="18"/>
                  <w:color w:val="0000FF"/>
                  <w:w w:val="92"/>
                </w:rPr>
                <w:t>Burlington Stores, Inc. and Thomas A. Kingsbury pursuant to</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gridSpan w:val="35"/>
          </w:tcPr>
          <w:p>
            <w:pPr>
              <w:spacing w:after="0" w:line="156" w:lineRule="exact"/>
              <w:rPr>
                <w:rFonts w:ascii="Arial" w:cs="Arial" w:eastAsia="Arial" w:hAnsi="Arial"/>
                <w:sz w:val="18"/>
                <w:szCs w:val="18"/>
                <w:color w:val="0000FF"/>
                <w:w w:val="94"/>
              </w:rPr>
            </w:pPr>
            <w:hyperlink r:id="rId486">
              <w:r>
                <w:rPr>
                  <w:rFonts w:ascii="Arial" w:cs="Arial" w:eastAsia="Arial" w:hAnsi="Arial"/>
                  <w:sz w:val="18"/>
                  <w:szCs w:val="18"/>
                  <w:color w:val="0000FF"/>
                  <w:w w:val="94"/>
                </w:rPr>
                <w:t>the Burlington Stores, Inc. 2013 Omnibus Incentive Plan, as</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4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486">
              <w:r>
                <w:rPr>
                  <w:rFonts w:ascii="Arial" w:cs="Arial" w:eastAsia="Arial" w:hAnsi="Arial"/>
                  <w:sz w:val="18"/>
                  <w:szCs w:val="18"/>
                  <w:color w:val="0000FF"/>
                  <w:w w:val="93"/>
                </w:rPr>
                <w:t>amended and restated May 17, 2017 (for grants made from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86">
              <w:r>
                <w:rPr>
                  <w:rFonts w:ascii="Arial" w:cs="Arial" w:eastAsia="Arial" w:hAnsi="Arial"/>
                  <w:sz w:val="18"/>
                  <w:szCs w:val="18"/>
                  <w:color w:val="0000FF"/>
                </w:rPr>
                <w:t>and after May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10.40+</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w w:val="95"/>
              </w:rPr>
            </w:pPr>
            <w:hyperlink r:id="rId487">
              <w:r>
                <w:rPr>
                  <w:rFonts w:ascii="Arial" w:cs="Arial" w:eastAsia="Arial" w:hAnsi="Arial"/>
                  <w:sz w:val="18"/>
                  <w:szCs w:val="18"/>
                  <w:color w:val="0000FF"/>
                  <w:w w:val="95"/>
                </w:rPr>
                <w:t>Form of Restricted Stock Unit Award Notice and Agreement</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w w:val="99"/>
              </w:rPr>
              <w:t>August 29,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tcBorders>
              <w:top w:val="single" w:sz="8" w:color="0000FF"/>
            </w:tcBorders>
            <w:gridSpan w:val="33"/>
          </w:tcPr>
          <w:p>
            <w:pPr>
              <w:spacing w:after="0" w:line="156" w:lineRule="exact"/>
              <w:rPr>
                <w:rFonts w:ascii="Arial" w:cs="Arial" w:eastAsia="Arial" w:hAnsi="Arial"/>
                <w:sz w:val="18"/>
                <w:szCs w:val="18"/>
                <w:color w:val="0000FF"/>
                <w:w w:val="91"/>
              </w:rPr>
            </w:pPr>
            <w:hyperlink r:id="rId487">
              <w:r>
                <w:rPr>
                  <w:rFonts w:ascii="Arial" w:cs="Arial" w:eastAsia="Arial" w:hAnsi="Arial"/>
                  <w:sz w:val="18"/>
                  <w:szCs w:val="18"/>
                  <w:color w:val="0000FF"/>
                  <w:w w:val="91"/>
                </w:rPr>
                <w:t>between Burlington Stores, Inc. and Non-Employee Directors</w:t>
              </w:r>
            </w:hyperlink>
          </w:p>
        </w:tc>
        <w:tc>
          <w:tcPr>
            <w:tcW w:w="20" w:type="dxa"/>
            <w:vAlign w:val="bottom"/>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pursuant to the Burlington Stores, Inc. 2013 Omnibus</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20" w:type="dxa"/>
            <w:vAlign w:val="bottom"/>
            <w:tcBorders>
              <w:top w:val="single" w:sz="8" w:color="0000FF"/>
            </w:tcBorders>
            <w:gridSpan w:val="11"/>
          </w:tcPr>
          <w:p>
            <w:pPr>
              <w:spacing w:after="0" w:line="156" w:lineRule="exact"/>
              <w:rPr>
                <w:rFonts w:ascii="Arial" w:cs="Arial" w:eastAsia="Arial" w:hAnsi="Arial"/>
                <w:sz w:val="18"/>
                <w:szCs w:val="18"/>
                <w:color w:val="0000FF"/>
                <w:w w:val="88"/>
              </w:rPr>
            </w:pPr>
            <w:hyperlink r:id="rId487">
              <w:r>
                <w:rPr>
                  <w:rFonts w:ascii="Arial" w:cs="Arial" w:eastAsia="Arial" w:hAnsi="Arial"/>
                  <w:sz w:val="18"/>
                  <w:szCs w:val="18"/>
                  <w:color w:val="0000FF"/>
                  <w:w w:val="88"/>
                </w:rPr>
                <w:t>Incentive Plan, as amended and restated May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right w:val="single" w:sz="8" w:color="auto"/>
            </w:tcBorders>
            <w:gridSpan w:val="23"/>
          </w:tcPr>
          <w:p>
            <w:pPr>
              <w:ind w:left="20"/>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(for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grants made from and after May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10.41</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rPr>
            </w:pPr>
            <w:hyperlink r:id="rId488">
              <w:r>
                <w:rPr>
                  <w:rFonts w:ascii="Arial" w:cs="Arial" w:eastAsia="Arial" w:hAnsi="Arial"/>
                  <w:sz w:val="18"/>
                  <w:szCs w:val="18"/>
                  <w:color w:val="0000FF"/>
                </w:rPr>
                <w:t>Security Agreement, dated as of April 16, 2020, among</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40" w:type="dxa"/>
            <w:vAlign w:val="bottom"/>
            <w:tcBorders>
              <w:top w:val="single" w:sz="8" w:color="0000FF"/>
            </w:tcBorders>
            <w:gridSpan w:val="15"/>
          </w:tcPr>
          <w:p>
            <w:pPr>
              <w:spacing w:after="0" w:line="156" w:lineRule="exact"/>
              <w:rPr>
                <w:rFonts w:ascii="Arial" w:cs="Arial" w:eastAsia="Arial" w:hAnsi="Arial"/>
                <w:sz w:val="18"/>
                <w:szCs w:val="18"/>
                <w:color w:val="0000FF"/>
                <w:w w:val="95"/>
              </w:rPr>
            </w:pPr>
            <w:hyperlink r:id="rId488">
              <w:r>
                <w:rPr>
                  <w:rFonts w:ascii="Arial" w:cs="Arial" w:eastAsia="Arial" w:hAnsi="Arial"/>
                  <w:sz w:val="18"/>
                  <w:szCs w:val="18"/>
                  <w:color w:val="0000FF"/>
                  <w:w w:val="95"/>
                </w:rPr>
                <w:t>Burlington Coat Factory Warehouse Corporation,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88">
              <w:r>
                <w:rPr>
                  <w:rFonts w:ascii="Arial" w:cs="Arial" w:eastAsia="Arial" w:hAnsi="Arial"/>
                  <w:sz w:val="18"/>
                  <w:szCs w:val="18"/>
                  <w:color w:val="0000FF"/>
                  <w:w w:val="90"/>
                </w:rPr>
                <w:t>Grantors party thereto and Wilmington Trust, National</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bottom w:val="single" w:sz="8" w:color="0000FF"/>
            </w:tcBorders>
            <w:gridSpan w:val="14"/>
          </w:tcPr>
          <w:p>
            <w:pPr>
              <w:spacing w:after="0" w:line="156" w:lineRule="exact"/>
              <w:rPr>
                <w:rFonts w:ascii="Arial" w:cs="Arial" w:eastAsia="Arial" w:hAnsi="Arial"/>
                <w:sz w:val="18"/>
                <w:szCs w:val="18"/>
                <w:color w:val="0000FF"/>
                <w:w w:val="89"/>
              </w:rPr>
            </w:pPr>
            <w:hyperlink r:id="rId488">
              <w:r>
                <w:rPr>
                  <w:rFonts w:ascii="Arial" w:cs="Arial" w:eastAsia="Arial" w:hAnsi="Arial"/>
                  <w:sz w:val="18"/>
                  <w:szCs w:val="18"/>
                  <w:color w:val="0000FF"/>
                  <w:w w:val="89"/>
                </w:rPr>
                <w:t>Association, in its capacity as collateral agent under the</w:t>
              </w:r>
            </w:hyperlink>
          </w:p>
        </w:tc>
        <w:tc>
          <w:tcPr>
            <w:tcW w:w="8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gridSpan w:val="16"/>
          </w:tcPr>
          <w:p>
            <w:pPr>
              <w:spacing w:after="0" w:line="156" w:lineRule="exact"/>
              <w:rPr>
                <w:rFonts w:ascii="Arial" w:cs="Arial" w:eastAsia="Arial" w:hAnsi="Arial"/>
                <w:sz w:val="18"/>
                <w:szCs w:val="18"/>
                <w:color w:val="0000FF"/>
              </w:rPr>
            </w:pPr>
            <w:hyperlink r:id="rId488">
              <w:r>
                <w:rPr>
                  <w:rFonts w:ascii="Arial" w:cs="Arial" w:eastAsia="Arial" w:hAnsi="Arial"/>
                  <w:sz w:val="18"/>
                  <w:szCs w:val="18"/>
                  <w:color w:val="0000FF"/>
                </w:rPr>
                <w:t>Indenture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10.42</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w w:val="98"/>
              </w:rPr>
            </w:pPr>
            <w:hyperlink r:id="rId489">
              <w:r>
                <w:rPr>
                  <w:rFonts w:ascii="Arial" w:cs="Arial" w:eastAsia="Arial" w:hAnsi="Arial"/>
                  <w:sz w:val="18"/>
                  <w:szCs w:val="18"/>
                  <w:color w:val="0000FF"/>
                  <w:w w:val="98"/>
                </w:rPr>
                <w:t>Intellectual Property Security Agreement, dated as of April</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89">
              <w:r>
                <w:rPr>
                  <w:rFonts w:ascii="Arial" w:cs="Arial" w:eastAsia="Arial" w:hAnsi="Arial"/>
                  <w:sz w:val="18"/>
                  <w:szCs w:val="18"/>
                  <w:color w:val="0000FF"/>
                </w:rPr>
                <w:t>16, 2020, among Burlington Coat Factory Warehouse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489">
              <w:r>
                <w:rPr>
                  <w:rFonts w:ascii="Arial" w:cs="Arial" w:eastAsia="Arial" w:hAnsi="Arial"/>
                  <w:sz w:val="18"/>
                  <w:szCs w:val="18"/>
                  <w:color w:val="0000FF"/>
                  <w:w w:val="88"/>
                </w:rPr>
                <w:t>Corporation, the Grantors party thereto and Wilmington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4"/>
          </w:tcPr>
          <w:p>
            <w:pPr>
              <w:spacing w:after="0"/>
              <w:rPr>
                <w:sz w:val="13"/>
                <w:szCs w:val="13"/>
                <w:color w:val="auto"/>
              </w:rPr>
            </w:pPr>
          </w:p>
        </w:tc>
        <w:tc>
          <w:tcPr>
            <w:tcW w:w="500" w:type="dxa"/>
            <w:vAlign w:val="bottom"/>
            <w:tcBorders>
              <w:right w:val="single" w:sz="8" w:color="auto"/>
            </w:tcBorders>
            <w:gridSpan w:val="19"/>
            <w:vMerge w:val="restart"/>
          </w:tcPr>
          <w:p>
            <w:pPr>
              <w:spacing w:after="0"/>
              <w:rPr>
                <w:rFonts w:ascii="Arial" w:cs="Arial" w:eastAsia="Arial" w:hAnsi="Arial"/>
                <w:sz w:val="18"/>
                <w:szCs w:val="18"/>
                <w:color w:val="0000FF"/>
              </w:rPr>
            </w:pPr>
            <w:hyperlink r:id="rId489">
              <w:r>
                <w:rPr>
                  <w:rFonts w:ascii="Arial" w:cs="Arial" w:eastAsia="Arial" w:hAnsi="Arial"/>
                  <w:sz w:val="18"/>
                  <w:szCs w:val="18"/>
                  <w:color w:val="0000FF"/>
                </w:rPr>
                <w:t>agent</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17"/>
          </w:tcPr>
          <w:p>
            <w:pPr>
              <w:spacing w:after="0" w:line="156" w:lineRule="exact"/>
              <w:rPr>
                <w:rFonts w:ascii="Arial" w:cs="Arial" w:eastAsia="Arial" w:hAnsi="Arial"/>
                <w:sz w:val="18"/>
                <w:szCs w:val="18"/>
                <w:color w:val="0000FF"/>
                <w:w w:val="93"/>
              </w:rPr>
            </w:pPr>
            <w:hyperlink r:id="rId489">
              <w:r>
                <w:rPr>
                  <w:rFonts w:ascii="Arial" w:cs="Arial" w:eastAsia="Arial" w:hAnsi="Arial"/>
                  <w:sz w:val="18"/>
                  <w:szCs w:val="18"/>
                  <w:color w:val="0000FF"/>
                  <w:w w:val="93"/>
                </w:rPr>
                <w:t>Trust, National Association, in its capacity as collateral</w:t>
              </w:r>
            </w:hyperlink>
          </w:p>
        </w:tc>
        <w:tc>
          <w:tcPr>
            <w:tcW w:w="500" w:type="dxa"/>
            <w:vAlign w:val="bottom"/>
            <w:tcBorders>
              <w:right w:val="single" w:sz="8" w:color="auto"/>
            </w:tcBorders>
            <w:gridSpan w:val="19"/>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489">
              <w:r>
                <w:rPr>
                  <w:rFonts w:ascii="Arial" w:cs="Arial" w:eastAsia="Arial" w:hAnsi="Arial"/>
                  <w:sz w:val="18"/>
                  <w:szCs w:val="18"/>
                  <w:color w:val="0000FF"/>
                </w:rPr>
                <w:t>under the Indenture</w:t>
              </w:r>
            </w:hyperlink>
          </w:p>
        </w:tc>
        <w:tc>
          <w:tcPr>
            <w:tcW w:w="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10.43</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rPr>
            </w:pPr>
            <w:hyperlink r:id="rId490">
              <w:r>
                <w:rPr>
                  <w:rFonts w:ascii="Arial" w:cs="Arial" w:eastAsia="Arial" w:hAnsi="Arial"/>
                  <w:sz w:val="18"/>
                  <w:szCs w:val="18"/>
                  <w:color w:val="0000FF"/>
                </w:rPr>
                <w:t>Pledge Agreement, dated as of April 16, 2020, among</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490">
              <w:r>
                <w:rPr>
                  <w:rFonts w:ascii="Arial" w:cs="Arial" w:eastAsia="Arial" w:hAnsi="Arial"/>
                  <w:sz w:val="18"/>
                  <w:szCs w:val="18"/>
                  <w:color w:val="0000FF"/>
                  <w:w w:val="93"/>
                </w:rPr>
                <w:t>Burlington Coat Factory Warehouse Corporation, the</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8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490">
              <w:r>
                <w:rPr>
                  <w:rFonts w:ascii="Arial" w:cs="Arial" w:eastAsia="Arial" w:hAnsi="Arial"/>
                  <w:sz w:val="18"/>
                  <w:szCs w:val="18"/>
                  <w:color w:val="0000FF"/>
                  <w:w w:val="90"/>
                </w:rPr>
                <w:t>Grantors party thereto and Wilmington Trust, National</w:t>
              </w:r>
            </w:hyperlink>
          </w:p>
        </w:tc>
        <w:tc>
          <w:tcPr>
            <w:tcW w:w="8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top w:val="single" w:sz="8" w:color="0000FF"/>
            </w:tcBorders>
            <w:gridSpan w:val="14"/>
          </w:tcPr>
          <w:p>
            <w:pPr>
              <w:spacing w:after="0" w:line="156" w:lineRule="exact"/>
              <w:rPr>
                <w:rFonts w:ascii="Arial" w:cs="Arial" w:eastAsia="Arial" w:hAnsi="Arial"/>
                <w:sz w:val="18"/>
                <w:szCs w:val="18"/>
                <w:color w:val="0000FF"/>
                <w:w w:val="89"/>
              </w:rPr>
            </w:pPr>
            <w:hyperlink r:id="rId490">
              <w:r>
                <w:rPr>
                  <w:rFonts w:ascii="Arial" w:cs="Arial" w:eastAsia="Arial" w:hAnsi="Arial"/>
                  <w:sz w:val="18"/>
                  <w:szCs w:val="18"/>
                  <w:color w:val="0000FF"/>
                  <w:w w:val="89"/>
                </w:rPr>
                <w:t>Association, in its capacity as collateral agent under the</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490">
              <w:r>
                <w:rPr>
                  <w:rFonts w:ascii="Arial" w:cs="Arial" w:eastAsia="Arial" w:hAnsi="Arial"/>
                  <w:sz w:val="18"/>
                  <w:szCs w:val="18"/>
                  <w:color w:val="0000FF"/>
                </w:rPr>
                <w:t>Indenture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10.44</w:t>
            </w:r>
          </w:p>
        </w:tc>
        <w:tc>
          <w:tcPr>
            <w:tcW w:w="80" w:type="dxa"/>
            <w:vAlign w:val="bottom"/>
          </w:tcPr>
          <w:p>
            <w:pPr>
              <w:spacing w:after="0"/>
              <w:rPr>
                <w:sz w:val="13"/>
                <w:szCs w:val="13"/>
                <w:color w:val="auto"/>
              </w:rPr>
            </w:pPr>
          </w:p>
        </w:tc>
        <w:tc>
          <w:tcPr>
            <w:tcW w:w="4220" w:type="dxa"/>
            <w:vAlign w:val="bottom"/>
            <w:tcBorders>
              <w:bottom w:val="single" w:sz="8" w:color="0000FF"/>
            </w:tcBorders>
            <w:gridSpan w:val="21"/>
          </w:tcPr>
          <w:p>
            <w:pPr>
              <w:spacing w:after="0" w:line="156" w:lineRule="exact"/>
              <w:rPr>
                <w:rFonts w:ascii="Arial" w:cs="Arial" w:eastAsia="Arial" w:hAnsi="Arial"/>
                <w:sz w:val="18"/>
                <w:szCs w:val="18"/>
                <w:color w:val="0000FF"/>
                <w:w w:val="93"/>
              </w:rPr>
            </w:pPr>
            <w:hyperlink r:id="rId491">
              <w:r>
                <w:rPr>
                  <w:rFonts w:ascii="Arial" w:cs="Arial" w:eastAsia="Arial" w:hAnsi="Arial"/>
                  <w:sz w:val="18"/>
                  <w:szCs w:val="18"/>
                  <w:color w:val="0000FF"/>
                  <w:w w:val="93"/>
                </w:rPr>
                <w:t>ABL Intercreditor Agreement, dated as of April 16, 2020,</w:t>
              </w:r>
            </w:hyperlink>
          </w:p>
        </w:tc>
        <w:tc>
          <w:tcPr>
            <w:tcW w:w="360" w:type="dxa"/>
            <w:vAlign w:val="bottom"/>
            <w:tcBorders>
              <w:right w:val="single" w:sz="8" w:color="auto"/>
            </w:tcBorders>
            <w:gridSpan w:val="15"/>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tcBorders>
              <w:right w:val="single" w:sz="8" w:color="auto"/>
            </w:tcBorders>
            <w:gridSpan w:val="36"/>
          </w:tcPr>
          <w:p>
            <w:pPr>
              <w:spacing w:after="0" w:line="156" w:lineRule="exact"/>
              <w:rPr>
                <w:rFonts w:ascii="Arial" w:cs="Arial" w:eastAsia="Arial" w:hAnsi="Arial"/>
                <w:sz w:val="18"/>
                <w:szCs w:val="18"/>
                <w:color w:val="0000FF"/>
                <w:w w:val="94"/>
              </w:rPr>
            </w:pPr>
            <w:hyperlink r:id="rId491">
              <w:r>
                <w:rPr>
                  <w:rFonts w:ascii="Arial" w:cs="Arial" w:eastAsia="Arial" w:hAnsi="Arial"/>
                  <w:sz w:val="18"/>
                  <w:szCs w:val="18"/>
                  <w:color w:val="0000FF"/>
                  <w:w w:val="94"/>
                </w:rPr>
                <w:t>among Burlington Coat Factory Warehouse Corporation, the</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60" w:type="dxa"/>
            <w:vAlign w:val="bottom"/>
            <w:tcBorders>
              <w:top w:val="single" w:sz="8" w:color="0000FF"/>
            </w:tcBorders>
            <w:gridSpan w:val="32"/>
          </w:tcPr>
          <w:p>
            <w:pPr>
              <w:spacing w:after="0" w:line="156" w:lineRule="exact"/>
              <w:rPr>
                <w:rFonts w:ascii="Arial" w:cs="Arial" w:eastAsia="Arial" w:hAnsi="Arial"/>
                <w:sz w:val="18"/>
                <w:szCs w:val="18"/>
                <w:color w:val="0000FF"/>
                <w:w w:val="96"/>
              </w:rPr>
            </w:pPr>
            <w:hyperlink r:id="rId491">
              <w:r>
                <w:rPr>
                  <w:rFonts w:ascii="Arial" w:cs="Arial" w:eastAsia="Arial" w:hAnsi="Arial"/>
                  <w:sz w:val="18"/>
                  <w:szCs w:val="18"/>
                  <w:color w:val="0000FF"/>
                  <w:w w:val="96"/>
                </w:rPr>
                <w:t>Guarantors party thereto, the Bank of America, N.A., in its</w:t>
              </w:r>
            </w:hyperlink>
          </w:p>
        </w:tc>
        <w:tc>
          <w:tcPr>
            <w:tcW w:w="40" w:type="dxa"/>
            <w:vAlign w:val="bottom"/>
            <w:gridSpan w:val="2"/>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491">
              <w:r>
                <w:rPr>
                  <w:rFonts w:ascii="Arial" w:cs="Arial" w:eastAsia="Arial" w:hAnsi="Arial"/>
                  <w:sz w:val="18"/>
                  <w:szCs w:val="18"/>
                  <w:color w:val="0000FF"/>
                  <w:w w:val="91"/>
                </w:rPr>
                <w:t>capacity as administrative agent and collateral agent under</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91">
              <w:r>
                <w:rPr>
                  <w:rFonts w:ascii="Arial" w:cs="Arial" w:eastAsia="Arial" w:hAnsi="Arial"/>
                  <w:sz w:val="18"/>
                  <w:szCs w:val="18"/>
                  <w:color w:val="0000FF"/>
                </w:rPr>
                <w:t>the ABL Facility, JPMorgan Chase Bank, N.A., as</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491">
              <w:r>
                <w:rPr>
                  <w:rFonts w:ascii="Arial" w:cs="Arial" w:eastAsia="Arial" w:hAnsi="Arial"/>
                  <w:sz w:val="18"/>
                  <w:szCs w:val="18"/>
                  <w:color w:val="0000FF"/>
                  <w:w w:val="90"/>
                </w:rPr>
                <w:t>administrative agent and collateral agent under the</w:t>
              </w:r>
            </w:hyperlink>
          </w:p>
        </w:tc>
        <w:tc>
          <w:tcPr>
            <w:tcW w:w="900" w:type="dxa"/>
            <w:vAlign w:val="bottom"/>
            <w:tcBorders>
              <w:right w:val="single" w:sz="8" w:color="auto"/>
            </w:tcBorders>
            <w:gridSpan w:val="29"/>
          </w:tcPr>
          <w:p>
            <w:pPr>
              <w:spacing w:after="0" w:line="156" w:lineRule="exact"/>
              <w:rPr>
                <w:rFonts w:ascii="Arial" w:cs="Arial" w:eastAsia="Arial" w:hAnsi="Arial"/>
                <w:sz w:val="18"/>
                <w:szCs w:val="18"/>
                <w:color w:val="0000FF"/>
              </w:rPr>
            </w:pPr>
            <w:hyperlink r:id="rId491">
              <w:r>
                <w:rPr>
                  <w:rFonts w:ascii="Arial" w:cs="Arial" w:eastAsia="Arial" w:hAnsi="Arial"/>
                  <w:sz w:val="18"/>
                  <w:szCs w:val="18"/>
                  <w:color w:val="0000FF"/>
                </w:rPr>
                <w:t>Term</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8"/>
              </w:rPr>
            </w:pPr>
            <w:hyperlink r:id="rId491">
              <w:r>
                <w:rPr>
                  <w:rFonts w:ascii="Arial" w:cs="Arial" w:eastAsia="Arial" w:hAnsi="Arial"/>
                  <w:sz w:val="18"/>
                  <w:szCs w:val="18"/>
                  <w:color w:val="0000FF"/>
                  <w:w w:val="88"/>
                </w:rPr>
                <w:t>Loan Facility, and Wilmington Trust, National Association,</w:t>
              </w:r>
            </w:hyperlink>
          </w:p>
        </w:tc>
        <w:tc>
          <w:tcPr>
            <w:tcW w:w="40" w:type="dxa"/>
            <w:vAlign w:val="bottom"/>
            <w:tcBorders>
              <w:bottom w:val="single" w:sz="8" w:color="0000FF"/>
            </w:tcBorders>
            <w:gridSpan w:val="2"/>
          </w:tcPr>
          <w:p>
            <w:pPr>
              <w:spacing w:after="0"/>
              <w:rPr>
                <w:sz w:val="13"/>
                <w:szCs w:val="13"/>
                <w:color w:val="auto"/>
              </w:rPr>
            </w:pPr>
          </w:p>
        </w:tc>
        <w:tc>
          <w:tcPr>
            <w:tcW w:w="22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gridSpan w:val="27"/>
          </w:tcPr>
          <w:p>
            <w:pPr>
              <w:spacing w:after="0" w:line="156" w:lineRule="exact"/>
              <w:rPr>
                <w:rFonts w:ascii="Arial" w:cs="Arial" w:eastAsia="Arial" w:hAnsi="Arial"/>
                <w:sz w:val="18"/>
                <w:szCs w:val="18"/>
                <w:color w:val="0000FF"/>
                <w:w w:val="99"/>
              </w:rPr>
            </w:pPr>
            <w:hyperlink r:id="rId491">
              <w:r>
                <w:rPr>
                  <w:rFonts w:ascii="Arial" w:cs="Arial" w:eastAsia="Arial" w:hAnsi="Arial"/>
                  <w:sz w:val="18"/>
                  <w:szCs w:val="18"/>
                  <w:color w:val="0000FF"/>
                  <w:w w:val="99"/>
                </w:rPr>
                <w:t>in its capacity as collateral agent and trustee under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91">
              <w:r>
                <w:rPr>
                  <w:rFonts w:ascii="Arial" w:cs="Arial" w:eastAsia="Arial" w:hAnsi="Arial"/>
                  <w:sz w:val="18"/>
                  <w:szCs w:val="18"/>
                  <w:color w:val="0000FF"/>
                </w:rPr>
                <w:t>Indenture</w:t>
              </w:r>
            </w:hyperlink>
          </w:p>
        </w:tc>
        <w:tc>
          <w:tcPr>
            <w:tcW w:w="180" w:type="dxa"/>
            <w:vAlign w:val="bottom"/>
            <w:gridSpan w:val="7"/>
          </w:tcPr>
          <w:p>
            <w:pPr>
              <w:spacing w:after="0"/>
              <w:rPr>
                <w:sz w:val="13"/>
                <w:szCs w:val="13"/>
                <w:color w:val="auto"/>
              </w:rPr>
            </w:pPr>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10.45</w:t>
            </w:r>
          </w:p>
        </w:tc>
        <w:tc>
          <w:tcPr>
            <w:tcW w:w="4660" w:type="dxa"/>
            <w:vAlign w:val="bottom"/>
            <w:tcBorders>
              <w:right w:val="single" w:sz="8" w:color="auto"/>
            </w:tcBorders>
            <w:gridSpan w:val="37"/>
          </w:tcPr>
          <w:p>
            <w:pPr>
              <w:ind w:left="80"/>
              <w:spacing w:after="0" w:line="156" w:lineRule="exact"/>
              <w:rPr>
                <w:rFonts w:ascii="Arial" w:cs="Arial" w:eastAsia="Arial" w:hAnsi="Arial"/>
                <w:sz w:val="18"/>
                <w:szCs w:val="18"/>
                <w:color w:val="0000FF"/>
              </w:rPr>
            </w:pPr>
            <w:hyperlink r:id="rId492">
              <w:r>
                <w:rPr>
                  <w:rFonts w:ascii="Arial" w:cs="Arial" w:eastAsia="Arial" w:hAnsi="Arial"/>
                  <w:sz w:val="18"/>
                  <w:szCs w:val="18"/>
                  <w:color w:val="0000FF"/>
                </w:rPr>
                <w:t>Pari Passu Intercreditor Agreement, dated as of April 16,</w:t>
              </w:r>
            </w:hyperlink>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16,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492">
              <w:r>
                <w:rPr>
                  <w:rFonts w:ascii="Arial" w:cs="Arial" w:eastAsia="Arial" w:hAnsi="Arial"/>
                  <w:sz w:val="18"/>
                  <w:szCs w:val="18"/>
                  <w:color w:val="0000FF"/>
                </w:rPr>
                <w:t>2020, among Burlington Coat Factory Warehouse</w:t>
              </w:r>
            </w:hyperlink>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tcBorders>
              <w:top w:val="single" w:sz="8" w:color="0000FF"/>
            </w:tcBorders>
            <w:gridSpan w:val="6"/>
          </w:tcPr>
          <w:p>
            <w:pPr>
              <w:spacing w:after="0" w:line="156" w:lineRule="exact"/>
              <w:rPr>
                <w:rFonts w:ascii="Arial" w:cs="Arial" w:eastAsia="Arial" w:hAnsi="Arial"/>
                <w:sz w:val="18"/>
                <w:szCs w:val="18"/>
                <w:color w:val="0000FF"/>
                <w:w w:val="85"/>
              </w:rPr>
            </w:pPr>
            <w:hyperlink r:id="rId492">
              <w:r>
                <w:rPr>
                  <w:rFonts w:ascii="Arial" w:cs="Arial" w:eastAsia="Arial" w:hAnsi="Arial"/>
                  <w:sz w:val="18"/>
                  <w:szCs w:val="18"/>
                  <w:color w:val="0000FF"/>
                  <w:w w:val="85"/>
                </w:rPr>
                <w:t>Corporation, the Guarantors party thereto, JPMorgan</w:t>
              </w:r>
            </w:hyperlink>
          </w:p>
        </w:tc>
        <w:tc>
          <w:tcPr>
            <w:tcW w:w="940" w:type="dxa"/>
            <w:vAlign w:val="bottom"/>
            <w:tcBorders>
              <w:right w:val="single" w:sz="8" w:color="auto"/>
            </w:tcBorders>
            <w:gridSpan w:val="30"/>
          </w:tcPr>
          <w:p>
            <w:pPr>
              <w:ind w:left="220"/>
              <w:spacing w:after="0" w:line="156" w:lineRule="exact"/>
              <w:rPr>
                <w:rFonts w:ascii="Arial" w:cs="Arial" w:eastAsia="Arial" w:hAnsi="Arial"/>
                <w:sz w:val="18"/>
                <w:szCs w:val="18"/>
                <w:color w:val="0000FF"/>
              </w:rPr>
            </w:pPr>
            <w:hyperlink r:id="rId492">
              <w:r>
                <w:rPr>
                  <w:rFonts w:ascii="Arial" w:cs="Arial" w:eastAsia="Arial" w:hAnsi="Arial"/>
                  <w:sz w:val="18"/>
                  <w:szCs w:val="18"/>
                  <w:color w:val="0000FF"/>
                </w:rPr>
                <w:t>Chase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492">
              <w:r>
                <w:rPr>
                  <w:rFonts w:ascii="Arial" w:cs="Arial" w:eastAsia="Arial" w:hAnsi="Arial"/>
                  <w:sz w:val="18"/>
                  <w:szCs w:val="18"/>
                  <w:color w:val="0000FF"/>
                  <w:w w:val="91"/>
                </w:rPr>
                <w:t>Bank, N.A., as collateral agent under the Term Loan Facility,</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00" w:type="dxa"/>
            <w:vAlign w:val="bottom"/>
            <w:gridSpan w:val="34"/>
          </w:tcPr>
          <w:p>
            <w:pPr>
              <w:spacing w:after="0" w:line="156" w:lineRule="exact"/>
              <w:rPr>
                <w:rFonts w:ascii="Arial" w:cs="Arial" w:eastAsia="Arial" w:hAnsi="Arial"/>
                <w:sz w:val="18"/>
                <w:szCs w:val="18"/>
                <w:color w:val="0000FF"/>
                <w:w w:val="97"/>
              </w:rPr>
            </w:pPr>
            <w:hyperlink r:id="rId492">
              <w:r>
                <w:rPr>
                  <w:rFonts w:ascii="Arial" w:cs="Arial" w:eastAsia="Arial" w:hAnsi="Arial"/>
                  <w:sz w:val="18"/>
                  <w:szCs w:val="18"/>
                  <w:color w:val="0000FF"/>
                  <w:w w:val="97"/>
                </w:rPr>
                <w:t>and Wilmington Trust, National Association, in its capacity</w:t>
              </w:r>
            </w:hyperlink>
          </w:p>
        </w:tc>
        <w:tc>
          <w:tcPr>
            <w:tcW w:w="80" w:type="dxa"/>
            <w:vAlign w:val="bottom"/>
            <w:tcBorders>
              <w:right w:val="single" w:sz="8" w:color="auto"/>
            </w:tcBorders>
            <w:gridSpan w:val="2"/>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92">
              <w:r>
                <w:rPr>
                  <w:rFonts w:ascii="Arial" w:cs="Arial" w:eastAsia="Arial" w:hAnsi="Arial"/>
                  <w:sz w:val="18"/>
                  <w:szCs w:val="18"/>
                  <w:color w:val="0000FF"/>
                </w:rPr>
                <w:t>as collateral agent under the Indenture</w:t>
              </w:r>
            </w:hyperlink>
          </w:p>
        </w:tc>
        <w:tc>
          <w:tcPr>
            <w:tcW w:w="200" w:type="dxa"/>
            <w:vAlign w:val="bottom"/>
            <w:tcBorders>
              <w:right w:val="single" w:sz="8" w:color="auto"/>
            </w:tcBorders>
            <w:gridSpan w:val="8"/>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20" w:type="dxa"/>
            <w:vAlign w:val="bottom"/>
            <w:gridSpan w:val="7"/>
          </w:tcPr>
          <w:p>
            <w:pPr>
              <w:jc w:val="right"/>
              <w:ind w:right="20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2"/>
        </w:trPr>
        <w:tc>
          <w:tcPr>
            <w:tcW w:w="780" w:type="dxa"/>
            <w:vAlign w:val="bottom"/>
            <w:tcBorders>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jc w:val="right"/>
              <w:ind w:right="750"/>
              <w:spacing w:after="0" w:line="192" w:lineRule="exact"/>
              <w:rPr>
                <w:sz w:val="20"/>
                <w:szCs w:val="20"/>
                <w:color w:val="auto"/>
              </w:rPr>
            </w:pPr>
            <w:r>
              <w:rPr>
                <w:rFonts w:ascii="Arial" w:cs="Arial" w:eastAsia="Arial" w:hAnsi="Arial"/>
                <w:sz w:val="18"/>
                <w:szCs w:val="18"/>
                <w:color w:val="auto"/>
              </w:rPr>
              <w:t>10.46+</w:t>
            </w:r>
          </w:p>
        </w:tc>
        <w:tc>
          <w:tcPr>
            <w:tcW w:w="100" w:type="dxa"/>
            <w:vAlign w:val="bottom"/>
            <w:tcBorders>
              <w:top w:val="single" w:sz="8" w:color="auto"/>
            </w:tcBorders>
          </w:tcPr>
          <w:p>
            <w:pPr>
              <w:spacing w:after="0"/>
              <w:rPr>
                <w:sz w:val="16"/>
                <w:szCs w:val="16"/>
                <w:color w:val="auto"/>
              </w:rPr>
            </w:pPr>
          </w:p>
        </w:tc>
        <w:tc>
          <w:tcPr>
            <w:tcW w:w="4580" w:type="dxa"/>
            <w:vAlign w:val="bottom"/>
            <w:tcBorders>
              <w:top w:val="single" w:sz="8" w:color="auto"/>
              <w:right w:val="single" w:sz="8" w:color="auto"/>
            </w:tcBorders>
            <w:gridSpan w:val="34"/>
          </w:tcPr>
          <w:p>
            <w:pPr>
              <w:spacing w:after="0" w:line="192" w:lineRule="exact"/>
              <w:rPr>
                <w:rFonts w:ascii="Arial" w:cs="Arial" w:eastAsia="Arial" w:hAnsi="Arial"/>
                <w:sz w:val="18"/>
                <w:szCs w:val="18"/>
                <w:color w:val="0000FF"/>
                <w:w w:val="95"/>
              </w:rPr>
            </w:pPr>
            <w:hyperlink r:id="rId495">
              <w:r>
                <w:rPr>
                  <w:rFonts w:ascii="Arial" w:cs="Arial" w:eastAsia="Arial" w:hAnsi="Arial"/>
                  <w:sz w:val="18"/>
                  <w:szCs w:val="18"/>
                  <w:color w:val="0000FF"/>
                  <w:w w:val="95"/>
                </w:rPr>
                <w:t>Form of Restricted Stock Unit Award Notice and Agreement</w:t>
              </w:r>
            </w:hyperlink>
          </w:p>
        </w:tc>
        <w:tc>
          <w:tcPr>
            <w:tcW w:w="2200" w:type="dxa"/>
            <w:vAlign w:val="bottom"/>
            <w:tcBorders>
              <w:top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w w:val="99"/>
              </w:rPr>
              <w:t>August 27, 2020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95">
              <w:r>
                <w:rPr>
                  <w:rFonts w:ascii="Arial" w:cs="Arial" w:eastAsia="Arial" w:hAnsi="Arial"/>
                  <w:sz w:val="18"/>
                  <w:szCs w:val="18"/>
                  <w:color w:val="0000FF"/>
                </w:rPr>
                <w:t>between Burlington Stores, Inc. and award recipients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495">
              <w:r>
                <w:rPr>
                  <w:rFonts w:ascii="Arial" w:cs="Arial" w:eastAsia="Arial" w:hAnsi="Arial"/>
                  <w:sz w:val="18"/>
                  <w:szCs w:val="18"/>
                  <w:color w:val="0000FF"/>
                  <w:w w:val="90"/>
                </w:rPr>
                <w:t>pursuant to the Burlington Stores, Inc. 2013 Omnibus</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right w:val="single" w:sz="8" w:color="auto"/>
            </w:tcBorders>
            <w:gridSpan w:val="18"/>
            <w:vMerge w:val="restart"/>
          </w:tcPr>
          <w:p>
            <w:pPr>
              <w:ind w:left="20"/>
              <w:spacing w:after="0"/>
              <w:rPr>
                <w:rFonts w:ascii="Arial" w:cs="Arial" w:eastAsia="Arial" w:hAnsi="Arial"/>
                <w:sz w:val="18"/>
                <w:szCs w:val="18"/>
                <w:color w:val="0000FF"/>
              </w:rPr>
            </w:pPr>
            <w:hyperlink r:id="rId495">
              <w:r>
                <w:rPr>
                  <w:rFonts w:ascii="Arial" w:cs="Arial" w:eastAsia="Arial" w:hAnsi="Arial"/>
                  <w:sz w:val="18"/>
                  <w:szCs w:val="18"/>
                  <w:color w:val="0000FF"/>
                </w:rPr>
                <w:t>(for</w:t>
              </w:r>
            </w:hyperlink>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14"/>
          </w:tcPr>
          <w:p>
            <w:pPr>
              <w:spacing w:after="0" w:line="156" w:lineRule="exact"/>
              <w:rPr>
                <w:rFonts w:ascii="Arial" w:cs="Arial" w:eastAsia="Arial" w:hAnsi="Arial"/>
                <w:sz w:val="18"/>
                <w:szCs w:val="18"/>
                <w:color w:val="0000FF"/>
                <w:w w:val="87"/>
              </w:rPr>
            </w:pPr>
            <w:hyperlink r:id="rId495">
              <w:r>
                <w:rPr>
                  <w:rFonts w:ascii="Arial" w:cs="Arial" w:eastAsia="Arial" w:hAnsi="Arial"/>
                  <w:sz w:val="18"/>
                  <w:szCs w:val="18"/>
                  <w:color w:val="0000FF"/>
                  <w:w w:val="87"/>
                </w:rPr>
                <w:t>Incentive Plan, as amended and restated May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right w:val="single" w:sz="8" w:color="auto"/>
            </w:tcBorders>
            <w:gridSpan w:val="18"/>
            <w:vMerge w:val="continue"/>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80" w:type="dxa"/>
            <w:vAlign w:val="bottom"/>
            <w:tcBorders>
              <w:top w:val="single" w:sz="8" w:color="0000FF"/>
              <w:bottom w:val="single" w:sz="8" w:color="auto"/>
            </w:tcBorders>
            <w:gridSpan w:val="21"/>
          </w:tcPr>
          <w:p>
            <w:pPr>
              <w:spacing w:after="0" w:line="156" w:lineRule="exact"/>
              <w:rPr>
                <w:rFonts w:ascii="Arial" w:cs="Arial" w:eastAsia="Arial" w:hAnsi="Arial"/>
                <w:sz w:val="18"/>
                <w:szCs w:val="18"/>
                <w:color w:val="0000FF"/>
              </w:rPr>
            </w:pPr>
            <w:hyperlink r:id="rId495">
              <w:r>
                <w:rPr>
                  <w:rFonts w:ascii="Arial" w:cs="Arial" w:eastAsia="Arial" w:hAnsi="Arial"/>
                  <w:sz w:val="18"/>
                  <w:szCs w:val="18"/>
                  <w:color w:val="0000FF"/>
                </w:rPr>
                <w:t>special grants made from and after May 20, 2020).</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10.47+</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3"/>
              </w:rPr>
            </w:pPr>
            <w:hyperlink r:id="rId496">
              <w:r>
                <w:rPr>
                  <w:rFonts w:ascii="Arial" w:cs="Arial" w:eastAsia="Arial" w:hAnsi="Arial"/>
                  <w:sz w:val="18"/>
                  <w:szCs w:val="18"/>
                  <w:color w:val="0000FF"/>
                  <w:w w:val="93"/>
                </w:rPr>
                <w:t>Form of Stock Option Award Notice and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w w:val="99"/>
              </w:rPr>
              <w:t>August 27, 2020</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496">
              <w:r>
                <w:rPr>
                  <w:rFonts w:ascii="Arial" w:cs="Arial" w:eastAsia="Arial" w:hAnsi="Arial"/>
                  <w:sz w:val="18"/>
                  <w:szCs w:val="18"/>
                  <w:color w:val="0000FF"/>
                  <w:w w:val="95"/>
                </w:rPr>
                <w:t>Burlington Stores, Inc. and award recipients pursuant to the</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496">
              <w:r>
                <w:rPr>
                  <w:rFonts w:ascii="Arial" w:cs="Arial" w:eastAsia="Arial" w:hAnsi="Arial"/>
                  <w:sz w:val="18"/>
                  <w:szCs w:val="18"/>
                  <w:color w:val="0000FF"/>
                  <w:w w:val="91"/>
                </w:rPr>
                <w:t>Burlington Stores, Inc. 2013 Omnibus Incentive Plan, as</w:t>
              </w:r>
            </w:hyperlink>
          </w:p>
        </w:tc>
        <w:tc>
          <w:tcPr>
            <w:tcW w:w="2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2"/>
              </w:rPr>
            </w:pPr>
            <w:hyperlink r:id="rId496">
              <w:r>
                <w:rPr>
                  <w:rFonts w:ascii="Arial" w:cs="Arial" w:eastAsia="Arial" w:hAnsi="Arial"/>
                  <w:sz w:val="18"/>
                  <w:szCs w:val="18"/>
                  <w:color w:val="0000FF"/>
                  <w:w w:val="92"/>
                </w:rPr>
                <w:t>amended and restated May 17, 2017 (for special grants made</w:t>
              </w:r>
            </w:hyperlink>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96">
              <w:r>
                <w:rPr>
                  <w:rFonts w:ascii="Arial" w:cs="Arial" w:eastAsia="Arial" w:hAnsi="Arial"/>
                  <w:sz w:val="18"/>
                  <w:szCs w:val="18"/>
                  <w:color w:val="0000FF"/>
                </w:rPr>
                <w:t>from and after May 20,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10.48+</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5"/>
              </w:rPr>
            </w:pPr>
            <w:hyperlink r:id="rId497">
              <w:r>
                <w:rPr>
                  <w:rFonts w:ascii="Arial" w:cs="Arial" w:eastAsia="Arial" w:hAnsi="Arial"/>
                  <w:sz w:val="18"/>
                  <w:szCs w:val="18"/>
                  <w:color w:val="0000FF"/>
                  <w:w w:val="95"/>
                </w:rPr>
                <w:t>Form of Restricted Stock Unit Award Notice and Agreement</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27,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97">
              <w:r>
                <w:rPr>
                  <w:rFonts w:ascii="Arial" w:cs="Arial" w:eastAsia="Arial" w:hAnsi="Arial"/>
                  <w:sz w:val="18"/>
                  <w:szCs w:val="18"/>
                  <w:color w:val="0000FF"/>
                </w:rPr>
                <w:t>between Burlington Stores, Inc. and award recipients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497">
              <w:r>
                <w:rPr>
                  <w:rFonts w:ascii="Arial" w:cs="Arial" w:eastAsia="Arial" w:hAnsi="Arial"/>
                  <w:sz w:val="18"/>
                  <w:szCs w:val="18"/>
                  <w:color w:val="0000FF"/>
                  <w:w w:val="90"/>
                </w:rPr>
                <w:t>pursuant to the Burlington Stores, Inc. 2013 Omnibus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right w:val="single" w:sz="8" w:color="auto"/>
            </w:tcBorders>
            <w:gridSpan w:val="18"/>
            <w:vMerge w:val="restart"/>
          </w:tcPr>
          <w:p>
            <w:pPr>
              <w:ind w:left="20"/>
              <w:spacing w:after="0"/>
              <w:rPr>
                <w:rFonts w:ascii="Arial" w:cs="Arial" w:eastAsia="Arial" w:hAnsi="Arial"/>
                <w:sz w:val="18"/>
                <w:szCs w:val="18"/>
                <w:color w:val="0000FF"/>
              </w:rPr>
            </w:pPr>
            <w:hyperlink r:id="rId497">
              <w:r>
                <w:rPr>
                  <w:rFonts w:ascii="Arial" w:cs="Arial" w:eastAsia="Arial" w:hAnsi="Arial"/>
                  <w:sz w:val="18"/>
                  <w:szCs w:val="18"/>
                  <w:color w:val="0000FF"/>
                </w:rPr>
                <w:t>(for</w:t>
              </w:r>
            </w:hyperlink>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Borders>
              <w:top w:val="single" w:sz="8" w:color="0000FF"/>
            </w:tcBorders>
            <w:gridSpan w:val="14"/>
          </w:tcPr>
          <w:p>
            <w:pPr>
              <w:spacing w:after="0" w:line="156" w:lineRule="exact"/>
              <w:rPr>
                <w:rFonts w:ascii="Arial" w:cs="Arial" w:eastAsia="Arial" w:hAnsi="Arial"/>
                <w:sz w:val="18"/>
                <w:szCs w:val="18"/>
                <w:color w:val="0000FF"/>
                <w:w w:val="87"/>
              </w:rPr>
            </w:pPr>
            <w:hyperlink r:id="rId497">
              <w:r>
                <w:rPr>
                  <w:rFonts w:ascii="Arial" w:cs="Arial" w:eastAsia="Arial" w:hAnsi="Arial"/>
                  <w:sz w:val="18"/>
                  <w:szCs w:val="18"/>
                  <w:color w:val="0000FF"/>
                  <w:w w:val="87"/>
                </w:rPr>
                <w:t>Incentive Plan, as amended and restated May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right w:val="single" w:sz="8" w:color="auto"/>
            </w:tcBorders>
            <w:gridSpan w:val="18"/>
            <w:vMerge w:val="continue"/>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21"/>
          </w:tcPr>
          <w:p>
            <w:pPr>
              <w:spacing w:after="0" w:line="156" w:lineRule="exact"/>
              <w:rPr>
                <w:rFonts w:ascii="Arial" w:cs="Arial" w:eastAsia="Arial" w:hAnsi="Arial"/>
                <w:sz w:val="18"/>
                <w:szCs w:val="18"/>
                <w:color w:val="0000FF"/>
                <w:w w:val="85"/>
              </w:rPr>
            </w:pPr>
            <w:hyperlink r:id="rId497">
              <w:r>
                <w:rPr>
                  <w:rFonts w:ascii="Arial" w:cs="Arial" w:eastAsia="Arial" w:hAnsi="Arial"/>
                  <w:sz w:val="18"/>
                  <w:szCs w:val="18"/>
                  <w:color w:val="0000FF"/>
                  <w:w w:val="85"/>
                </w:rPr>
                <w:t>grants made to certain merchandising and planning associates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97">
              <w:r>
                <w:rPr>
                  <w:rFonts w:ascii="Arial" w:cs="Arial" w:eastAsia="Arial" w:hAnsi="Arial"/>
                  <w:sz w:val="18"/>
                  <w:szCs w:val="18"/>
                  <w:color w:val="0000FF"/>
                </w:rPr>
                <w:t>from and after May 3, 2021).</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10.49+</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3"/>
              </w:rPr>
            </w:pPr>
            <w:hyperlink r:id="rId498">
              <w:r>
                <w:rPr>
                  <w:rFonts w:ascii="Arial" w:cs="Arial" w:eastAsia="Arial" w:hAnsi="Arial"/>
                  <w:sz w:val="18"/>
                  <w:szCs w:val="18"/>
                  <w:color w:val="0000FF"/>
                  <w:w w:val="93"/>
                </w:rPr>
                <w:t>Form of Stock Option Award Notice and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27,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gridSpan w:val="24"/>
          </w:tcPr>
          <w:p>
            <w:pPr>
              <w:spacing w:after="0" w:line="156" w:lineRule="exact"/>
              <w:rPr>
                <w:rFonts w:ascii="Arial" w:cs="Arial" w:eastAsia="Arial" w:hAnsi="Arial"/>
                <w:sz w:val="18"/>
                <w:szCs w:val="18"/>
                <w:color w:val="0000FF"/>
                <w:highlight w:val="white"/>
                <w:w w:val="91"/>
              </w:rPr>
            </w:pPr>
            <w:hyperlink r:id="rId498">
              <w:r>
                <w:rPr>
                  <w:rFonts w:ascii="Arial" w:cs="Arial" w:eastAsia="Arial" w:hAnsi="Arial"/>
                  <w:sz w:val="18"/>
                  <w:szCs w:val="18"/>
                  <w:color w:val="0000FF"/>
                  <w:highlight w:val="white"/>
                  <w:w w:val="91"/>
                </w:rPr>
                <w:t>Burlington Stores, Inc. and award recipients pursuant to the</w:t>
              </w:r>
            </w:hyperlink>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8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gridSpan w:val="17"/>
          </w:tcPr>
          <w:p>
            <w:pPr>
              <w:spacing w:after="0" w:line="142" w:lineRule="exact"/>
              <w:rPr>
                <w:rFonts w:ascii="Arial" w:cs="Arial" w:eastAsia="Arial" w:hAnsi="Arial"/>
                <w:sz w:val="16"/>
                <w:szCs w:val="16"/>
                <w:color w:val="0000FF"/>
                <w:highlight w:val="white"/>
              </w:rPr>
            </w:pPr>
            <w:hyperlink r:id="rId498">
              <w:r>
                <w:rPr>
                  <w:rFonts w:ascii="Arial" w:cs="Arial" w:eastAsia="Arial" w:hAnsi="Arial"/>
                  <w:sz w:val="16"/>
                  <w:szCs w:val="16"/>
                  <w:color w:val="0000FF"/>
                  <w:highlight w:val="white"/>
                </w:rPr>
                <w:t>Burlington Stores, Inc. 2013 Omnibus Incentive Plan, as</w:t>
              </w:r>
            </w:hyperlink>
          </w:p>
        </w:tc>
        <w:tc>
          <w:tcPr>
            <w:tcW w:w="100" w:type="dxa"/>
            <w:vAlign w:val="bottom"/>
            <w:tcBorders>
              <w:top w:val="single" w:sz="8" w:color="0000FF"/>
            </w:tcBorders>
            <w:gridSpan w:val="2"/>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580" w:type="dxa"/>
            <w:vAlign w:val="bottom"/>
            <w:tcBorders>
              <w:right w:val="single" w:sz="8" w:color="auto"/>
            </w:tcBorders>
            <w:gridSpan w:val="34"/>
          </w:tcPr>
          <w:p>
            <w:pPr>
              <w:spacing w:after="0" w:line="176" w:lineRule="exact"/>
              <w:rPr>
                <w:rFonts w:ascii="Arial" w:cs="Arial" w:eastAsia="Arial" w:hAnsi="Arial"/>
                <w:sz w:val="18"/>
                <w:szCs w:val="18"/>
                <w:color w:val="0000FF"/>
                <w:highlight w:val="white"/>
              </w:rPr>
            </w:pPr>
            <w:hyperlink r:id="rId498">
              <w:r>
                <w:rPr>
                  <w:rFonts w:ascii="Arial" w:cs="Arial" w:eastAsia="Arial" w:hAnsi="Arial"/>
                  <w:sz w:val="18"/>
                  <w:szCs w:val="18"/>
                  <w:color w:val="0000FF"/>
                  <w:highlight w:val="white"/>
                </w:rPr>
                <w:t>amended and restated May 17, 2017 (for grants made to</w:t>
              </w:r>
            </w:hyperlink>
          </w:p>
        </w:tc>
        <w:tc>
          <w:tcPr>
            <w:tcW w:w="22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tcBorders>
              <w:right w:val="single" w:sz="8" w:color="auto"/>
            </w:tcBorders>
            <w:gridSpan w:val="34"/>
          </w:tcPr>
          <w:p>
            <w:pPr>
              <w:spacing w:after="0" w:line="189" w:lineRule="exact"/>
              <w:rPr>
                <w:rFonts w:ascii="Arial" w:cs="Arial" w:eastAsia="Arial" w:hAnsi="Arial"/>
                <w:sz w:val="18"/>
                <w:szCs w:val="18"/>
                <w:color w:val="0000FF"/>
                <w:highlight w:val="white"/>
                <w:w w:val="92"/>
              </w:rPr>
            </w:pPr>
            <w:hyperlink r:id="rId498">
              <w:r>
                <w:rPr>
                  <w:rFonts w:ascii="Arial" w:cs="Arial" w:eastAsia="Arial" w:hAnsi="Arial"/>
                  <w:sz w:val="18"/>
                  <w:szCs w:val="18"/>
                  <w:color w:val="0000FF"/>
                  <w:highlight w:val="white"/>
                  <w:w w:val="92"/>
                </w:rPr>
                <w:t>certain merchandising and planning associates from and after</w:t>
              </w:r>
            </w:hyperlink>
          </w:p>
        </w:tc>
        <w:tc>
          <w:tcPr>
            <w:tcW w:w="22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line="156" w:lineRule="exact"/>
              <w:rPr>
                <w:rFonts w:ascii="Arial" w:cs="Arial" w:eastAsia="Arial" w:hAnsi="Arial"/>
                <w:sz w:val="18"/>
                <w:szCs w:val="18"/>
                <w:color w:val="0000FF"/>
                <w:highlight w:val="white"/>
                <w:w w:val="89"/>
              </w:rPr>
            </w:pPr>
            <w:hyperlink r:id="rId498">
              <w:r>
                <w:rPr>
                  <w:rFonts w:ascii="Arial" w:cs="Arial" w:eastAsia="Arial" w:hAnsi="Arial"/>
                  <w:sz w:val="18"/>
                  <w:szCs w:val="18"/>
                  <w:color w:val="0000FF"/>
                  <w:highlight w:val="white"/>
                  <w:w w:val="89"/>
                </w:rPr>
                <w:t>May 3, 2021).</w:t>
              </w:r>
            </w:hyperlink>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3"/>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9"/>
              </w:rPr>
            </w:pPr>
            <w:hyperlink r:id="rId499">
              <w:r>
                <w:rPr>
                  <w:rFonts w:ascii="Arial" w:cs="Arial" w:eastAsia="Arial" w:hAnsi="Arial"/>
                  <w:sz w:val="18"/>
                  <w:szCs w:val="18"/>
                  <w:color w:val="0000FF"/>
                  <w:w w:val="99"/>
                </w:rPr>
                <w:t>Form of Performance-Based Restricted Stock Unit Award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27,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right w:val="single" w:sz="8" w:color="auto"/>
            </w:tcBorders>
            <w:gridSpan w:val="2"/>
            <w:vMerge w:val="restart"/>
          </w:tcPr>
          <w:p>
            <w:pPr>
              <w:spacing w:after="0" w:line="20" w:lineRule="exact"/>
              <w:rPr>
                <w:sz w:val="1"/>
                <w:szCs w:val="1"/>
                <w:color w:val="auto"/>
              </w:rPr>
            </w:pPr>
          </w:p>
        </w:tc>
        <w:tc>
          <w:tcPr>
            <w:tcW w:w="2200" w:type="dxa"/>
            <w:vAlign w:val="bottom"/>
            <w:tcBorders>
              <w:right w:val="single" w:sz="8" w:color="auto"/>
            </w:tcBorders>
            <w:vMerge w:val="restart"/>
          </w:tcPr>
          <w:p>
            <w:pPr>
              <w:ind w:left="60"/>
              <w:spacing w:after="0" w:line="17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gridSpan w:val="19"/>
          </w:tcPr>
          <w:p>
            <w:pPr>
              <w:spacing w:after="0" w:line="156" w:lineRule="exact"/>
              <w:rPr>
                <w:rFonts w:ascii="Arial" w:cs="Arial" w:eastAsia="Arial" w:hAnsi="Arial"/>
                <w:sz w:val="18"/>
                <w:szCs w:val="18"/>
                <w:color w:val="0000FF"/>
                <w:w w:val="88"/>
              </w:rPr>
            </w:pPr>
            <w:hyperlink r:id="rId499">
              <w:r>
                <w:rPr>
                  <w:rFonts w:ascii="Arial" w:cs="Arial" w:eastAsia="Arial" w:hAnsi="Arial"/>
                  <w:sz w:val="18"/>
                  <w:szCs w:val="18"/>
                  <w:color w:val="0000FF"/>
                  <w:w w:val="88"/>
                </w:rPr>
                <w:t>Notice and Agreement between Burlington Stores, Inc. and</w:t>
              </w:r>
            </w:hyperlink>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tcBorders>
              <w:right w:val="single" w:sz="8" w:color="auto"/>
            </w:tcBorders>
            <w:gridSpan w:val="2"/>
            <w:vMerge w:val="continue"/>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8"/>
              </w:rPr>
            </w:pPr>
            <w:hyperlink r:id="rId499">
              <w:r>
                <w:rPr>
                  <w:rFonts w:ascii="Arial" w:cs="Arial" w:eastAsia="Arial" w:hAnsi="Arial"/>
                  <w:sz w:val="18"/>
                  <w:szCs w:val="18"/>
                  <w:color w:val="0000FF"/>
                  <w:w w:val="88"/>
                </w:rPr>
                <w:t>award recipients pursuant to the Burlington Stores, Inc. 2013</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gridSpan w:val="29"/>
          </w:tcPr>
          <w:p>
            <w:pPr>
              <w:spacing w:after="0" w:line="156" w:lineRule="exact"/>
              <w:rPr>
                <w:rFonts w:ascii="Arial" w:cs="Arial" w:eastAsia="Arial" w:hAnsi="Arial"/>
                <w:sz w:val="18"/>
                <w:szCs w:val="18"/>
                <w:color w:val="0000FF"/>
                <w:w w:val="93"/>
              </w:rPr>
            </w:pPr>
            <w:hyperlink r:id="rId499">
              <w:r>
                <w:rPr>
                  <w:rFonts w:ascii="Arial" w:cs="Arial" w:eastAsia="Arial" w:hAnsi="Arial"/>
                  <w:sz w:val="18"/>
                  <w:szCs w:val="18"/>
                  <w:color w:val="0000FF"/>
                  <w:w w:val="93"/>
                </w:rPr>
                <w:t>Omnibus Incentive Plan, as amended and restated May 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7"/>
              </w:rPr>
            </w:pPr>
            <w:hyperlink r:id="rId499">
              <w:r>
                <w:rPr>
                  <w:rFonts w:ascii="Arial" w:cs="Arial" w:eastAsia="Arial" w:hAnsi="Arial"/>
                  <w:sz w:val="18"/>
                  <w:szCs w:val="18"/>
                  <w:color w:val="0000FF"/>
                  <w:w w:val="87"/>
                </w:rPr>
                <w:t>2017 (for grants made to certain merchandising and planning</w:t>
              </w:r>
            </w:hyperlink>
          </w:p>
        </w:tc>
        <w:tc>
          <w:tcPr>
            <w:tcW w:w="12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gridSpan w:val="31"/>
          </w:tcPr>
          <w:p>
            <w:pPr>
              <w:spacing w:after="0" w:line="156" w:lineRule="exact"/>
              <w:rPr>
                <w:rFonts w:ascii="Arial" w:cs="Arial" w:eastAsia="Arial" w:hAnsi="Arial"/>
                <w:sz w:val="18"/>
                <w:szCs w:val="18"/>
                <w:color w:val="0000FF"/>
              </w:rPr>
            </w:pPr>
            <w:hyperlink r:id="rId499">
              <w:r>
                <w:rPr>
                  <w:rFonts w:ascii="Arial" w:cs="Arial" w:eastAsia="Arial" w:hAnsi="Arial"/>
                  <w:sz w:val="18"/>
                  <w:szCs w:val="18"/>
                  <w:color w:val="0000FF"/>
                </w:rPr>
                <w:t>associates from and after May 3, 2021).</w:t>
              </w:r>
            </w:hyperlink>
          </w:p>
        </w:tc>
        <w:tc>
          <w:tcPr>
            <w:tcW w:w="20" w:type="dxa"/>
            <w:vAlign w:val="bottom"/>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10.51+</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rPr>
            </w:pPr>
            <w:hyperlink r:id="rId500">
              <w:r>
                <w:rPr>
                  <w:rFonts w:ascii="Arial" w:cs="Arial" w:eastAsia="Arial" w:hAnsi="Arial"/>
                  <w:sz w:val="18"/>
                  <w:szCs w:val="18"/>
                  <w:color w:val="0000FF"/>
                </w:rPr>
                <w:t>Burlington Stores, Inc. Executive Severance Plan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27,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500">
              <w:r>
                <w:rPr>
                  <w:rFonts w:ascii="Arial" w:cs="Arial" w:eastAsia="Arial" w:hAnsi="Arial"/>
                  <w:sz w:val="18"/>
                  <w:szCs w:val="18"/>
                  <w:color w:val="0000FF"/>
                  <w:w w:val="92"/>
                </w:rPr>
                <w:t>(Merchandising &amp; Planning) (Effective March 26,</w:t>
              </w:r>
            </w:hyperlink>
          </w:p>
        </w:tc>
        <w:tc>
          <w:tcPr>
            <w:tcW w:w="780" w:type="dxa"/>
            <w:vAlign w:val="bottom"/>
            <w:gridSpan w:val="13"/>
          </w:tcPr>
          <w:p>
            <w:pPr>
              <w:jc w:val="right"/>
              <w:ind w:right="280"/>
              <w:spacing w:after="0" w:line="156" w:lineRule="exact"/>
              <w:rPr>
                <w:rFonts w:ascii="Arial" w:cs="Arial" w:eastAsia="Arial" w:hAnsi="Arial"/>
                <w:sz w:val="18"/>
                <w:szCs w:val="18"/>
                <w:color w:val="0000FF"/>
                <w:w w:val="93"/>
              </w:rPr>
            </w:pPr>
            <w:hyperlink r:id="rId500">
              <w:r>
                <w:rPr>
                  <w:rFonts w:ascii="Arial" w:cs="Arial" w:eastAsia="Arial" w:hAnsi="Arial"/>
                  <w:sz w:val="18"/>
                  <w:szCs w:val="18"/>
                  <w:color w:val="0000FF"/>
                  <w:w w:val="93"/>
                </w:rPr>
                <w:t>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10.52+</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4"/>
              </w:rPr>
            </w:pPr>
            <w:hyperlink r:id="rId501">
              <w:r>
                <w:rPr>
                  <w:rFonts w:ascii="Arial" w:cs="Arial" w:eastAsia="Arial" w:hAnsi="Arial"/>
                  <w:sz w:val="18"/>
                  <w:szCs w:val="18"/>
                  <w:color w:val="0000FF"/>
                  <w:w w:val="94"/>
                </w:rPr>
                <w:t>Burlington Stores, Inc. Executive Severance Plan (Amended</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Quarterly Report on Form</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May 27,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01">
              <w:r>
                <w:rPr>
                  <w:rFonts w:ascii="Arial" w:cs="Arial" w:eastAsia="Arial" w:hAnsi="Arial"/>
                  <w:sz w:val="18"/>
                  <w:szCs w:val="18"/>
                  <w:color w:val="0000FF"/>
                </w:rPr>
                <w:t>and Restated Effective March 26, 2021).</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10-Q</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10.53+</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3"/>
              </w:rPr>
            </w:pPr>
            <w:hyperlink r:id="rId502">
              <w:r>
                <w:rPr>
                  <w:rFonts w:ascii="Arial" w:cs="Arial" w:eastAsia="Arial" w:hAnsi="Arial"/>
                  <w:sz w:val="18"/>
                  <w:szCs w:val="18"/>
                  <w:color w:val="0000FF"/>
                  <w:w w:val="93"/>
                </w:rPr>
                <w:t>Employment Agreement dated July 12, 2021 by and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15,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502">
              <w:r>
                <w:rPr>
                  <w:rFonts w:ascii="Arial" w:cs="Arial" w:eastAsia="Arial" w:hAnsi="Arial"/>
                  <w:sz w:val="18"/>
                  <w:szCs w:val="18"/>
                  <w:color w:val="0000FF"/>
                </w:rPr>
                <w:t>Burlington Stores, Inc. and Travis Marquette.</w:t>
              </w:r>
            </w:hyperlink>
          </w:p>
        </w:tc>
        <w:tc>
          <w:tcPr>
            <w:tcW w:w="60" w:type="dxa"/>
            <w:vAlign w:val="bottom"/>
            <w:tcBorders>
              <w:right w:val="single" w:sz="8" w:color="auto"/>
            </w:tcBorders>
            <w:gridSpan w:val="2"/>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10.54+</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5"/>
              </w:rPr>
            </w:pPr>
            <w:hyperlink r:id="rId503">
              <w:r>
                <w:rPr>
                  <w:rFonts w:ascii="Arial" w:cs="Arial" w:eastAsia="Arial" w:hAnsi="Arial"/>
                  <w:sz w:val="18"/>
                  <w:szCs w:val="18"/>
                  <w:color w:val="0000FF"/>
                  <w:w w:val="95"/>
                </w:rPr>
                <w:t>Form of Restricted Stock Unit Award Notice and Agreement</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15,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503">
              <w:r>
                <w:rPr>
                  <w:rFonts w:ascii="Arial" w:cs="Arial" w:eastAsia="Arial" w:hAnsi="Arial"/>
                  <w:sz w:val="18"/>
                  <w:szCs w:val="18"/>
                  <w:color w:val="0000FF"/>
                </w:rPr>
                <w:t>between Burlington Stores, Inc. and Travis Marquette</w:t>
              </w:r>
            </w:hyperlink>
          </w:p>
        </w:tc>
        <w:tc>
          <w:tcPr>
            <w:tcW w:w="60" w:type="dxa"/>
            <w:vAlign w:val="bottom"/>
            <w:gridSpan w:val="3"/>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503">
              <w:r>
                <w:rPr>
                  <w:rFonts w:ascii="Arial" w:cs="Arial" w:eastAsia="Arial" w:hAnsi="Arial"/>
                  <w:sz w:val="18"/>
                  <w:szCs w:val="18"/>
                  <w:color w:val="0000FF"/>
                  <w:w w:val="91"/>
                </w:rPr>
                <w:t>pursuant to the Burlington Stores, Inc. 2013 Omnibus</w:t>
              </w:r>
            </w:hyperlink>
          </w:p>
        </w:tc>
        <w:tc>
          <w:tcPr>
            <w:tcW w:w="20" w:type="dxa"/>
            <w:vAlign w:val="bottom"/>
          </w:tcPr>
          <w:p>
            <w:pPr>
              <w:spacing w:after="0"/>
              <w:rPr>
                <w:sz w:val="13"/>
                <w:szCs w:val="13"/>
                <w:color w:val="auto"/>
              </w:rPr>
            </w:pPr>
          </w:p>
        </w:tc>
        <w:tc>
          <w:tcPr>
            <w:tcW w:w="640" w:type="dxa"/>
            <w:vAlign w:val="bottom"/>
            <w:tcBorders>
              <w:right w:val="single" w:sz="8" w:color="auto"/>
            </w:tcBorders>
            <w:gridSpan w:val="18"/>
            <w:vMerge w:val="restart"/>
          </w:tcPr>
          <w:p>
            <w:pPr>
              <w:ind w:left="20"/>
              <w:spacing w:after="0"/>
              <w:rPr>
                <w:rFonts w:ascii="Arial" w:cs="Arial" w:eastAsia="Arial" w:hAnsi="Arial"/>
                <w:sz w:val="18"/>
                <w:szCs w:val="18"/>
                <w:color w:val="0000FF"/>
              </w:rPr>
            </w:pPr>
            <w:hyperlink r:id="rId503">
              <w:r>
                <w:rPr>
                  <w:rFonts w:ascii="Arial" w:cs="Arial" w:eastAsia="Arial" w:hAnsi="Arial"/>
                  <w:sz w:val="18"/>
                  <w:szCs w:val="18"/>
                  <w:color w:val="0000FF"/>
                </w:rPr>
                <w:t>(for</w:t>
              </w:r>
            </w:hyperlink>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Borders>
              <w:top w:val="single" w:sz="8" w:color="0000FF"/>
            </w:tcBorders>
            <w:gridSpan w:val="14"/>
          </w:tcPr>
          <w:p>
            <w:pPr>
              <w:spacing w:after="0" w:line="156" w:lineRule="exact"/>
              <w:rPr>
                <w:rFonts w:ascii="Arial" w:cs="Arial" w:eastAsia="Arial" w:hAnsi="Arial"/>
                <w:sz w:val="18"/>
                <w:szCs w:val="18"/>
                <w:color w:val="0000FF"/>
                <w:w w:val="87"/>
              </w:rPr>
            </w:pPr>
            <w:hyperlink r:id="rId503">
              <w:r>
                <w:rPr>
                  <w:rFonts w:ascii="Arial" w:cs="Arial" w:eastAsia="Arial" w:hAnsi="Arial"/>
                  <w:sz w:val="18"/>
                  <w:szCs w:val="18"/>
                  <w:color w:val="0000FF"/>
                  <w:w w:val="87"/>
                </w:rPr>
                <w:t>Incentive Plan, as amended and restated May 17, 2017</w:t>
              </w:r>
            </w:hyperlink>
          </w:p>
        </w:tc>
        <w:tc>
          <w:tcPr>
            <w:tcW w:w="40" w:type="dxa"/>
            <w:vAlign w:val="bottom"/>
            <w:gridSpan w:val="2"/>
          </w:tcPr>
          <w:p>
            <w:pPr>
              <w:spacing w:after="0"/>
              <w:rPr>
                <w:sz w:val="13"/>
                <w:szCs w:val="13"/>
                <w:color w:val="auto"/>
              </w:rPr>
            </w:pPr>
          </w:p>
        </w:tc>
        <w:tc>
          <w:tcPr>
            <w:tcW w:w="640" w:type="dxa"/>
            <w:vAlign w:val="bottom"/>
            <w:tcBorders>
              <w:right w:val="single" w:sz="8" w:color="auto"/>
            </w:tcBorders>
            <w:gridSpan w:val="18"/>
            <w:vMerge w:val="continue"/>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03">
              <w:r>
                <w:rPr>
                  <w:rFonts w:ascii="Arial" w:cs="Arial" w:eastAsia="Arial" w:hAnsi="Arial"/>
                  <w:sz w:val="18"/>
                  <w:szCs w:val="18"/>
                  <w:color w:val="0000FF"/>
                </w:rPr>
                <w:t>Make-Whole RSU Award).</w:t>
              </w:r>
            </w:hyperlink>
          </w:p>
        </w:tc>
        <w:tc>
          <w:tcPr>
            <w:tcW w:w="10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10.55+</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3"/>
              </w:rPr>
            </w:pPr>
            <w:hyperlink r:id="rId504">
              <w:r>
                <w:rPr>
                  <w:rFonts w:ascii="Arial" w:cs="Arial" w:eastAsia="Arial" w:hAnsi="Arial"/>
                  <w:sz w:val="18"/>
                  <w:szCs w:val="18"/>
                  <w:color w:val="0000FF"/>
                  <w:w w:val="93"/>
                </w:rPr>
                <w:t>Form of Stock Option Award Notice and Agreement between</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9"/>
              </w:rPr>
              <w:t>Current Report on Form 8-</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July 15, 2021</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504">
              <w:r>
                <w:rPr>
                  <w:rFonts w:ascii="Arial" w:cs="Arial" w:eastAsia="Arial" w:hAnsi="Arial"/>
                  <w:sz w:val="18"/>
                  <w:szCs w:val="18"/>
                  <w:color w:val="0000FF"/>
                  <w:w w:val="94"/>
                </w:rPr>
                <w:t>Burlington Stores, Inc. and Travis Marquette pursuant to the</w:t>
              </w:r>
            </w:hyperlink>
          </w:p>
        </w:tc>
        <w:tc>
          <w:tcPr>
            <w:tcW w:w="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Borders>
              <w:top w:val="single" w:sz="8" w:color="0000FF"/>
            </w:tcBorders>
            <w:gridSpan w:val="25"/>
          </w:tcPr>
          <w:p>
            <w:pPr>
              <w:spacing w:after="0" w:line="156" w:lineRule="exact"/>
              <w:rPr>
                <w:rFonts w:ascii="Arial" w:cs="Arial" w:eastAsia="Arial" w:hAnsi="Arial"/>
                <w:sz w:val="18"/>
                <w:szCs w:val="18"/>
                <w:color w:val="0000FF"/>
                <w:w w:val="97"/>
              </w:rPr>
            </w:pPr>
            <w:hyperlink r:id="rId504">
              <w:r>
                <w:rPr>
                  <w:rFonts w:ascii="Arial" w:cs="Arial" w:eastAsia="Arial" w:hAnsi="Arial"/>
                  <w:sz w:val="18"/>
                  <w:szCs w:val="18"/>
                  <w:color w:val="0000FF"/>
                  <w:w w:val="97"/>
                </w:rPr>
                <w:t>Burlington Stores, Inc. 2013 Omnibus Incentive Plan, as</w:t>
              </w:r>
            </w:hyperlink>
          </w:p>
        </w:tc>
        <w:tc>
          <w:tcPr>
            <w:tcW w:w="100" w:type="dxa"/>
            <w:vAlign w:val="bottom"/>
            <w:gridSpan w:val="5"/>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504">
              <w:r>
                <w:rPr>
                  <w:rFonts w:ascii="Arial" w:cs="Arial" w:eastAsia="Arial" w:hAnsi="Arial"/>
                  <w:sz w:val="18"/>
                  <w:szCs w:val="18"/>
                  <w:color w:val="0000FF"/>
                  <w:w w:val="94"/>
                </w:rPr>
                <w:t>amended and restated May 17, 2017 (for Make-Whole</w:t>
              </w:r>
            </w:hyperlink>
          </w:p>
        </w:tc>
        <w:tc>
          <w:tcPr>
            <w:tcW w:w="360" w:type="dxa"/>
            <w:vAlign w:val="bottom"/>
            <w:gridSpan w:val="12"/>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9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04">
              <w:r>
                <w:rPr>
                  <w:rFonts w:ascii="Arial" w:cs="Arial" w:eastAsia="Arial" w:hAnsi="Arial"/>
                  <w:sz w:val="18"/>
                  <w:szCs w:val="18"/>
                  <w:color w:val="0000FF"/>
                </w:rPr>
                <w:t>Option Award).</w:t>
              </w:r>
            </w:hyperlink>
          </w:p>
        </w:tc>
        <w:tc>
          <w:tcPr>
            <w:tcW w:w="540" w:type="dxa"/>
            <w:vAlign w:val="bottom"/>
            <w:gridSpan w:val="14"/>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right"/>
              <w:ind w:right="750"/>
              <w:spacing w:after="0" w:line="156" w:lineRule="exact"/>
              <w:rPr>
                <w:sz w:val="20"/>
                <w:szCs w:val="20"/>
                <w:color w:val="auto"/>
              </w:rPr>
            </w:pPr>
            <w:r>
              <w:rPr>
                <w:rFonts w:ascii="Arial" w:cs="Arial" w:eastAsia="Arial" w:hAnsi="Arial"/>
                <w:sz w:val="18"/>
                <w:szCs w:val="18"/>
                <w:color w:val="auto"/>
              </w:rPr>
              <w:t>10.56+</w:t>
            </w:r>
          </w:p>
        </w:tc>
        <w:tc>
          <w:tcPr>
            <w:tcW w:w="100" w:type="dxa"/>
            <w:vAlign w:val="bottom"/>
          </w:tcPr>
          <w:p>
            <w:pPr>
              <w:spacing w:after="0"/>
              <w:rPr>
                <w:sz w:val="13"/>
                <w:szCs w:val="13"/>
                <w:color w:val="auto"/>
              </w:rPr>
            </w:pPr>
          </w:p>
        </w:tc>
        <w:tc>
          <w:tcPr>
            <w:tcW w:w="4580" w:type="dxa"/>
            <w:vAlign w:val="bottom"/>
            <w:tcBorders>
              <w:right w:val="single" w:sz="8" w:color="auto"/>
            </w:tcBorders>
            <w:gridSpan w:val="34"/>
          </w:tcPr>
          <w:p>
            <w:pPr>
              <w:spacing w:after="0" w:line="156" w:lineRule="exact"/>
              <w:rPr>
                <w:rFonts w:ascii="Arial" w:cs="Arial" w:eastAsia="Arial" w:hAnsi="Arial"/>
                <w:sz w:val="18"/>
                <w:szCs w:val="18"/>
                <w:color w:val="0000FF"/>
                <w:w w:val="93"/>
              </w:rPr>
            </w:pPr>
            <w:hyperlink r:id="rId505">
              <w:r>
                <w:rPr>
                  <w:rFonts w:ascii="Arial" w:cs="Arial" w:eastAsia="Arial" w:hAnsi="Arial"/>
                  <w:sz w:val="18"/>
                  <w:szCs w:val="18"/>
                  <w:color w:val="0000FF"/>
                  <w:w w:val="93"/>
                </w:rPr>
                <w:t>Employment Agreement, dated as of November 16, 2009, by</w:t>
              </w:r>
            </w:hyperlink>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26, 2013</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505">
              <w:r>
                <w:rPr>
                  <w:rFonts w:ascii="Arial" w:cs="Arial" w:eastAsia="Arial" w:hAnsi="Arial"/>
                  <w:sz w:val="18"/>
                  <w:szCs w:val="18"/>
                  <w:color w:val="0000FF"/>
                </w:rPr>
                <w:t>and between Burlington Coat Factory Warehouse</w:t>
              </w:r>
            </w:hyperlink>
          </w:p>
        </w:tc>
        <w:tc>
          <w:tcPr>
            <w:tcW w:w="100" w:type="dxa"/>
            <w:vAlign w:val="bottom"/>
            <w:tcBorders>
              <w:right w:val="single" w:sz="8" w:color="auto"/>
            </w:tcBorders>
            <w:gridSpan w:val="4"/>
          </w:tcPr>
          <w:p>
            <w:pPr>
              <w:spacing w:after="0"/>
              <w:rPr>
                <w:sz w:val="13"/>
                <w:szCs w:val="13"/>
                <w:color w:val="auto"/>
              </w:rPr>
            </w:pPr>
          </w:p>
        </w:tc>
        <w:tc>
          <w:tcPr>
            <w:tcW w:w="22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505">
              <w:r>
                <w:rPr>
                  <w:rFonts w:ascii="Arial" w:cs="Arial" w:eastAsia="Arial" w:hAnsi="Arial"/>
                  <w:sz w:val="18"/>
                  <w:szCs w:val="18"/>
                  <w:color w:val="0000FF"/>
                </w:rPr>
                <w:t>Corporation and Michael Metheny.</w:t>
              </w:r>
            </w:hyperlink>
          </w:p>
        </w:tc>
        <w:tc>
          <w:tcPr>
            <w:tcW w:w="1000" w:type="dxa"/>
            <w:vAlign w:val="bottom"/>
            <w:tcBorders>
              <w:right w:val="single" w:sz="8" w:color="auto"/>
            </w:tcBorders>
            <w:gridSpan w:val="23"/>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gridSpan w:val="12"/>
          </w:tcPr>
          <w:p>
            <w:pPr>
              <w:jc w:val="right"/>
              <w:ind w:right="16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-4028440</wp:posOffset>
            </wp:positionV>
            <wp:extent cx="4763"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8">
                      <a:extLst>
                        <a:ext uri="{28A0092B-C50C-407E-A947-70E740481C1C}"/>
                      </a:extLst>
                    </a:blip>
                    <a:srcRect/>
                    <a:stretch>
                      <a:fillRect/>
                    </a:stretch>
                  </pic:blipFill>
                  <pic:spPr bwMode="auto">
                    <a:xfrm>
                      <a:off x="0" y="0"/>
                      <a:ext cx="4763"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-3917315</wp:posOffset>
            </wp:positionV>
            <wp:extent cx="4763"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-3805555</wp:posOffset>
            </wp:positionV>
            <wp:extent cx="4763"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0">
                      <a:extLst>
                        <a:ext uri="{28A0092B-C50C-407E-A947-70E740481C1C}"/>
                      </a:extLst>
                    </a:blip>
                    <a:srcRect/>
                    <a:stretch>
                      <a:fillRect/>
                    </a:stretch>
                  </pic:blipFill>
                  <pic:spPr bwMode="auto">
                    <a:xfrm>
                      <a:off x="0" y="0"/>
                      <a:ext cx="4763"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-3805555</wp:posOffset>
            </wp:positionV>
            <wp:extent cx="28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-3693795</wp:posOffset>
            </wp:positionV>
            <wp:extent cx="4763"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2">
                      <a:extLst>
                        <a:ext uri="{28A0092B-C50C-407E-A947-70E740481C1C}"/>
                      </a:extLst>
                    </a:blip>
                    <a:srcRect/>
                    <a:stretch>
                      <a:fillRect/>
                    </a:stretch>
                  </pic:blipFill>
                  <pic:spPr bwMode="auto">
                    <a:xfrm>
                      <a:off x="0" y="0"/>
                      <a:ext cx="4763"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-3693795</wp:posOffset>
            </wp:positionV>
            <wp:extent cx="285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-3582670</wp:posOffset>
            </wp:positionV>
            <wp:extent cx="4763"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4">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2"/>
        </w:trPr>
        <w:tc>
          <w:tcPr>
            <w:tcW w:w="760" w:type="dxa"/>
            <w:vAlign w:val="bottom"/>
            <w:tcBorders>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10.57+</w:t>
            </w:r>
          </w:p>
        </w:tc>
        <w:tc>
          <w:tcPr>
            <w:tcW w:w="80" w:type="dxa"/>
            <w:vAlign w:val="bottom"/>
            <w:tcBorders>
              <w:top w:val="single" w:sz="8" w:color="auto"/>
            </w:tcBorders>
          </w:tcPr>
          <w:p>
            <w:pPr>
              <w:spacing w:after="0"/>
              <w:rPr>
                <w:sz w:val="16"/>
                <w:szCs w:val="16"/>
                <w:color w:val="auto"/>
              </w:rPr>
            </w:pPr>
          </w:p>
        </w:tc>
        <w:tc>
          <w:tcPr>
            <w:tcW w:w="4560" w:type="dxa"/>
            <w:vAlign w:val="bottom"/>
            <w:tcBorders>
              <w:top w:val="single" w:sz="8" w:color="auto"/>
              <w:right w:val="single" w:sz="8" w:color="auto"/>
            </w:tcBorders>
            <w:gridSpan w:val="31"/>
          </w:tcPr>
          <w:p>
            <w:pPr>
              <w:spacing w:after="0" w:line="192" w:lineRule="exact"/>
              <w:rPr>
                <w:rFonts w:ascii="Arial" w:cs="Arial" w:eastAsia="Arial" w:hAnsi="Arial"/>
                <w:sz w:val="18"/>
                <w:szCs w:val="18"/>
                <w:color w:val="0000FF"/>
                <w:w w:val="97"/>
              </w:rPr>
            </w:pPr>
            <w:hyperlink r:id="rId515">
              <w:r>
                <w:rPr>
                  <w:rFonts w:ascii="Arial" w:cs="Arial" w:eastAsia="Arial" w:hAnsi="Arial"/>
                  <w:sz w:val="18"/>
                  <w:szCs w:val="18"/>
                  <w:color w:val="0000FF"/>
                  <w:w w:val="97"/>
                </w:rPr>
                <w:t>Amendment No. 1 to Employment Agreement, dated as of</w:t>
              </w:r>
            </w:hyperlink>
          </w:p>
        </w:tc>
        <w:tc>
          <w:tcPr>
            <w:tcW w:w="2220" w:type="dxa"/>
            <w:vAlign w:val="bottom"/>
            <w:tcBorders>
              <w:top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w w:val="96"/>
              </w:rPr>
              <w:t>Annual Report on Form 10-</w:t>
            </w:r>
          </w:p>
        </w:tc>
        <w:tc>
          <w:tcPr>
            <w:tcW w:w="1440" w:type="dxa"/>
            <w:vAlign w:val="bottom"/>
            <w:tcBorders>
              <w:top w:val="single" w:sz="8" w:color="auto"/>
              <w:right w:val="single" w:sz="8" w:color="auto"/>
            </w:tcBorders>
          </w:tcPr>
          <w:p>
            <w:pPr>
              <w:ind w:left="100"/>
              <w:spacing w:after="0" w:line="192" w:lineRule="exact"/>
              <w:rPr>
                <w:sz w:val="20"/>
                <w:szCs w:val="20"/>
                <w:color w:val="auto"/>
              </w:rPr>
            </w:pPr>
            <w:r>
              <w:rPr>
                <w:rFonts w:ascii="Arial" w:cs="Arial" w:eastAsia="Arial" w:hAnsi="Arial"/>
                <w:sz w:val="18"/>
                <w:szCs w:val="18"/>
                <w:color w:val="auto"/>
              </w:rPr>
              <w:t>April 26, 2013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515">
              <w:r>
                <w:rPr>
                  <w:rFonts w:ascii="Arial" w:cs="Arial" w:eastAsia="Arial" w:hAnsi="Arial"/>
                  <w:sz w:val="18"/>
                  <w:szCs w:val="18"/>
                  <w:color w:val="0000FF"/>
                  <w:w w:val="91"/>
                </w:rPr>
                <w:t>August 20, 2012, by and between Burlington Coat Factory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w:t>
            </w: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0" w:type="dxa"/>
            <w:vAlign w:val="bottom"/>
            <w:tcBorders>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7"/>
          </w:tcPr>
          <w:p>
            <w:pPr>
              <w:spacing w:after="0" w:line="156" w:lineRule="exact"/>
              <w:rPr>
                <w:rFonts w:ascii="Arial" w:cs="Arial" w:eastAsia="Arial" w:hAnsi="Arial"/>
                <w:sz w:val="18"/>
                <w:szCs w:val="18"/>
                <w:color w:val="0000FF"/>
              </w:rPr>
            </w:pPr>
            <w:hyperlink r:id="rId515">
              <w:r>
                <w:rPr>
                  <w:rFonts w:ascii="Arial" w:cs="Arial" w:eastAsia="Arial" w:hAnsi="Arial"/>
                  <w:sz w:val="18"/>
                  <w:szCs w:val="18"/>
                  <w:color w:val="0000FF"/>
                </w:rPr>
                <w:t>Warehouse Corporation and Michael Metheny.</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10.58+†</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Offer Letter with Michael Allison dated March 9, 2021.</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10.59+†</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9"/>
              </w:rPr>
            </w:pPr>
            <w:hyperlink w:anchor="page108">
              <w:r>
                <w:rPr>
                  <w:rFonts w:ascii="Arial" w:cs="Arial" w:eastAsia="Arial" w:hAnsi="Arial"/>
                  <w:sz w:val="18"/>
                  <w:szCs w:val="18"/>
                  <w:color w:val="0000FF"/>
                  <w:w w:val="99"/>
                </w:rPr>
                <w:t>Form of Performance-Based Restricted Stock Unit Award</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gridSpan w:val="14"/>
          </w:tcPr>
          <w:p>
            <w:pPr>
              <w:spacing w:after="0" w:line="156"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Notice and Agreement between Burlington Stores, Inc. and</w:t>
              </w:r>
            </w:hyperlink>
          </w:p>
        </w:tc>
        <w:tc>
          <w:tcPr>
            <w:tcW w:w="2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w:anchor="page108">
              <w:r>
                <w:rPr>
                  <w:rFonts w:ascii="Arial" w:cs="Arial" w:eastAsia="Arial" w:hAnsi="Arial"/>
                  <w:sz w:val="18"/>
                  <w:szCs w:val="18"/>
                  <w:color w:val="0000FF"/>
                  <w:w w:val="89"/>
                </w:rPr>
                <w:t>award recipients pursuant to the Burlington Stores, Inc. 2013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gridSpan w:val="28"/>
          </w:tcPr>
          <w:p>
            <w:pPr>
              <w:spacing w:after="0" w:line="156" w:lineRule="exact"/>
              <w:rPr>
                <w:rFonts w:ascii="Arial" w:cs="Arial" w:eastAsia="Arial" w:hAnsi="Arial"/>
                <w:sz w:val="18"/>
                <w:szCs w:val="18"/>
                <w:color w:val="0000FF"/>
                <w:w w:val="94"/>
              </w:rPr>
            </w:pPr>
            <w:hyperlink w:anchor="page108">
              <w:r>
                <w:rPr>
                  <w:rFonts w:ascii="Arial" w:cs="Arial" w:eastAsia="Arial" w:hAnsi="Arial"/>
                  <w:sz w:val="18"/>
                  <w:szCs w:val="18"/>
                  <w:color w:val="0000FF"/>
                  <w:w w:val="94"/>
                </w:rPr>
                <w:t>Omnibus Incentive Plan, as amended and restated May 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2017 (for grants made from and after November 9,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10.60+†</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9"/>
              </w:rPr>
            </w:pPr>
            <w:hyperlink w:anchor="page118">
              <w:r>
                <w:rPr>
                  <w:rFonts w:ascii="Arial" w:cs="Arial" w:eastAsia="Arial" w:hAnsi="Arial"/>
                  <w:sz w:val="18"/>
                  <w:szCs w:val="18"/>
                  <w:color w:val="0000FF"/>
                  <w:w w:val="99"/>
                </w:rPr>
                <w:t>Form of Performance-Based Restricted Stock Unit Award</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gridSpan w:val="14"/>
          </w:tcPr>
          <w:p>
            <w:pPr>
              <w:spacing w:after="0" w:line="156" w:lineRule="exact"/>
              <w:rPr>
                <w:rFonts w:ascii="Arial" w:cs="Arial" w:eastAsia="Arial" w:hAnsi="Arial"/>
                <w:sz w:val="18"/>
                <w:szCs w:val="18"/>
                <w:color w:val="0000FF"/>
                <w:w w:val="88"/>
              </w:rPr>
            </w:pPr>
            <w:hyperlink w:anchor="page118">
              <w:r>
                <w:rPr>
                  <w:rFonts w:ascii="Arial" w:cs="Arial" w:eastAsia="Arial" w:hAnsi="Arial"/>
                  <w:sz w:val="18"/>
                  <w:szCs w:val="18"/>
                  <w:color w:val="0000FF"/>
                  <w:w w:val="88"/>
                </w:rPr>
                <w:t>Notice and Agreement between Burlington Stores, Inc. and</w:t>
              </w:r>
            </w:hyperlink>
          </w:p>
        </w:tc>
        <w:tc>
          <w:tcPr>
            <w:tcW w:w="2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w:anchor="page118">
              <w:r>
                <w:rPr>
                  <w:rFonts w:ascii="Arial" w:cs="Arial" w:eastAsia="Arial" w:hAnsi="Arial"/>
                  <w:sz w:val="18"/>
                  <w:szCs w:val="18"/>
                  <w:color w:val="0000FF"/>
                  <w:w w:val="89"/>
                </w:rPr>
                <w:t>award recipients pursuant to the Burlington Stores, Inc.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w:anchor="page118">
              <w:r>
                <w:rPr>
                  <w:rFonts w:ascii="Arial" w:cs="Arial" w:eastAsia="Arial" w:hAnsi="Arial"/>
                  <w:sz w:val="18"/>
                  <w:szCs w:val="18"/>
                  <w:color w:val="0000FF"/>
                  <w:w w:val="94"/>
                </w:rPr>
                <w:t>Omnibus Incentive Plan, as amended and restated May 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8"/>
              </w:rPr>
            </w:pPr>
            <w:hyperlink w:anchor="page118">
              <w:r>
                <w:rPr>
                  <w:rFonts w:ascii="Arial" w:cs="Arial" w:eastAsia="Arial" w:hAnsi="Arial"/>
                  <w:sz w:val="18"/>
                  <w:szCs w:val="18"/>
                  <w:color w:val="0000FF"/>
                  <w:w w:val="88"/>
                </w:rPr>
                <w:t>2017 (for grants made to certain merchandising and planning</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00" w:type="dxa"/>
            <w:vAlign w:val="bottom"/>
            <w:gridSpan w:val="29"/>
          </w:tcPr>
          <w:p>
            <w:pPr>
              <w:spacing w:after="0" w:line="156" w:lineRule="exact"/>
              <w:rPr>
                <w:rFonts w:ascii="Arial" w:cs="Arial" w:eastAsia="Arial" w:hAnsi="Arial"/>
                <w:sz w:val="18"/>
                <w:szCs w:val="18"/>
                <w:color w:val="0000FF"/>
              </w:rPr>
            </w:pPr>
            <w:hyperlink w:anchor="page118">
              <w:r>
                <w:rPr>
                  <w:rFonts w:ascii="Arial" w:cs="Arial" w:eastAsia="Arial" w:hAnsi="Arial"/>
                  <w:sz w:val="18"/>
                  <w:szCs w:val="18"/>
                  <w:color w:val="0000FF"/>
                </w:rPr>
                <w:t>associates from and after November 9, 2021).</w:t>
              </w:r>
            </w:hyperlink>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10.61+†</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5"/>
              </w:rPr>
            </w:pPr>
            <w:hyperlink w:anchor="page128">
              <w:r>
                <w:rPr>
                  <w:rFonts w:ascii="Arial" w:cs="Arial" w:eastAsia="Arial" w:hAnsi="Arial"/>
                  <w:sz w:val="18"/>
                  <w:szCs w:val="18"/>
                  <w:color w:val="0000FF"/>
                  <w:w w:val="95"/>
                </w:rPr>
                <w:t>Form of Restricted Stock Unit Award Notice and Agreement</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128">
              <w:r>
                <w:rPr>
                  <w:rFonts w:ascii="Arial" w:cs="Arial" w:eastAsia="Arial" w:hAnsi="Arial"/>
                  <w:sz w:val="18"/>
                  <w:szCs w:val="18"/>
                  <w:color w:val="0000FF"/>
                </w:rPr>
                <w:t>between Burlington Stores, Inc. and award recipients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pursuant to the Burlington Stores, Inc. 2013 Omnibus</w:t>
              </w:r>
            </w:hyperlink>
          </w:p>
        </w:tc>
        <w:tc>
          <w:tcPr>
            <w:tcW w:w="60" w:type="dxa"/>
            <w:vAlign w:val="bottom"/>
            <w:tcBorders>
              <w:bottom w:val="single" w:sz="8" w:color="0000FF"/>
            </w:tcBorders>
          </w:tcPr>
          <w:p>
            <w:pPr>
              <w:spacing w:after="0"/>
              <w:rPr>
                <w:sz w:val="13"/>
                <w:szCs w:val="13"/>
                <w:color w:val="auto"/>
              </w:rPr>
            </w:pPr>
          </w:p>
        </w:tc>
        <w:tc>
          <w:tcPr>
            <w:tcW w:w="660" w:type="dxa"/>
            <w:vAlign w:val="bottom"/>
            <w:tcBorders>
              <w:right w:val="single" w:sz="8" w:color="auto"/>
            </w:tcBorders>
            <w:gridSpan w:val="22"/>
            <w:vMerge w:val="restart"/>
          </w:tcPr>
          <w:p>
            <w:pPr>
              <w:ind w:left="60"/>
              <w:spacing w:after="0"/>
              <w:rPr>
                <w:rFonts w:ascii="Arial" w:cs="Arial" w:eastAsia="Arial" w:hAnsi="Arial"/>
                <w:sz w:val="18"/>
                <w:szCs w:val="18"/>
                <w:color w:val="0000FF"/>
              </w:rPr>
            </w:pPr>
            <w:hyperlink w:anchor="page128">
              <w:r>
                <w:rPr>
                  <w:rFonts w:ascii="Arial" w:cs="Arial" w:eastAsia="Arial" w:hAnsi="Arial"/>
                  <w:sz w:val="18"/>
                  <w:szCs w:val="18"/>
                  <w:color w:val="0000FF"/>
                </w:rPr>
                <w:t>(for</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00" w:type="dxa"/>
            <w:vAlign w:val="bottom"/>
            <w:gridSpan w:val="9"/>
          </w:tcPr>
          <w:p>
            <w:pPr>
              <w:spacing w:after="0" w:line="156" w:lineRule="exact"/>
              <w:rPr>
                <w:rFonts w:ascii="Arial" w:cs="Arial" w:eastAsia="Arial" w:hAnsi="Arial"/>
                <w:sz w:val="18"/>
                <w:szCs w:val="18"/>
                <w:color w:val="0000FF"/>
                <w:w w:val="87"/>
              </w:rPr>
            </w:pPr>
            <w:hyperlink w:anchor="page128">
              <w:r>
                <w:rPr>
                  <w:rFonts w:ascii="Arial" w:cs="Arial" w:eastAsia="Arial" w:hAnsi="Arial"/>
                  <w:sz w:val="18"/>
                  <w:szCs w:val="18"/>
                  <w:color w:val="0000FF"/>
                  <w:w w:val="87"/>
                </w:rPr>
                <w:t>Incentive Plan, as amended and restated May 17, 2017</w:t>
              </w:r>
            </w:hyperlink>
          </w:p>
        </w:tc>
        <w:tc>
          <w:tcPr>
            <w:tcW w:w="660" w:type="dxa"/>
            <w:vAlign w:val="bottom"/>
            <w:tcBorders>
              <w:right w:val="single" w:sz="8" w:color="auto"/>
            </w:tcBorders>
            <w:gridSpan w:val="22"/>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special grants made to certain merchandising and planning</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28">
              <w:r>
                <w:rPr>
                  <w:rFonts w:ascii="Arial" w:cs="Arial" w:eastAsia="Arial" w:hAnsi="Arial"/>
                  <w:sz w:val="18"/>
                  <w:szCs w:val="18"/>
                  <w:color w:val="0000FF"/>
                </w:rPr>
                <w:t>associates).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10.62+†</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3"/>
              </w:rPr>
            </w:pPr>
            <w:hyperlink w:anchor="page139">
              <w:r>
                <w:rPr>
                  <w:rFonts w:ascii="Arial" w:cs="Arial" w:eastAsia="Arial" w:hAnsi="Arial"/>
                  <w:sz w:val="18"/>
                  <w:szCs w:val="18"/>
                  <w:color w:val="0000FF"/>
                  <w:w w:val="93"/>
                </w:rPr>
                <w:t>Form of Stock Option Award Notice and Agreement between</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w:anchor="page139">
              <w:r>
                <w:rPr>
                  <w:rFonts w:ascii="Arial" w:cs="Arial" w:eastAsia="Arial" w:hAnsi="Arial"/>
                  <w:sz w:val="18"/>
                  <w:szCs w:val="18"/>
                  <w:color w:val="0000FF"/>
                  <w:w w:val="95"/>
                </w:rPr>
                <w:t>Burlington Stores, Inc. and award recipients pursuant to the</w:t>
              </w:r>
            </w:hyperlink>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w:anchor="page139">
              <w:r>
                <w:rPr>
                  <w:rFonts w:ascii="Arial" w:cs="Arial" w:eastAsia="Arial" w:hAnsi="Arial"/>
                  <w:sz w:val="18"/>
                  <w:szCs w:val="18"/>
                  <w:color w:val="0000FF"/>
                  <w:w w:val="97"/>
                </w:rPr>
                <w:t>Burlington Stores, Inc. 2013 Omnibus Incentive Plan,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w:anchor="page139">
              <w:r>
                <w:rPr>
                  <w:rFonts w:ascii="Arial" w:cs="Arial" w:eastAsia="Arial" w:hAnsi="Arial"/>
                  <w:sz w:val="18"/>
                  <w:szCs w:val="18"/>
                  <w:color w:val="0000FF"/>
                  <w:w w:val="92"/>
                </w:rPr>
                <w:t>amended and restated May 17, 2017 (for special grants</w:t>
              </w:r>
            </w:hyperlink>
          </w:p>
        </w:tc>
        <w:tc>
          <w:tcPr>
            <w:tcW w:w="460" w:type="dxa"/>
            <w:vAlign w:val="bottom"/>
            <w:tcBorders>
              <w:right w:val="single" w:sz="8" w:color="auto"/>
            </w:tcBorders>
            <w:gridSpan w:val="19"/>
          </w:tcPr>
          <w:p>
            <w:pPr>
              <w:spacing w:after="0" w:line="156" w:lineRule="exact"/>
              <w:rPr>
                <w:rFonts w:ascii="Arial" w:cs="Arial" w:eastAsia="Arial" w:hAnsi="Arial"/>
                <w:sz w:val="18"/>
                <w:szCs w:val="18"/>
                <w:color w:val="0000FF"/>
                <w:w w:val="93"/>
              </w:rPr>
            </w:pPr>
            <w:hyperlink w:anchor="page139">
              <w:r>
                <w:rPr>
                  <w:rFonts w:ascii="Arial" w:cs="Arial" w:eastAsia="Arial" w:hAnsi="Arial"/>
                  <w:sz w:val="18"/>
                  <w:szCs w:val="18"/>
                  <w:color w:val="0000FF"/>
                  <w:w w:val="93"/>
                </w:rPr>
                <w:t>made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39">
              <w:r>
                <w:rPr>
                  <w:rFonts w:ascii="Arial" w:cs="Arial" w:eastAsia="Arial" w:hAnsi="Arial"/>
                  <w:sz w:val="18"/>
                  <w:szCs w:val="18"/>
                  <w:color w:val="0000FF"/>
                </w:rPr>
                <w:t>to certain merchandising and planning associates).</w:t>
              </w:r>
            </w:hyperlink>
          </w:p>
        </w:tc>
        <w:tc>
          <w:tcPr>
            <w:tcW w:w="4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21.1†</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w:anchor="page151">
              <w:r>
                <w:rPr>
                  <w:rFonts w:ascii="Arial" w:cs="Arial" w:eastAsia="Arial" w:hAnsi="Arial"/>
                  <w:sz w:val="18"/>
                  <w:szCs w:val="18"/>
                  <w:color w:val="0000FF"/>
                </w:rPr>
                <w:t>List of Subsidiaries of Burlington Stores, Inc.</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23.1†</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w:anchor="page152">
              <w:r>
                <w:rPr>
                  <w:rFonts w:ascii="Arial" w:cs="Arial" w:eastAsia="Arial" w:hAnsi="Arial"/>
                  <w:sz w:val="18"/>
                  <w:szCs w:val="18"/>
                  <w:color w:val="0000FF"/>
                </w:rPr>
                <w:t>Consent of Deloitte &amp; Touche LLP.</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6"/>
              </w:rPr>
            </w:pPr>
            <w:hyperlink w:anchor="page153">
              <w:r>
                <w:rPr>
                  <w:rFonts w:ascii="Arial" w:cs="Arial" w:eastAsia="Arial" w:hAnsi="Arial"/>
                  <w:sz w:val="18"/>
                  <w:szCs w:val="18"/>
                  <w:color w:val="0000FF"/>
                  <w:w w:val="96"/>
                </w:rPr>
                <w:t>Certification of Principal Executive Officer required by Rule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w:anchor="page153">
              <w:r>
                <w:rPr>
                  <w:rFonts w:ascii="Arial" w:cs="Arial" w:eastAsia="Arial" w:hAnsi="Arial"/>
                  <w:sz w:val="18"/>
                  <w:szCs w:val="18"/>
                  <w:color w:val="0000FF"/>
                  <w:w w:val="91"/>
                </w:rPr>
                <w:t>13a-14(a) or Rule 15d-14(a) of the Securities Exchange Act</w:t>
              </w:r>
            </w:hyperlink>
          </w:p>
        </w:tc>
        <w:tc>
          <w:tcPr>
            <w:tcW w:w="80" w:type="dxa"/>
            <w:vAlign w:val="bottom"/>
            <w:tcBorders>
              <w:top w:val="single" w:sz="8" w:color="0000FF"/>
            </w:tcBorders>
            <w:gridSpan w:val="4"/>
          </w:tcPr>
          <w:p>
            <w:pPr>
              <w:spacing w:after="0"/>
              <w:rPr>
                <w:sz w:val="13"/>
                <w:szCs w:val="13"/>
                <w:color w:val="auto"/>
              </w:rPr>
            </w:pPr>
          </w:p>
        </w:tc>
        <w:tc>
          <w:tcPr>
            <w:tcW w:w="100" w:type="dxa"/>
            <w:vAlign w:val="bottom"/>
            <w:tcBorders>
              <w:right w:val="single" w:sz="8" w:color="auto"/>
            </w:tcBorders>
            <w:gridSpan w:val="4"/>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Borders>
              <w:bottom w:val="single" w:sz="8" w:color="0000FF"/>
            </w:tcBorders>
            <w:gridSpan w:val="24"/>
          </w:tcPr>
          <w:p>
            <w:pPr>
              <w:spacing w:after="0" w:line="156" w:lineRule="exact"/>
              <w:rPr>
                <w:rFonts w:ascii="Arial" w:cs="Arial" w:eastAsia="Arial" w:hAnsi="Arial"/>
                <w:sz w:val="18"/>
                <w:szCs w:val="18"/>
                <w:color w:val="0000FF"/>
                <w:w w:val="88"/>
              </w:rPr>
            </w:pPr>
            <w:hyperlink w:anchor="page153">
              <w:r>
                <w:rPr>
                  <w:rFonts w:ascii="Arial" w:cs="Arial" w:eastAsia="Arial" w:hAnsi="Arial"/>
                  <w:sz w:val="18"/>
                  <w:szCs w:val="18"/>
                  <w:color w:val="0000FF"/>
                  <w:w w:val="88"/>
                </w:rPr>
                <w:t>of 1934, as adopted pursuant to Section 302 of the Sarbanes-</w:t>
              </w:r>
            </w:hyperlink>
          </w:p>
        </w:tc>
        <w:tc>
          <w:tcPr>
            <w:tcW w:w="16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gridSpan w:val="24"/>
          </w:tcPr>
          <w:p>
            <w:pPr>
              <w:spacing w:after="0" w:line="156" w:lineRule="exact"/>
              <w:rPr>
                <w:rFonts w:ascii="Arial" w:cs="Arial" w:eastAsia="Arial" w:hAnsi="Arial"/>
                <w:sz w:val="18"/>
                <w:szCs w:val="18"/>
                <w:color w:val="0000FF"/>
              </w:rPr>
            </w:pPr>
            <w:hyperlink w:anchor="page153">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c>
          <w:tcPr>
            <w:tcW w:w="140" w:type="dxa"/>
            <w:vAlign w:val="bottom"/>
            <w:tcBorders>
              <w:right w:val="single" w:sz="8" w:color="auto"/>
            </w:tcBorders>
            <w:gridSpan w:val="6"/>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w w:val="98"/>
              </w:rPr>
            </w:pPr>
            <w:hyperlink w:anchor="page154">
              <w:r>
                <w:rPr>
                  <w:rFonts w:ascii="Arial" w:cs="Arial" w:eastAsia="Arial" w:hAnsi="Arial"/>
                  <w:sz w:val="18"/>
                  <w:szCs w:val="18"/>
                  <w:color w:val="0000FF"/>
                  <w:w w:val="98"/>
                </w:rPr>
                <w:t>Certification of Principal Financial Officer required by Rule</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w:anchor="page154">
              <w:r>
                <w:rPr>
                  <w:rFonts w:ascii="Arial" w:cs="Arial" w:eastAsia="Arial" w:hAnsi="Arial"/>
                  <w:sz w:val="18"/>
                  <w:szCs w:val="18"/>
                  <w:color w:val="0000FF"/>
                  <w:w w:val="91"/>
                </w:rPr>
                <w:t>13a-14(a) or Rule 15d-14(a) of the Securities Exchange Act</w:t>
              </w:r>
            </w:hyperlink>
          </w:p>
        </w:tc>
        <w:tc>
          <w:tcPr>
            <w:tcW w:w="40" w:type="dxa"/>
            <w:vAlign w:val="bottom"/>
            <w:tcBorders>
              <w:top w:val="single" w:sz="8" w:color="0000FF"/>
            </w:tcBorders>
            <w:gridSpan w:val="2"/>
          </w:tcPr>
          <w:p>
            <w:pPr>
              <w:spacing w:after="0"/>
              <w:rPr>
                <w:sz w:val="13"/>
                <w:szCs w:val="13"/>
                <w:color w:val="auto"/>
              </w:rPr>
            </w:pPr>
          </w:p>
        </w:tc>
        <w:tc>
          <w:tcPr>
            <w:tcW w:w="140" w:type="dxa"/>
            <w:vAlign w:val="bottom"/>
            <w:tcBorders>
              <w:right w:val="single" w:sz="8" w:color="auto"/>
            </w:tcBorders>
            <w:gridSpan w:val="6"/>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Borders>
              <w:bottom w:val="single" w:sz="8" w:color="0000FF"/>
            </w:tcBorders>
            <w:gridSpan w:val="24"/>
          </w:tcPr>
          <w:p>
            <w:pPr>
              <w:spacing w:after="0" w:line="156" w:lineRule="exact"/>
              <w:rPr>
                <w:rFonts w:ascii="Arial" w:cs="Arial" w:eastAsia="Arial" w:hAnsi="Arial"/>
                <w:sz w:val="18"/>
                <w:szCs w:val="18"/>
                <w:color w:val="0000FF"/>
                <w:w w:val="88"/>
              </w:rPr>
            </w:pPr>
            <w:hyperlink w:anchor="page154">
              <w:r>
                <w:rPr>
                  <w:rFonts w:ascii="Arial" w:cs="Arial" w:eastAsia="Arial" w:hAnsi="Arial"/>
                  <w:sz w:val="18"/>
                  <w:szCs w:val="18"/>
                  <w:color w:val="0000FF"/>
                  <w:w w:val="88"/>
                </w:rPr>
                <w:t>of 1934, as adopted pursuant to Section 302 of the Sarbanes-</w:t>
              </w:r>
            </w:hyperlink>
          </w:p>
        </w:tc>
        <w:tc>
          <w:tcPr>
            <w:tcW w:w="16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gridSpan w:val="24"/>
          </w:tcPr>
          <w:p>
            <w:pPr>
              <w:spacing w:after="0" w:line="156" w:lineRule="exact"/>
              <w:rPr>
                <w:rFonts w:ascii="Arial" w:cs="Arial" w:eastAsia="Arial" w:hAnsi="Arial"/>
                <w:sz w:val="18"/>
                <w:szCs w:val="18"/>
                <w:color w:val="0000FF"/>
              </w:rPr>
            </w:pPr>
            <w:hyperlink w:anchor="page154">
              <w:r>
                <w:rPr>
                  <w:rFonts w:ascii="Arial" w:cs="Arial" w:eastAsia="Arial" w:hAnsi="Arial"/>
                  <w:sz w:val="18"/>
                  <w:szCs w:val="18"/>
                  <w:color w:val="0000FF"/>
                </w:rPr>
                <w:t>Oxley Act of 2002.</w:t>
              </w:r>
            </w:hyperlink>
          </w:p>
        </w:tc>
        <w:tc>
          <w:tcPr>
            <w:tcW w:w="160" w:type="dxa"/>
            <w:vAlign w:val="bottom"/>
            <w:tcBorders>
              <w:right w:val="single" w:sz="8" w:color="auto"/>
            </w:tcBorders>
            <w:gridSpan w:val="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w:anchor="page155">
              <w:r>
                <w:rPr>
                  <w:rFonts w:ascii="Arial" w:cs="Arial" w:eastAsia="Arial" w:hAnsi="Arial"/>
                  <w:sz w:val="18"/>
                  <w:szCs w:val="18"/>
                  <w:color w:val="0000FF"/>
                </w:rPr>
                <w:t>Certification of Principal Executive Officer pursuant to 18</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2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w:anchor="page155">
              <w:r>
                <w:rPr>
                  <w:rFonts w:ascii="Arial" w:cs="Arial" w:eastAsia="Arial" w:hAnsi="Arial"/>
                  <w:sz w:val="18"/>
                  <w:szCs w:val="18"/>
                  <w:color w:val="0000FF"/>
                  <w:w w:val="94"/>
                </w:rPr>
                <w:t>U.S.C. 1350, as adopted pursuant to Section 906 of the</w:t>
              </w:r>
            </w:hyperlink>
          </w:p>
        </w:tc>
        <w:tc>
          <w:tcPr>
            <w:tcW w:w="340" w:type="dxa"/>
            <w:vAlign w:val="bottom"/>
            <w:tcBorders>
              <w:right w:val="single" w:sz="8" w:color="auto"/>
            </w:tcBorders>
            <w:gridSpan w:val="16"/>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55">
              <w:r>
                <w:rPr>
                  <w:rFonts w:ascii="Arial" w:cs="Arial" w:eastAsia="Arial" w:hAnsi="Arial"/>
                  <w:sz w:val="18"/>
                  <w:szCs w:val="18"/>
                  <w:color w:val="0000FF"/>
                </w:rPr>
                <w:t>Sarbanes-Oxley Act of 2002.</w:t>
              </w:r>
            </w:hyperlink>
          </w:p>
        </w:tc>
        <w:tc>
          <w:tcPr>
            <w:tcW w:w="220" w:type="dxa"/>
            <w:vAlign w:val="bottom"/>
            <w:gridSpan w:val="4"/>
          </w:tcPr>
          <w:p>
            <w:pPr>
              <w:spacing w:after="0"/>
              <w:rPr>
                <w:sz w:val="13"/>
                <w:szCs w:val="13"/>
                <w:color w:val="auto"/>
              </w:rPr>
            </w:pPr>
          </w:p>
        </w:tc>
        <w:tc>
          <w:tcPr>
            <w:tcW w:w="360" w:type="dxa"/>
            <w:vAlign w:val="bottom"/>
            <w:tcBorders>
              <w:right w:val="single" w:sz="8" w:color="auto"/>
            </w:tcBorders>
            <w:gridSpan w:val="1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3"/>
                <w:szCs w:val="13"/>
                <w:color w:val="auto"/>
              </w:rPr>
            </w:pPr>
          </w:p>
        </w:tc>
        <w:tc>
          <w:tcPr>
            <w:tcW w:w="4560" w:type="dxa"/>
            <w:vAlign w:val="bottom"/>
            <w:tcBorders>
              <w:right w:val="single" w:sz="8" w:color="auto"/>
            </w:tcBorders>
            <w:gridSpan w:val="31"/>
          </w:tcPr>
          <w:p>
            <w:pPr>
              <w:spacing w:after="0" w:line="156" w:lineRule="exact"/>
              <w:rPr>
                <w:rFonts w:ascii="Arial" w:cs="Arial" w:eastAsia="Arial" w:hAnsi="Arial"/>
                <w:sz w:val="18"/>
                <w:szCs w:val="18"/>
                <w:color w:val="0000FF"/>
              </w:rPr>
            </w:pPr>
            <w:hyperlink w:anchor="page156">
              <w:r>
                <w:rPr>
                  <w:rFonts w:ascii="Arial" w:cs="Arial" w:eastAsia="Arial" w:hAnsi="Arial"/>
                  <w:sz w:val="18"/>
                  <w:szCs w:val="18"/>
                  <w:color w:val="0000FF"/>
                </w:rPr>
                <w:t>Certification of Principal Financial Officer pursuant to 18</w:t>
              </w:r>
            </w:hyperlink>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w:anchor="page156">
              <w:r>
                <w:rPr>
                  <w:rFonts w:ascii="Arial" w:cs="Arial" w:eastAsia="Arial" w:hAnsi="Arial"/>
                  <w:sz w:val="18"/>
                  <w:szCs w:val="18"/>
                  <w:color w:val="0000FF"/>
                  <w:w w:val="94"/>
                </w:rPr>
                <w:t>U.S.C. 1350, as adopted pursuant to Section 906 of the</w:t>
              </w:r>
            </w:hyperlink>
          </w:p>
        </w:tc>
        <w:tc>
          <w:tcPr>
            <w:tcW w:w="360" w:type="dxa"/>
            <w:vAlign w:val="bottom"/>
            <w:tcBorders>
              <w:right w:val="single" w:sz="8" w:color="auto"/>
            </w:tcBorders>
            <w:gridSpan w:val="17"/>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56">
              <w:r>
                <w:rPr>
                  <w:rFonts w:ascii="Arial" w:cs="Arial" w:eastAsia="Arial" w:hAnsi="Arial"/>
                  <w:sz w:val="18"/>
                  <w:szCs w:val="18"/>
                  <w:color w:val="0000FF"/>
                </w:rPr>
                <w:t>Sarbanes-Oxley Act of 2002.</w:t>
              </w:r>
            </w:hyperlink>
          </w:p>
        </w:tc>
        <w:tc>
          <w:tcPr>
            <w:tcW w:w="580" w:type="dxa"/>
            <w:vAlign w:val="bottom"/>
            <w:tcBorders>
              <w:right w:val="single" w:sz="8" w:color="auto"/>
            </w:tcBorders>
            <w:gridSpan w:val="21"/>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101.INS†</w:t>
            </w:r>
          </w:p>
        </w:tc>
        <w:tc>
          <w:tcPr>
            <w:tcW w:w="80" w:type="dxa"/>
            <w:vAlign w:val="bottom"/>
          </w:tcPr>
          <w:p>
            <w:pPr>
              <w:spacing w:after="0"/>
              <w:rPr>
                <w:sz w:val="12"/>
                <w:szCs w:val="12"/>
                <w:color w:val="auto"/>
              </w:rPr>
            </w:pPr>
          </w:p>
        </w:tc>
        <w:tc>
          <w:tcPr>
            <w:tcW w:w="4560" w:type="dxa"/>
            <w:vAlign w:val="bottom"/>
            <w:tcBorders>
              <w:right w:val="single" w:sz="8" w:color="auto"/>
            </w:tcBorders>
            <w:gridSpan w:val="31"/>
          </w:tcPr>
          <w:p>
            <w:pPr>
              <w:spacing w:after="0" w:line="142" w:lineRule="exact"/>
              <w:rPr>
                <w:sz w:val="20"/>
                <w:szCs w:val="20"/>
                <w:color w:val="auto"/>
              </w:rPr>
            </w:pPr>
            <w:r>
              <w:rPr>
                <w:rFonts w:ascii="Arial" w:cs="Arial" w:eastAsia="Arial" w:hAnsi="Arial"/>
                <w:sz w:val="16"/>
                <w:szCs w:val="16"/>
                <w:color w:val="auto"/>
              </w:rPr>
              <w:t>Inline XBRL Instance Document – the instance document</w:t>
            </w:r>
          </w:p>
        </w:tc>
        <w:tc>
          <w:tcPr>
            <w:tcW w:w="22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560" w:type="dxa"/>
            <w:vAlign w:val="bottom"/>
            <w:tcBorders>
              <w:right w:val="single" w:sz="8" w:color="auto"/>
            </w:tcBorders>
            <w:gridSpan w:val="31"/>
          </w:tcPr>
          <w:p>
            <w:pPr>
              <w:spacing w:after="0" w:line="176" w:lineRule="exact"/>
              <w:rPr>
                <w:sz w:val="20"/>
                <w:szCs w:val="20"/>
                <w:color w:val="auto"/>
              </w:rPr>
            </w:pPr>
            <w:r>
              <w:rPr>
                <w:rFonts w:ascii="Arial" w:cs="Arial" w:eastAsia="Arial" w:hAnsi="Arial"/>
                <w:sz w:val="18"/>
                <w:szCs w:val="18"/>
                <w:color w:val="auto"/>
                <w:w w:val="96"/>
              </w:rPr>
              <w:t>does not appear in Interactive Data File, because its XBRL</w:t>
            </w:r>
          </w:p>
        </w:tc>
        <w:tc>
          <w:tcPr>
            <w:tcW w:w="22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560" w:type="dxa"/>
            <w:vAlign w:val="bottom"/>
            <w:tcBorders>
              <w:bottom w:val="single" w:sz="8" w:color="auto"/>
              <w:right w:val="single" w:sz="8" w:color="auto"/>
            </w:tcBorders>
            <w:gridSpan w:val="31"/>
          </w:tcPr>
          <w:p>
            <w:pPr>
              <w:spacing w:after="0"/>
              <w:rPr>
                <w:sz w:val="20"/>
                <w:szCs w:val="20"/>
                <w:color w:val="auto"/>
              </w:rPr>
            </w:pPr>
            <w:r>
              <w:rPr>
                <w:rFonts w:ascii="Arial" w:cs="Arial" w:eastAsia="Arial" w:hAnsi="Arial"/>
                <w:sz w:val="18"/>
                <w:szCs w:val="18"/>
                <w:color w:val="auto"/>
              </w:rPr>
              <w:t>tags are embedded within the Inline XBRL document.</w:t>
            </w:r>
          </w:p>
        </w:tc>
        <w:tc>
          <w:tcPr>
            <w:tcW w:w="22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Borders>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101.SCH†</w:t>
            </w:r>
          </w:p>
        </w:tc>
        <w:tc>
          <w:tcPr>
            <w:tcW w:w="80" w:type="dxa"/>
            <w:vAlign w:val="bottom"/>
            <w:tcBorders>
              <w:bottom w:val="single" w:sz="8" w:color="auto"/>
            </w:tcBorders>
          </w:tcPr>
          <w:p>
            <w:pPr>
              <w:spacing w:after="0"/>
              <w:rPr>
                <w:sz w:val="17"/>
                <w:szCs w:val="17"/>
                <w:color w:val="auto"/>
              </w:rPr>
            </w:pPr>
          </w:p>
        </w:tc>
        <w:tc>
          <w:tcPr>
            <w:tcW w:w="4560" w:type="dxa"/>
            <w:vAlign w:val="bottom"/>
            <w:tcBorders>
              <w:bottom w:val="single" w:sz="8" w:color="auto"/>
              <w:right w:val="single" w:sz="8" w:color="auto"/>
            </w:tcBorders>
            <w:gridSpan w:val="31"/>
          </w:tcPr>
          <w:p>
            <w:pPr>
              <w:spacing w:after="0" w:line="196" w:lineRule="exact"/>
              <w:rPr>
                <w:sz w:val="20"/>
                <w:szCs w:val="20"/>
                <w:color w:val="auto"/>
              </w:rPr>
            </w:pPr>
            <w:r>
              <w:rPr>
                <w:rFonts w:ascii="Arial" w:cs="Arial" w:eastAsia="Arial" w:hAnsi="Arial"/>
                <w:sz w:val="18"/>
                <w:szCs w:val="18"/>
                <w:color w:val="auto"/>
              </w:rPr>
              <w:t>Inline XBRL Taxonomy Extension Schema Document</w:t>
            </w:r>
          </w:p>
        </w:tc>
        <w:tc>
          <w:tcPr>
            <w:tcW w:w="22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101.CAL†</w:t>
            </w:r>
          </w:p>
        </w:tc>
        <w:tc>
          <w:tcPr>
            <w:tcW w:w="80" w:type="dxa"/>
            <w:vAlign w:val="bottom"/>
            <w:tcBorders>
              <w:bottom w:val="single" w:sz="8" w:color="auto"/>
            </w:tcBorders>
          </w:tcPr>
          <w:p>
            <w:pPr>
              <w:spacing w:after="0"/>
              <w:rPr>
                <w:sz w:val="17"/>
                <w:szCs w:val="17"/>
                <w:color w:val="auto"/>
              </w:rPr>
            </w:pPr>
          </w:p>
        </w:tc>
        <w:tc>
          <w:tcPr>
            <w:tcW w:w="4560" w:type="dxa"/>
            <w:vAlign w:val="bottom"/>
            <w:tcBorders>
              <w:bottom w:val="single" w:sz="8" w:color="auto"/>
              <w:right w:val="single" w:sz="8" w:color="auto"/>
            </w:tcBorders>
            <w:gridSpan w:val="31"/>
          </w:tcPr>
          <w:p>
            <w:pPr>
              <w:spacing w:after="0" w:line="196" w:lineRule="exact"/>
              <w:rPr>
                <w:sz w:val="20"/>
                <w:szCs w:val="20"/>
                <w:color w:val="auto"/>
              </w:rPr>
            </w:pPr>
            <w:r>
              <w:rPr>
                <w:rFonts w:ascii="Arial" w:cs="Arial" w:eastAsia="Arial" w:hAnsi="Arial"/>
                <w:sz w:val="18"/>
                <w:szCs w:val="18"/>
                <w:color w:val="auto"/>
                <w:w w:val="95"/>
              </w:rPr>
              <w:t>Inline Taxonomy Extension Calculation Linkbase Document</w:t>
            </w:r>
          </w:p>
        </w:tc>
        <w:tc>
          <w:tcPr>
            <w:tcW w:w="22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gridSpan w:val="8"/>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2" w:name="page103"/>
    <w:bookmarkEnd w:id="102"/>
    <w:tbl>
      <w:tblPr>
        <w:tblLayout w:type="fixed"/>
        <w:tblInd w:w="750" w:type="dxa"/>
        <w:tblCellMar>
          <w:top w:w="0" w:type="dxa"/>
          <w:left w:w="0" w:type="dxa"/>
          <w:bottom w:w="0" w:type="dxa"/>
          <w:right w:w="0" w:type="dxa"/>
        </w:tblCellMar>
      </w:tblPr>
      <w:tr>
        <w:trPr>
          <w:trHeight w:val="179"/>
        </w:trPr>
        <w:tc>
          <w:tcPr>
            <w:tcW w:w="1480" w:type="dxa"/>
            <w:vAlign w:val="bottom"/>
            <w:tcBorders>
              <w:top w:val="single" w:sz="8" w:color="auto"/>
              <w:left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101.DEF†</w:t>
            </w:r>
          </w:p>
        </w:tc>
        <w:tc>
          <w:tcPr>
            <w:tcW w:w="4640" w:type="dxa"/>
            <w:vAlign w:val="bottom"/>
            <w:tcBorders>
              <w:top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Inline XBRL Taxonomy Extension Definition Linkbase</w:t>
            </w:r>
          </w:p>
        </w:tc>
        <w:tc>
          <w:tcPr>
            <w:tcW w:w="222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spacing w:after="0"/>
              <w:rPr>
                <w:sz w:val="15"/>
                <w:szCs w:val="15"/>
                <w:color w:val="auto"/>
              </w:rPr>
            </w:pP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Document</w:t>
            </w:r>
          </w:p>
        </w:tc>
        <w:tc>
          <w:tcPr>
            <w:tcW w:w="22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r>
      <w:tr>
        <w:trPr>
          <w:trHeight w:val="139"/>
        </w:trPr>
        <w:tc>
          <w:tcPr>
            <w:tcW w:w="1480" w:type="dxa"/>
            <w:vAlign w:val="bottom"/>
            <w:tcBorders>
              <w:left w:val="single" w:sz="8" w:color="auto"/>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101.LAB†</w:t>
            </w:r>
          </w:p>
        </w:tc>
        <w:tc>
          <w:tcPr>
            <w:tcW w:w="4640" w:type="dxa"/>
            <w:vAlign w:val="bottom"/>
            <w:tcBorders>
              <w:right w:val="single" w:sz="8" w:color="auto"/>
            </w:tcBorders>
          </w:tcPr>
          <w:p>
            <w:pPr>
              <w:ind w:left="60"/>
              <w:spacing w:after="0" w:line="138" w:lineRule="exact"/>
              <w:rPr>
                <w:sz w:val="20"/>
                <w:szCs w:val="20"/>
                <w:color w:val="auto"/>
              </w:rPr>
            </w:pPr>
            <w:r>
              <w:rPr>
                <w:rFonts w:ascii="Arial" w:cs="Arial" w:eastAsia="Arial" w:hAnsi="Arial"/>
                <w:sz w:val="16"/>
                <w:szCs w:val="16"/>
                <w:color w:val="auto"/>
              </w:rPr>
              <w:t>Inline XBRL Taxonomy Extension Label Linkbase</w:t>
            </w:r>
          </w:p>
        </w:tc>
        <w:tc>
          <w:tcPr>
            <w:tcW w:w="22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Document</w:t>
            </w:r>
          </w:p>
        </w:tc>
        <w:tc>
          <w:tcPr>
            <w:tcW w:w="22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155"/>
        </w:trPr>
        <w:tc>
          <w:tcPr>
            <w:tcW w:w="148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101.PRE†</w:t>
            </w:r>
          </w:p>
        </w:tc>
        <w:tc>
          <w:tcPr>
            <w:tcW w:w="46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Inline XBRL Taxonomy Extension Presentation Linkbase</w:t>
            </w: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Document</w:t>
            </w:r>
          </w:p>
        </w:tc>
        <w:tc>
          <w:tcPr>
            <w:tcW w:w="22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156"/>
        </w:trPr>
        <w:tc>
          <w:tcPr>
            <w:tcW w:w="148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104†</w:t>
            </w:r>
          </w:p>
        </w:tc>
        <w:tc>
          <w:tcPr>
            <w:tcW w:w="464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w w:val="96"/>
              </w:rPr>
              <w:t>Cover Page Interactive Data File (formatted as inline XBRL</w:t>
            </w:r>
          </w:p>
        </w:tc>
        <w:tc>
          <w:tcPr>
            <w:tcW w:w="222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and contained in Exhibit 101)</w:t>
            </w:r>
          </w:p>
        </w:tc>
        <w:tc>
          <w:tcPr>
            <w:tcW w:w="22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1120" w:hanging="363"/>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1912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19" w:right="10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BURLINGTON STORES, INC.</w:t>
      </w:r>
    </w:p>
    <w:p>
      <w:pPr>
        <w:spacing w:after="0" w:line="243" w:lineRule="exact"/>
        <w:rPr>
          <w:sz w:val="20"/>
          <w:szCs w:val="20"/>
          <w:color w:val="auto"/>
        </w:rPr>
      </w:pPr>
    </w:p>
    <w:p>
      <w:pPr>
        <w:ind w:left="20"/>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6350</wp:posOffset>
            </wp:positionV>
            <wp:extent cx="24771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jc w:val="center"/>
        <w:ind w:right="6160"/>
        <w:spacing w:after="0" w:line="232" w:lineRule="auto"/>
        <w:rPr>
          <w:sz w:val="20"/>
          <w:szCs w:val="20"/>
          <w:color w:val="auto"/>
        </w:rPr>
      </w:pPr>
      <w:r>
        <w:rPr>
          <w:rFonts w:ascii="Arial" w:cs="Arial" w:eastAsia="Arial" w:hAnsi="Arial"/>
          <w:sz w:val="18"/>
          <w:szCs w:val="18"/>
          <w:color w:val="auto"/>
        </w:rPr>
        <w:t>Michael O’Sullivan</w:t>
      </w:r>
    </w:p>
    <w:p>
      <w:pPr>
        <w:jc w:val="center"/>
        <w:ind w:right="6160"/>
        <w:spacing w:after="0"/>
        <w:rPr>
          <w:sz w:val="20"/>
          <w:szCs w:val="20"/>
          <w:color w:val="auto"/>
        </w:rPr>
      </w:pPr>
      <w:r>
        <w:rPr>
          <w:rFonts w:ascii="Arial" w:cs="Arial" w:eastAsia="Arial" w:hAnsi="Arial"/>
          <w:sz w:val="18"/>
          <w:szCs w:val="18"/>
          <w:b w:val="1"/>
          <w:bCs w:val="1"/>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12" w:lineRule="exact"/>
        <w:rPr>
          <w:sz w:val="20"/>
          <w:szCs w:val="20"/>
          <w:color w:val="auto"/>
        </w:rPr>
      </w:pPr>
    </w:p>
    <w:p>
      <w:pPr>
        <w:ind w:right="220" w:firstLine="509"/>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March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ind w:left="1960"/>
              <w:spacing w:after="0"/>
              <w:rPr>
                <w:sz w:val="20"/>
                <w:szCs w:val="20"/>
                <w:color w:val="auto"/>
              </w:rPr>
            </w:pPr>
            <w:r>
              <w:rPr>
                <w:rFonts w:ascii="Arial" w:cs="Arial" w:eastAsia="Arial" w:hAnsi="Arial"/>
                <w:sz w:val="14"/>
                <w:szCs w:val="14"/>
                <w:b w:val="1"/>
                <w:bCs w:val="1"/>
                <w:color w:val="auto"/>
              </w:rPr>
              <w:t>Signature</w:t>
            </w:r>
          </w:p>
        </w:tc>
        <w:tc>
          <w:tcPr>
            <w:tcW w:w="340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04"/>
        </w:trPr>
        <w:tc>
          <w:tcPr>
            <w:tcW w:w="1960" w:type="dxa"/>
            <w:vAlign w:val="bottom"/>
          </w:tcPr>
          <w:p>
            <w:pPr>
              <w:ind w:left="20"/>
              <w:spacing w:after="0"/>
              <w:rPr>
                <w:sz w:val="20"/>
                <w:szCs w:val="20"/>
                <w:color w:val="auto"/>
              </w:rPr>
            </w:pPr>
            <w:r>
              <w:rPr>
                <w:rFonts w:ascii="Arial" w:cs="Arial" w:eastAsia="Arial" w:hAnsi="Arial"/>
                <w:sz w:val="18"/>
                <w:szCs w:val="18"/>
                <w:color w:val="auto"/>
              </w:rPr>
              <w:t>/s/ Michael O’Sullivan</w:t>
            </w:r>
          </w:p>
        </w:tc>
        <w:tc>
          <w:tcPr>
            <w:tcW w:w="60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Chief Executive Officer and Director</w:t>
            </w:r>
          </w:p>
        </w:tc>
        <w:tc>
          <w:tcPr>
            <w:tcW w:w="28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67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Michael O’Sullivan</w:t>
            </w:r>
          </w:p>
        </w:tc>
        <w:tc>
          <w:tcPr>
            <w:tcW w:w="6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/s/ John Crimmins</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0"/>
        </w:trPr>
        <w:tc>
          <w:tcPr>
            <w:tcW w:w="1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67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John Crimmins</w:t>
            </w:r>
          </w:p>
        </w:tc>
        <w:tc>
          <w:tcPr>
            <w:tcW w:w="6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/s/ Jeffrey Laub</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40"/>
        </w:trPr>
        <w:tc>
          <w:tcPr>
            <w:tcW w:w="1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67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Jeffrey Laub</w:t>
            </w:r>
          </w:p>
        </w:tc>
        <w:tc>
          <w:tcPr>
            <w:tcW w:w="6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Ted English</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Ted English</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Goodwin</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Michael Goodwin</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Jordan Hitch</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Jordan Hitch</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 Mahoney</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John Mahoney</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William McNamara</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William McNamara</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Jessica Rodriguez</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Jessica Rodriguez</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Laura Sen</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Laura Sen</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Paul Sullivan</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Paul Sullivan</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Mary Ann Tocio</w:t>
            </w:r>
          </w:p>
        </w:tc>
        <w:tc>
          <w:tcPr>
            <w:tcW w:w="6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Mary Ann Tocio</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0" w:type="dxa"/>
            <w:vAlign w:val="bottom"/>
          </w:tcPr>
          <w:p>
            <w:pPr>
              <w:ind w:left="98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9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31645" cy="4114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3">
                      <a:extLst>
                        <a:ext uri="{28A0092B-C50C-407E-A947-70E740481C1C}"/>
                      </a:extLst>
                    </a:blip>
                    <a:srcRect/>
                    <a:stretch>
                      <a:fillRect/>
                    </a:stretch>
                  </pic:blipFill>
                  <pic:spPr bwMode="auto">
                    <a:xfrm>
                      <a:off x="0" y="0"/>
                      <a:ext cx="1731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2006 Route 130 North – Burlington, NJ 08016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Phone: (609) 387-7800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Michael Allison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I am very pleased to offer you the position of </w:t>
      </w:r>
      <w:r>
        <w:rPr>
          <w:rFonts w:ascii="Arial" w:cs="Arial" w:eastAsia="Arial" w:hAnsi="Arial"/>
          <w:sz w:val="18"/>
          <w:szCs w:val="18"/>
          <w:b w:val="1"/>
          <w:bCs w:val="1"/>
          <w:color w:val="auto"/>
        </w:rPr>
        <w:t>Executive Vice President, Human Resources/Chief Human Resources Officer</w:t>
      </w:r>
      <w:r>
        <w:rPr>
          <w:rFonts w:ascii="Arial" w:cs="Arial" w:eastAsia="Arial" w:hAnsi="Arial"/>
          <w:sz w:val="18"/>
          <w:szCs w:val="18"/>
          <w:color w:val="auto"/>
        </w:rPr>
        <w:t xml:space="preserve"> with Burlington Stores Inc., reporting directly to me. Your start date will be </w:t>
      </w:r>
      <w:r>
        <w:rPr>
          <w:rFonts w:ascii="Arial" w:cs="Arial" w:eastAsia="Arial" w:hAnsi="Arial"/>
          <w:sz w:val="18"/>
          <w:szCs w:val="18"/>
          <w:b w:val="1"/>
          <w:bCs w:val="1"/>
          <w:color w:val="auto"/>
        </w:rPr>
        <w:t>April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2021.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Your starting annual salary will be </w:t>
      </w:r>
      <w:r>
        <w:rPr>
          <w:rFonts w:ascii="Arial" w:cs="Arial" w:eastAsia="Arial" w:hAnsi="Arial"/>
          <w:sz w:val="18"/>
          <w:szCs w:val="18"/>
          <w:b w:val="1"/>
          <w:bCs w:val="1"/>
          <w:color w:val="auto"/>
        </w:rPr>
        <w:t>$625,000</w:t>
      </w:r>
      <w:r>
        <w:rPr>
          <w:rFonts w:ascii="Arial" w:cs="Arial" w:eastAsia="Arial" w:hAnsi="Arial"/>
          <w:sz w:val="18"/>
          <w:szCs w:val="18"/>
          <w:color w:val="auto"/>
        </w:rPr>
        <w:t>, which will be paid on a bi-weekly basis. You will be eligible for an annual performance based merit increase following the completion of the fiscal 2021 performance appraisal period, scheduled for May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Relocation</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the event that you relocate from your current residence to a new, non-temporary residence within 50 miles from the Company’s principal office in Florence, NJ within 12 months from the date this offer letter is signed or at such earlier time as the Company determines in its sole discretion, the Company shall pay you a relocation allowance of </w:t>
      </w:r>
      <w:r>
        <w:rPr>
          <w:rFonts w:ascii="Arial" w:cs="Arial" w:eastAsia="Arial" w:hAnsi="Arial"/>
          <w:sz w:val="18"/>
          <w:szCs w:val="18"/>
          <w:b w:val="1"/>
          <w:bCs w:val="1"/>
          <w:color w:val="auto"/>
        </w:rPr>
        <w:t>$50,000</w:t>
      </w:r>
      <w:r>
        <w:rPr>
          <w:rFonts w:ascii="Arial" w:cs="Arial" w:eastAsia="Arial" w:hAnsi="Arial"/>
          <w:sz w:val="18"/>
          <w:szCs w:val="18"/>
          <w:color w:val="auto"/>
        </w:rPr>
        <w:t>, subject to your continued employment through the date of payment and your entry into the Company’s standard payback agreement. This relocation allowance shall be subject to tax, shall not be grossed up for tax purposes and shall be in lieu of any other payment or reimbursement for the costs of relocation. The relocation allowance will be paid on the first payroll cycle following written confirmation of the relocation to a new, non-temporary residence.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 (AIP) – Corporate</w:t>
      </w:r>
    </w:p>
    <w:p>
      <w:pPr>
        <w:spacing w:after="0" w:line="1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 xml:space="preserve">You will be eligible for a target bonus of </w:t>
      </w:r>
      <w:r>
        <w:rPr>
          <w:rFonts w:ascii="Arial" w:cs="Arial" w:eastAsia="Arial" w:hAnsi="Arial"/>
          <w:sz w:val="16"/>
          <w:szCs w:val="16"/>
          <w:b w:val="1"/>
          <w:bCs w:val="1"/>
          <w:color w:val="auto"/>
        </w:rPr>
        <w:t>75%</w:t>
      </w:r>
      <w:r>
        <w:rPr>
          <w:rFonts w:ascii="Arial" w:cs="Arial" w:eastAsia="Arial" w:hAnsi="Arial"/>
          <w:sz w:val="16"/>
          <w:szCs w:val="16"/>
          <w:color w:val="auto"/>
        </w:rPr>
        <w:t xml:space="preserve"> of your base salary</w:t>
      </w:r>
      <w:r>
        <w:rPr>
          <w:rFonts w:ascii="Arial" w:cs="Arial" w:eastAsia="Arial" w:hAnsi="Arial"/>
          <w:sz w:val="16"/>
          <w:szCs w:val="16"/>
          <w:b w:val="1"/>
          <w:bCs w:val="1"/>
          <w:color w:val="auto"/>
        </w:rPr>
        <w:t>.</w:t>
      </w:r>
      <w:r>
        <w:rPr>
          <w:rFonts w:ascii="Arial" w:cs="Arial" w:eastAsia="Arial" w:hAnsi="Arial"/>
          <w:sz w:val="16"/>
          <w:szCs w:val="16"/>
          <w:color w:val="auto"/>
        </w:rPr>
        <w:t xml:space="preserve"> To participate in the AIP in a given fiscal year, (January 31, 2021 through January 2022) you must be in an eligible position by the last working day in October. Your first year’s annual bonus opportunity will be prorated based on the start date in your new role. For example, if you are in an eligible position on September 1</w:t>
      </w:r>
      <w:r>
        <w:rPr>
          <w:rFonts w:ascii="Arial" w:cs="Arial" w:eastAsia="Arial" w:hAnsi="Arial"/>
          <w:sz w:val="21"/>
          <w:szCs w:val="21"/>
          <w:color w:val="auto"/>
          <w:vertAlign w:val="superscript"/>
        </w:rPr>
        <w:t>st</w:t>
      </w:r>
      <w:r>
        <w:rPr>
          <w:rFonts w:ascii="Arial" w:cs="Arial" w:eastAsia="Arial" w:hAnsi="Arial"/>
          <w:sz w:val="16"/>
          <w:szCs w:val="16"/>
          <w:color w:val="auto"/>
        </w:rPr>
        <w:t>, your target incentive would be 153/365 (153 days from September</w:t>
      </w:r>
    </w:p>
    <w:p>
      <w:pPr>
        <w:spacing w:after="0" w:line="2" w:lineRule="exact"/>
        <w:rPr>
          <w:sz w:val="20"/>
          <w:szCs w:val="20"/>
          <w:color w:val="auto"/>
        </w:rPr>
      </w:pPr>
    </w:p>
    <w:p>
      <w:pPr>
        <w:ind w:right="20"/>
        <w:spacing w:after="0" w:line="207" w:lineRule="auto"/>
        <w:rPr>
          <w:sz w:val="20"/>
          <w:szCs w:val="20"/>
          <w:color w:val="auto"/>
        </w:rPr>
      </w:pPr>
      <w:r>
        <w:rPr>
          <w:rFonts w:ascii="Arial" w:cs="Arial" w:eastAsia="Arial" w:hAnsi="Arial"/>
          <w:sz w:val="18"/>
          <w:szCs w:val="18"/>
          <w:color w:val="auto"/>
        </w:rPr>
        <w:t>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through the end of the fiscal year). We are providing the 2020 AIP brochure for your review. You will be provided a copy of the new 2021 plan once it is published.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Incentives (LTIP)</w:t>
      </w:r>
    </w:p>
    <w:p>
      <w:pPr>
        <w:spacing w:after="0" w:line="1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 xml:space="preserve">Subject to approval, your annual equity grant at target is valued at </w:t>
      </w:r>
      <w:r>
        <w:rPr>
          <w:rFonts w:ascii="Arial" w:cs="Arial" w:eastAsia="Arial" w:hAnsi="Arial"/>
          <w:sz w:val="18"/>
          <w:szCs w:val="18"/>
          <w:b w:val="1"/>
          <w:bCs w:val="1"/>
          <w:color w:val="auto"/>
        </w:rPr>
        <w:t>$781,250</w:t>
      </w:r>
      <w:r>
        <w:rPr>
          <w:rFonts w:ascii="Arial" w:cs="Arial" w:eastAsia="Arial" w:hAnsi="Arial"/>
          <w:sz w:val="18"/>
          <w:szCs w:val="18"/>
          <w:color w:val="auto"/>
        </w:rPr>
        <w:t xml:space="preserve">, which is 125% of your annual base salary. Your first equity will be granted as of May 3, 2021, and is comprised of 50% Performance Stock Units, 25% Restricted Stock Units, and 25% Stock Options. Assuming an </w:t>
      </w:r>
      <w:r>
        <w:rPr>
          <w:rFonts w:ascii="Arial" w:cs="Arial" w:eastAsia="Arial" w:hAnsi="Arial"/>
          <w:sz w:val="18"/>
          <w:szCs w:val="18"/>
          <w:b w:val="1"/>
          <w:bCs w:val="1"/>
          <w:color w:val="auto"/>
        </w:rPr>
        <w:t>April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2021</w:t>
      </w:r>
      <w:r>
        <w:rPr>
          <w:rFonts w:ascii="Arial" w:cs="Arial" w:eastAsia="Arial" w:hAnsi="Arial"/>
          <w:sz w:val="18"/>
          <w:szCs w:val="18"/>
          <w:color w:val="auto"/>
        </w:rPr>
        <w:t xml:space="preserve"> start date, your initial, pro-rated equity grant is valued at </w:t>
      </w:r>
      <w:r>
        <w:rPr>
          <w:rFonts w:ascii="Arial" w:cs="Arial" w:eastAsia="Arial" w:hAnsi="Arial"/>
          <w:sz w:val="18"/>
          <w:szCs w:val="18"/>
          <w:b w:val="1"/>
          <w:bCs w:val="1"/>
          <w:color w:val="auto"/>
        </w:rPr>
        <w:t>$836,900.</w:t>
      </w:r>
      <w:r>
        <w:rPr>
          <w:rFonts w:ascii="Arial" w:cs="Arial" w:eastAsia="Arial" w:hAnsi="Arial"/>
          <w:sz w:val="18"/>
          <w:szCs w:val="18"/>
          <w:color w:val="auto"/>
        </w:rPr>
        <w:t xml:space="preserve"> Agreements relating to, and materials describing, your equity grant will be provided to you after your first day of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Housing</w:t>
      </w:r>
    </w:p>
    <w:p>
      <w:pPr>
        <w:spacing w:after="0" w:line="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Provided you meet the guidelines outlined in the earlier Relocation section, the Company will provide for up to six (6) months temporary living allowance in the amount of </w:t>
      </w:r>
      <w:r>
        <w:rPr>
          <w:rFonts w:ascii="Arial" w:cs="Arial" w:eastAsia="Arial" w:hAnsi="Arial"/>
          <w:sz w:val="18"/>
          <w:szCs w:val="18"/>
          <w:b w:val="1"/>
          <w:bCs w:val="1"/>
          <w:i w:val="1"/>
          <w:iCs w:val="1"/>
          <w:color w:val="auto"/>
        </w:rPr>
        <w:t>$6,175</w:t>
      </w:r>
      <w:r>
        <w:rPr>
          <w:rFonts w:ascii="Arial" w:cs="Arial" w:eastAsia="Arial" w:hAnsi="Arial"/>
          <w:sz w:val="18"/>
          <w:szCs w:val="18"/>
          <w:color w:val="auto"/>
        </w:rPr>
        <w:t xml:space="preserve"> per month, less applicable taxes. Temporary housing costs above this amount will be your responsibility. Your temporary living allowance will be paid to you on a monthly basis, subject to your continued employment with the Company as of the first day of the month to which the allowance relates.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 Program</w:t>
      </w:r>
    </w:p>
    <w:p>
      <w:pPr>
        <w:spacing w:after="0" w:line="1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xml:space="preserve">You will be eligible to participate in the Company car allowance program. The program will provide a car allowance of </w:t>
      </w:r>
      <w:r>
        <w:rPr>
          <w:rFonts w:ascii="Arial" w:cs="Arial" w:eastAsia="Arial" w:hAnsi="Arial"/>
          <w:sz w:val="18"/>
          <w:szCs w:val="18"/>
          <w:b w:val="1"/>
          <w:bCs w:val="1"/>
          <w:color w:val="auto"/>
        </w:rPr>
        <w:t>$25,000</w:t>
      </w:r>
      <w:r>
        <w:rPr>
          <w:rFonts w:ascii="Arial" w:cs="Arial" w:eastAsia="Arial" w:hAnsi="Arial"/>
          <w:sz w:val="18"/>
          <w:szCs w:val="18"/>
          <w:color w:val="auto"/>
        </w:rPr>
        <w:t xml:space="preserve"> per year, less applicable taxes, to be paid pro-rata monthly.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Vacation, Benefits, Policies, etc.</w:t>
      </w:r>
    </w:p>
    <w:p>
      <w:pPr>
        <w:spacing w:after="0" w:line="16" w:lineRule="exact"/>
        <w:rPr>
          <w:sz w:val="20"/>
          <w:szCs w:val="20"/>
          <w:color w:val="auto"/>
        </w:rPr>
      </w:pPr>
    </w:p>
    <w:p>
      <w:pPr>
        <w:ind w:right="240"/>
        <w:spacing w:after="0" w:line="215" w:lineRule="auto"/>
        <w:rPr>
          <w:sz w:val="20"/>
          <w:szCs w:val="20"/>
          <w:color w:val="auto"/>
        </w:rPr>
      </w:pPr>
      <w:r>
        <w:rPr>
          <w:rFonts w:ascii="Arial" w:cs="Arial" w:eastAsia="Arial" w:hAnsi="Arial"/>
          <w:sz w:val="18"/>
          <w:szCs w:val="18"/>
          <w:color w:val="auto"/>
        </w:rPr>
        <w:t>See attached Benefits Brochure and Executive PTO schedule to determine your eligibility. You will be eligible to participate in our Company Benefits Program the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the month following your start date. Enclosed please find documents describing these benefits. If you have any questions concerning these benefits, please contact Anna Langenhan, Vice President of Benefits, at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a member of the Company’s senior management team, you will be eligible to participate in the Company’s Executive Severance Plan.</w:t>
      </w:r>
    </w:p>
    <w:p>
      <w:pPr>
        <w:spacing w:after="0" w:line="21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a Company associate, you will be expected to abide by Company policies and procedures, and acknowledge that you will comply with the Company's associate handbook. Such policies may include, without limitation, stock ownership guidelines, clawback policies, insider trading policies and policies regarding hedging or pledging of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Once you have reviewed and accepted this offer notice, please sign, scan and email back to *** within five (5) days from the date of this letter.</w:t>
      </w:r>
    </w:p>
    <w:p>
      <w:pPr>
        <w:spacing w:after="0" w:line="210"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Michael, we believe this position offers you a unique opportunity to make a substantial impact upon the future direction and success of our Company, and we are looking forward to you joining Burlington Stores, Inc. Meanwhile, if you have any questions, please do not hesitate to contact 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Michael O’Sullivan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Cc: Joyce Manning</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Matt M. Pasch</w:t>
      </w:r>
    </w:p>
    <w:p>
      <w:pPr>
        <w:ind w:left="760"/>
        <w:spacing w:after="0"/>
        <w:rPr>
          <w:sz w:val="20"/>
          <w:szCs w:val="20"/>
          <w:color w:val="auto"/>
        </w:rPr>
      </w:pPr>
      <w:r>
        <w:rPr>
          <w:rFonts w:ascii="Arial" w:cs="Arial" w:eastAsia="Arial" w:hAnsi="Arial"/>
          <w:sz w:val="18"/>
          <w:szCs w:val="18"/>
          <w:color w:val="auto"/>
        </w:rPr>
        <w:t>Anna Langenhan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 xml:space="preserve">Agreed to and accepted by: </w:t>
      </w:r>
      <w:r>
        <w:rPr>
          <w:rFonts w:ascii="Arial" w:cs="Arial" w:eastAsia="Arial" w:hAnsi="Arial"/>
          <w:sz w:val="18"/>
          <w:szCs w:val="18"/>
          <w:u w:val="single" w:color="auto"/>
          <w:color w:val="auto"/>
        </w:rPr>
        <w:t>/s/ Michael Allison</w:t>
      </w: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 xml:space="preserve">Date Signed: </w:t>
      </w:r>
      <w:r>
        <w:rPr>
          <w:rFonts w:ascii="Arial" w:cs="Arial" w:eastAsia="Arial" w:hAnsi="Arial"/>
          <w:sz w:val="16"/>
          <w:szCs w:val="16"/>
          <w:u w:val="single" w:color="auto"/>
          <w:color w:val="auto"/>
        </w:rPr>
        <w:t>3-9-21</w:t>
      </w:r>
      <w:r>
        <w:rPr>
          <w:rFonts w:ascii="Arial" w:cs="Arial" w:eastAsia="Arial" w:hAnsi="Arial"/>
          <w:sz w:val="16"/>
          <w:szCs w:val="16"/>
          <w:color w:val="auto"/>
        </w:rPr>
        <w:t>______</w:t>
      </w:r>
    </w:p>
    <w:p>
      <w:pPr>
        <w:spacing w:after="0" w:line="356" w:lineRule="exact"/>
        <w:rPr>
          <w:sz w:val="20"/>
          <w:szCs w:val="20"/>
          <w:color w:val="auto"/>
        </w:rPr>
      </w:pPr>
    </w:p>
    <w:p>
      <w:pPr>
        <w:spacing w:after="0" w:line="292" w:lineRule="auto"/>
        <w:rPr>
          <w:sz w:val="20"/>
          <w:szCs w:val="20"/>
          <w:color w:val="auto"/>
        </w:rPr>
      </w:pPr>
      <w:r>
        <w:rPr>
          <w:rFonts w:ascii="Arial" w:cs="Arial" w:eastAsia="Arial" w:hAnsi="Arial"/>
          <w:sz w:val="14"/>
          <w:szCs w:val="14"/>
          <w:i w:val="1"/>
          <w:iCs w:val="1"/>
          <w:color w:val="auto"/>
        </w:rPr>
        <w:t>In accepting this position, you agree that, during the course of your employment with the Company, you will adhere to any valid restrictions, covenants, or confidentiality agreements, to the extent enforceable based on applicable law, which you have previously agreed upon with former employer(s), and you represent and warrant that you have disclosed the material terms of all such restrictions, covenants or agreements to the Company. You acknowledge that the Company has not, and will not, require, request, nor induce you to violate the confidential interest of any third parties, including your former employer(s).</w:t>
      </w:r>
    </w:p>
    <w:p>
      <w:pPr>
        <w:spacing w:after="0" w:line="148"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i w:val="1"/>
          <w:iCs w:val="1"/>
          <w:color w:val="auto"/>
        </w:rPr>
        <w:t>This offer is contingent upon satisfactory completion of a background check, employment verification, references, and proof of your eligibility to work in the United States. Please note that this is not a contract of employment nor a promise of employment for any specific term. Nothing in this letter can alter the “at-will” nature of your employment. As an at-will associate, both you and the Company can end the employment relationship at any time for any reason. In addition, the Company reserves the right to change or discontinue all or any part or any benefit, compensation or other plans or programs at any time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1674495</wp:posOffset>
            </wp:positionV>
            <wp:extent cx="1731645" cy="4114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2006 Route 130 North – Burlington, NJ 08016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Phone: (609) 387-7800</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Payback Agreement</w:t>
      </w:r>
    </w:p>
    <w:p>
      <w:pPr>
        <w:spacing w:after="0" w:line="21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Michael Allison</w:t>
      </w:r>
      <w:r>
        <w:rPr>
          <w:rFonts w:ascii="Arial" w:cs="Arial" w:eastAsia="Arial" w:hAnsi="Arial"/>
          <w:sz w:val="18"/>
          <w:szCs w:val="18"/>
          <w:color w:val="auto"/>
        </w:rPr>
        <w:t>, agree that should I voluntarily terminate my employment with Burlington Stores, Inc. (the Company) or a subsidiary of the Company, or should my employment with the Company be terminated for cause, to be determined in the sole discretion of the Company, at a time within the ensuing 18 month period from the date of receipt for each sign-on and/or relocation bonus within the offer letter, I will repay the Company for any sign on/relocation expenses included in my offer letter.</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will deduct this debt from final wages. If my final pay is not sufficient to meet the debt, I have 90 days from my termination date to repay this amount. If payment is not received by the due date, a collection agency will be contacted. I agree that any disputes arising under this agreement will be governed by the law of New Jersey, and I consent to have the Superior Court of New Jersey, Law Division – Burlington County, be the exclusive forum for the resolution of any and all such disputes and hereby submit to the personal jurisdiction of that court.</w:t>
      </w:r>
    </w:p>
    <w:p>
      <w:pPr>
        <w:spacing w:after="0" w:line="116" w:lineRule="exact"/>
        <w:rPr>
          <w:sz w:val="20"/>
          <w:szCs w:val="20"/>
          <w:color w:val="auto"/>
        </w:rPr>
      </w:pPr>
    </w:p>
    <w:p>
      <w:pPr>
        <w:ind w:left="60"/>
        <w:spacing w:after="0"/>
        <w:tabs>
          <w:tab w:leader="none" w:pos="4640" w:val="left"/>
        </w:tabs>
        <w:rPr>
          <w:sz w:val="20"/>
          <w:szCs w:val="20"/>
          <w:color w:val="auto"/>
        </w:rPr>
      </w:pPr>
      <w:r>
        <w:rPr>
          <w:rFonts w:ascii="Arial" w:cs="Arial" w:eastAsia="Arial" w:hAnsi="Arial"/>
          <w:sz w:val="18"/>
          <w:szCs w:val="18"/>
          <w:color w:val="auto"/>
        </w:rPr>
        <w:t xml:space="preserve">Agreed to and accepted by: </w:t>
      </w:r>
      <w:r>
        <w:rPr>
          <w:rFonts w:ascii="Arial" w:cs="Arial" w:eastAsia="Arial" w:hAnsi="Arial"/>
          <w:sz w:val="18"/>
          <w:szCs w:val="18"/>
          <w:u w:val="single" w:color="auto"/>
          <w:color w:val="auto"/>
        </w:rPr>
        <w:t>/s/ Michael Allison</w:t>
      </w:r>
      <w:r>
        <w:rPr>
          <w:rFonts w:ascii="Arial" w:cs="Arial" w:eastAsia="Arial" w:hAnsi="Arial"/>
          <w:sz w:val="18"/>
          <w:szCs w:val="18"/>
          <w:color w:val="auto"/>
        </w:rPr>
        <w:t>___________</w:t>
      </w:r>
      <w:r>
        <w:rPr>
          <w:sz w:val="20"/>
          <w:szCs w:val="20"/>
          <w:color w:val="auto"/>
        </w:rPr>
        <w:tab/>
      </w:r>
      <w:r>
        <w:rPr>
          <w:rFonts w:ascii="Arial" w:cs="Arial" w:eastAsia="Arial" w:hAnsi="Arial"/>
          <w:sz w:val="16"/>
          <w:szCs w:val="16"/>
          <w:color w:val="auto"/>
        </w:rPr>
        <w:t xml:space="preserve">Date Signed: </w:t>
      </w:r>
      <w:r>
        <w:rPr>
          <w:rFonts w:ascii="Arial" w:cs="Arial" w:eastAsia="Arial" w:hAnsi="Arial"/>
          <w:sz w:val="16"/>
          <w:szCs w:val="16"/>
          <w:u w:val="single" w:color="auto"/>
          <w:color w:val="auto"/>
        </w:rPr>
        <w:t>3-9-21</w:t>
      </w:r>
      <w:r>
        <w:rPr>
          <w:rFonts w:ascii="Arial" w:cs="Arial" w:eastAsia="Arial" w:hAnsi="Arial"/>
          <w:sz w:val="16"/>
          <w:szCs w:val="16"/>
          <w:color w:val="auto"/>
        </w:rPr>
        <w:t>___________</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10.59</w:t>
      </w: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URLINGTON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TORES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2013 O</w:t>
      </w:r>
      <w:r>
        <w:rPr>
          <w:rFonts w:ascii="Arial" w:cs="Arial" w:eastAsia="Arial" w:hAnsi="Arial"/>
          <w:sz w:val="13"/>
          <w:szCs w:val="13"/>
          <w:b w:val="1"/>
          <w:bCs w:val="1"/>
          <w:color w:val="auto"/>
        </w:rPr>
        <w:t>MNIBUS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-B</w:t>
      </w:r>
      <w:r>
        <w:rPr>
          <w:rFonts w:ascii="Arial" w:cs="Arial" w:eastAsia="Arial" w:hAnsi="Arial"/>
          <w:sz w:val="13"/>
          <w:szCs w:val="13"/>
          <w:b w:val="1"/>
          <w:bCs w:val="1"/>
          <w:color w:val="auto"/>
        </w:rPr>
        <w:t>ASED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Holder]</w:t>
      </w:r>
    </w:p>
    <w:p>
      <w:pPr>
        <w:spacing w:after="0" w:line="10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You have been awarded a performance-based restricted stock unit award with respect to shares of common stock of Burlington Stores,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the terms and conditions of the Burlington Stores, Inc. 2013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the Performance-Based Restricted Stock Unit Award Agreement (together with this Award Notice, the “</w:t>
      </w:r>
      <w:r>
        <w:rPr>
          <w:rFonts w:ascii="Arial" w:cs="Arial" w:eastAsia="Arial" w:hAnsi="Arial"/>
          <w:sz w:val="20"/>
          <w:szCs w:val="20"/>
          <w:u w:val="single" w:color="auto"/>
          <w:color w:val="auto"/>
        </w:rPr>
        <w:t>Agreement</w:t>
      </w:r>
      <w:r>
        <w:rPr>
          <w:rFonts w:ascii="Arial" w:cs="Arial" w:eastAsia="Arial" w:hAnsi="Arial"/>
          <w:sz w:val="20"/>
          <w:szCs w:val="20"/>
          <w:color w:val="auto"/>
        </w:rPr>
        <w:t>”). The Performance-Based Restricted Stock Unit Award Agreement is attached hereto. Capitalized terms not defined herein shall have the meanings specified in the Plan or the Agreement.</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gridSpan w:val="5"/>
          </w:tcPr>
          <w:p>
            <w:pPr>
              <w:spacing w:after="0"/>
              <w:rPr>
                <w:sz w:val="20"/>
                <w:szCs w:val="20"/>
                <w:color w:val="auto"/>
              </w:rPr>
            </w:pPr>
            <w:r>
              <w:rPr>
                <w:rFonts w:ascii="Arial" w:cs="Arial" w:eastAsia="Arial" w:hAnsi="Arial"/>
                <w:sz w:val="20"/>
                <w:szCs w:val="20"/>
                <w:color w:val="auto"/>
              </w:rPr>
              <w:t>Target Performance-Based</w:t>
            </w:r>
          </w:p>
        </w:tc>
        <w:tc>
          <w:tcPr>
            <w:tcW w:w="7860" w:type="dxa"/>
            <w:vAlign w:val="bottom"/>
            <w:gridSpan w:val="7"/>
          </w:tcPr>
          <w:p>
            <w:pPr>
              <w:ind w:left="20"/>
              <w:spacing w:after="0"/>
              <w:rPr>
                <w:sz w:val="20"/>
                <w:szCs w:val="20"/>
                <w:color w:val="auto"/>
              </w:rPr>
            </w:pPr>
            <w:r>
              <w:rPr>
                <w:rFonts w:ascii="Arial" w:cs="Arial" w:eastAsia="Arial" w:hAnsi="Arial"/>
                <w:sz w:val="20"/>
                <w:szCs w:val="20"/>
                <w:color w:val="auto"/>
              </w:rPr>
              <w:t>You have been awarded a performance-based restricted stock unit award</w:t>
            </w:r>
          </w:p>
        </w:tc>
      </w:tr>
      <w:tr>
        <w:trPr>
          <w:trHeight w:val="318"/>
        </w:trPr>
        <w:tc>
          <w:tcPr>
            <w:tcW w:w="210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Restricted Stock Units:</w:t>
            </w:r>
          </w:p>
        </w:tc>
        <w:tc>
          <w:tcPr>
            <w:tcW w:w="1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20"/>
                <w:szCs w:val="20"/>
                <w:color w:val="auto"/>
                <w:w w:val="97"/>
              </w:rPr>
              <w:t xml:space="preserve">with respect to </w:t>
            </w:r>
            <w:r>
              <w:rPr>
                <w:rFonts w:ascii="Arial" w:cs="Arial" w:eastAsia="Arial" w:hAnsi="Arial"/>
                <w:sz w:val="20"/>
                <w:szCs w:val="20"/>
                <w:b w:val="1"/>
                <w:bCs w:val="1"/>
                <w:color w:val="auto"/>
                <w:w w:val="97"/>
              </w:rPr>
              <w:t>[_______]</w:t>
            </w:r>
            <w:r>
              <w:rPr>
                <w:rFonts w:ascii="Arial" w:cs="Arial" w:eastAsia="Arial" w:hAnsi="Arial"/>
                <w:sz w:val="20"/>
                <w:szCs w:val="20"/>
                <w:color w:val="auto"/>
                <w:w w:val="97"/>
              </w:rPr>
              <w:t>shares (at target) of Common Stock, par value $0.0001 per share</w:t>
            </w:r>
          </w:p>
        </w:tc>
      </w:tr>
      <w:tr>
        <w:trPr>
          <w:trHeight w:val="183"/>
        </w:trPr>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60" w:type="dxa"/>
            <w:vAlign w:val="bottom"/>
            <w:gridSpan w:val="7"/>
          </w:tcPr>
          <w:p>
            <w:pPr>
              <w:spacing w:after="0" w:line="183" w:lineRule="exact"/>
              <w:rPr>
                <w:sz w:val="20"/>
                <w:szCs w:val="20"/>
                <w:color w:val="auto"/>
              </w:rPr>
            </w:pPr>
            <w:r>
              <w:rPr>
                <w:rFonts w:ascii="Arial" w:cs="Arial" w:eastAsia="Arial" w:hAnsi="Arial"/>
                <w:sz w:val="20"/>
                <w:szCs w:val="20"/>
                <w:color w:val="auto"/>
              </w:rPr>
              <w:t>(“Common Stock”), subject to adjustment as provided in the Plan.</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42"/>
        </w:trPr>
        <w:tc>
          <w:tcPr>
            <w:tcW w:w="3240" w:type="dxa"/>
            <w:vAlign w:val="bottom"/>
            <w:gridSpan w:val="5"/>
          </w:tcPr>
          <w:p>
            <w:pPr>
              <w:spacing w:after="0"/>
              <w:rPr>
                <w:sz w:val="20"/>
                <w:szCs w:val="20"/>
                <w:color w:val="auto"/>
              </w:rPr>
            </w:pPr>
            <w:r>
              <w:rPr>
                <w:rFonts w:ascii="Arial" w:cs="Arial" w:eastAsia="Arial" w:hAnsi="Arial"/>
                <w:sz w:val="20"/>
                <w:szCs w:val="20"/>
                <w:color w:val="auto"/>
              </w:rPr>
              <w:t>Grant Date:</w:t>
            </w:r>
          </w:p>
        </w:tc>
        <w:tc>
          <w:tcPr>
            <w:tcW w:w="4180" w:type="dxa"/>
            <w:vAlign w:val="bottom"/>
            <w:gridSpan w:val="4"/>
          </w:tcPr>
          <w:p>
            <w:pPr>
              <w:spacing w:after="0"/>
              <w:rPr>
                <w:sz w:val="20"/>
                <w:szCs w:val="20"/>
                <w:color w:val="auto"/>
              </w:rPr>
            </w:pPr>
            <w:r>
              <w:rPr>
                <w:rFonts w:ascii="Arial" w:cs="Arial" w:eastAsia="Arial" w:hAnsi="Arial"/>
                <w:sz w:val="20"/>
                <w:szCs w:val="20"/>
                <w:color w:val="auto"/>
              </w:rPr>
              <w:t>[____________________, _____]</w:t>
            </w: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42"/>
        </w:trPr>
        <w:tc>
          <w:tcPr>
            <w:tcW w:w="3240" w:type="dxa"/>
            <w:vAlign w:val="bottom"/>
            <w:gridSpan w:val="5"/>
          </w:tcPr>
          <w:p>
            <w:pPr>
              <w:spacing w:after="0"/>
              <w:rPr>
                <w:sz w:val="20"/>
                <w:szCs w:val="20"/>
                <w:color w:val="auto"/>
              </w:rPr>
            </w:pPr>
            <w:r>
              <w:rPr>
                <w:rFonts w:ascii="Arial" w:cs="Arial" w:eastAsia="Arial" w:hAnsi="Arial"/>
                <w:sz w:val="20"/>
                <w:szCs w:val="20"/>
                <w:color w:val="auto"/>
              </w:rPr>
              <w:t>Vesting Schedule:</w:t>
            </w:r>
          </w:p>
        </w:tc>
        <w:tc>
          <w:tcPr>
            <w:tcW w:w="7860" w:type="dxa"/>
            <w:vAlign w:val="bottom"/>
            <w:gridSpan w:val="7"/>
          </w:tcPr>
          <w:p>
            <w:pPr>
              <w:spacing w:after="0"/>
              <w:rPr>
                <w:sz w:val="20"/>
                <w:szCs w:val="20"/>
                <w:color w:val="auto"/>
              </w:rPr>
            </w:pPr>
            <w:r>
              <w:rPr>
                <w:rFonts w:ascii="Arial" w:cs="Arial" w:eastAsia="Arial" w:hAnsi="Arial"/>
                <w:sz w:val="20"/>
                <w:szCs w:val="20"/>
                <w:color w:val="auto"/>
                <w:w w:val="94"/>
              </w:rPr>
              <w:t>Except as otherwise provided in the Plan, the Agreement or any other agreement between the</w:t>
            </w:r>
          </w:p>
        </w:tc>
      </w:tr>
      <w:tr>
        <w:trPr>
          <w:trHeight w:val="179"/>
        </w:trPr>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60" w:type="dxa"/>
            <w:vAlign w:val="bottom"/>
            <w:gridSpan w:val="7"/>
          </w:tcPr>
          <w:p>
            <w:pPr>
              <w:spacing w:after="0" w:line="179" w:lineRule="exact"/>
              <w:rPr>
                <w:sz w:val="20"/>
                <w:szCs w:val="20"/>
                <w:color w:val="auto"/>
              </w:rPr>
            </w:pPr>
            <w:r>
              <w:rPr>
                <w:rFonts w:ascii="Arial" w:cs="Arial" w:eastAsia="Arial" w:hAnsi="Arial"/>
                <w:sz w:val="20"/>
                <w:szCs w:val="20"/>
                <w:color w:val="auto"/>
                <w:w w:val="90"/>
              </w:rPr>
              <w:t>Company or any of its Subsidiaries and Holder, the Award shall vest based on the achievement of</w:t>
            </w:r>
          </w:p>
        </w:tc>
      </w:tr>
      <w:tr>
        <w:trPr>
          <w:trHeight w:val="20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60" w:type="dxa"/>
            <w:vAlign w:val="bottom"/>
            <w:gridSpan w:val="7"/>
          </w:tcPr>
          <w:p>
            <w:pPr>
              <w:spacing w:after="0" w:line="206" w:lineRule="exact"/>
              <w:rPr>
                <w:sz w:val="20"/>
                <w:szCs w:val="20"/>
                <w:color w:val="auto"/>
              </w:rPr>
            </w:pPr>
            <w:r>
              <w:rPr>
                <w:rFonts w:ascii="Arial" w:cs="Arial" w:eastAsia="Arial" w:hAnsi="Arial"/>
                <w:sz w:val="20"/>
                <w:szCs w:val="20"/>
                <w:color w:val="auto"/>
                <w:w w:val="90"/>
              </w:rPr>
              <w:t>the performance goals set forth in this Award Notice over the [_____________] (the “Performance</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60" w:type="dxa"/>
            <w:vAlign w:val="bottom"/>
            <w:gridSpan w:val="7"/>
          </w:tcPr>
          <w:p>
            <w:pPr>
              <w:spacing w:after="0" w:line="183" w:lineRule="exact"/>
              <w:rPr>
                <w:sz w:val="20"/>
                <w:szCs w:val="20"/>
                <w:color w:val="auto"/>
              </w:rPr>
            </w:pPr>
            <w:r>
              <w:rPr>
                <w:rFonts w:ascii="Arial" w:cs="Arial" w:eastAsia="Arial" w:hAnsi="Arial"/>
                <w:sz w:val="20"/>
                <w:szCs w:val="20"/>
                <w:color w:val="auto"/>
                <w:w w:val="95"/>
              </w:rPr>
              <w:t>Period”), provided Holder remains continuously employed by the Company or its Subsidiaries</w:t>
            </w: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20"/>
                <w:szCs w:val="20"/>
                <w:color w:val="auto"/>
                <w:w w:val="73"/>
              </w:rPr>
              <w:t>through</w:t>
            </w:r>
          </w:p>
        </w:tc>
        <w:tc>
          <w:tcPr>
            <w:tcW w:w="7340" w:type="dxa"/>
            <w:vAlign w:val="bottom"/>
            <w:gridSpan w:val="5"/>
          </w:tcPr>
          <w:p>
            <w:pPr>
              <w:ind w:left="140"/>
              <w:spacing w:after="0" w:line="183" w:lineRule="exact"/>
              <w:rPr>
                <w:sz w:val="20"/>
                <w:szCs w:val="20"/>
                <w:color w:val="auto"/>
              </w:rPr>
            </w:pPr>
            <w:r>
              <w:rPr>
                <w:rFonts w:ascii="Arial" w:cs="Arial" w:eastAsia="Arial" w:hAnsi="Arial"/>
                <w:sz w:val="20"/>
                <w:szCs w:val="20"/>
                <w:color w:val="auto"/>
                <w:w w:val="89"/>
              </w:rPr>
              <w:t>the date on which the Award is settled (the “Vesting Date”), which shall be no later than 60</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179"/>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60" w:type="dxa"/>
            <w:vAlign w:val="bottom"/>
            <w:gridSpan w:val="7"/>
          </w:tcPr>
          <w:p>
            <w:pPr>
              <w:spacing w:after="0" w:line="179" w:lineRule="exact"/>
              <w:rPr>
                <w:sz w:val="20"/>
                <w:szCs w:val="20"/>
                <w:color w:val="auto"/>
              </w:rPr>
            </w:pPr>
            <w:r>
              <w:rPr>
                <w:rFonts w:ascii="Arial" w:cs="Arial" w:eastAsia="Arial" w:hAnsi="Arial"/>
                <w:sz w:val="20"/>
                <w:szCs w:val="20"/>
                <w:color w:val="auto"/>
                <w:w w:val="94"/>
              </w:rPr>
              <w:t>days following the conclusion of the Performance Period. Attainment of the performance goals</w:t>
            </w:r>
          </w:p>
        </w:tc>
      </w:tr>
      <w:tr>
        <w:trPr>
          <w:trHeight w:val="250"/>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60" w:type="dxa"/>
            <w:vAlign w:val="bottom"/>
            <w:gridSpan w:val="7"/>
          </w:tcPr>
          <w:p>
            <w:pPr>
              <w:spacing w:after="0"/>
              <w:rPr>
                <w:sz w:val="20"/>
                <w:szCs w:val="20"/>
                <w:color w:val="auto"/>
              </w:rPr>
            </w:pPr>
            <w:r>
              <w:rPr>
                <w:rFonts w:ascii="Arial" w:cs="Arial" w:eastAsia="Arial" w:hAnsi="Arial"/>
                <w:sz w:val="20"/>
                <w:szCs w:val="20"/>
                <w:color w:val="auto"/>
                <w:w w:val="91"/>
              </w:rPr>
              <w:t>shall be determined and certified by the Committee in writing prior to the settlement of the Award.</w:t>
            </w:r>
          </w:p>
        </w:tc>
      </w:tr>
    </w:tbl>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Performance Conditions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BURLINGTON STORES,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ind w:left="5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Acknowledgment, Acceptance and Agreement:</w:t>
      </w:r>
    </w:p>
    <w:p>
      <w:pPr>
        <w:spacing w:after="0" w:line="202" w:lineRule="exact"/>
        <w:rPr>
          <w:sz w:val="20"/>
          <w:szCs w:val="20"/>
          <w:color w:val="auto"/>
        </w:rPr>
      </w:pPr>
    </w:p>
    <w:p>
      <w:pPr>
        <w:spacing w:after="0" w:line="368" w:lineRule="auto"/>
        <w:rPr>
          <w:sz w:val="20"/>
          <w:szCs w:val="20"/>
          <w:color w:val="auto"/>
        </w:rPr>
      </w:pPr>
      <w:r>
        <w:rPr>
          <w:rFonts w:ascii="Arial" w:cs="Arial" w:eastAsia="Arial" w:hAnsi="Arial"/>
          <w:sz w:val="16"/>
          <w:szCs w:val="16"/>
          <w:color w:val="auto"/>
        </w:rPr>
        <w:t>By accepting this grant on the Company’s stock plan administrator’s website, I hereby accept the performance-based restricted stock units granted to me and acknowledge and agree to be bound by the terms and conditions of this Award Notice, the Agreement and the Plan.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Holder Name</w:t>
      </w:r>
    </w:p>
    <w:p>
      <w:pPr>
        <w:spacing w:after="0" w:line="186" w:lineRule="exact"/>
        <w:rPr>
          <w:sz w:val="20"/>
          <w:szCs w:val="20"/>
          <w:color w:val="auto"/>
        </w:rPr>
      </w:pPr>
    </w:p>
    <w:p>
      <w:pPr>
        <w:spacing w:after="0"/>
        <w:tabs>
          <w:tab w:leader="none" w:pos="4640" w:val="left"/>
        </w:tabs>
        <w:rPr>
          <w:sz w:val="20"/>
          <w:szCs w:val="20"/>
          <w:color w:val="auto"/>
        </w:rPr>
      </w:pPr>
      <w:r>
        <w:rPr>
          <w:rFonts w:ascii="Arial" w:cs="Arial" w:eastAsia="Arial" w:hAnsi="Arial"/>
          <w:sz w:val="20"/>
          <w:szCs w:val="20"/>
          <w:color w:val="auto"/>
        </w:rPr>
        <w:t>__________________________________</w:t>
      </w:r>
      <w:r>
        <w:rPr>
          <w:sz w:val="20"/>
          <w:szCs w:val="20"/>
          <w:color w:val="auto"/>
        </w:rPr>
        <w:tab/>
      </w:r>
      <w:r>
        <w:rPr>
          <w:rFonts w:ascii="Arial" w:cs="Arial" w:eastAsia="Arial" w:hAnsi="Arial"/>
          <w:sz w:val="20"/>
          <w:szCs w:val="20"/>
          <w:color w:val="auto"/>
        </w:rPr>
        <w:t>Date_______________________________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6" w:right="6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0"/>
          <w:szCs w:val="20"/>
          <w:b w:val="1"/>
          <w:bCs w:val="1"/>
          <w:color w:val="auto"/>
        </w:rPr>
        <w:t>Burlington Stores,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2013 Omnibus Incentive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Performance-Based Restricted Stock Unit Award Agreement</w:t>
      </w:r>
    </w:p>
    <w:p>
      <w:pPr>
        <w:spacing w:after="0" w:line="208" w:lineRule="exact"/>
        <w:rPr>
          <w:sz w:val="20"/>
          <w:szCs w:val="20"/>
          <w:color w:val="auto"/>
        </w:rPr>
      </w:pPr>
    </w:p>
    <w:p>
      <w:pPr>
        <w:ind w:right="60" w:firstLine="749"/>
        <w:spacing w:after="0" w:line="244" w:lineRule="auto"/>
        <w:rPr>
          <w:sz w:val="20"/>
          <w:szCs w:val="20"/>
          <w:color w:val="auto"/>
        </w:rPr>
      </w:pPr>
      <w:r>
        <w:rPr>
          <w:rFonts w:ascii="Arial" w:cs="Arial" w:eastAsia="Arial" w:hAnsi="Arial"/>
          <w:sz w:val="19"/>
          <w:szCs w:val="19"/>
          <w:color w:val="auto"/>
        </w:rPr>
        <w:t>Burlington Stores,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individual (the “</w:t>
      </w:r>
      <w:r>
        <w:rPr>
          <w:rFonts w:ascii="Arial" w:cs="Arial" w:eastAsia="Arial" w:hAnsi="Arial"/>
          <w:sz w:val="19"/>
          <w:szCs w:val="19"/>
          <w:u w:val="single" w:color="auto"/>
          <w:color w:val="auto"/>
        </w:rPr>
        <w:t>Holder</w:t>
      </w:r>
      <w:r>
        <w:rPr>
          <w:rFonts w:ascii="Arial" w:cs="Arial" w:eastAsia="Arial" w:hAnsi="Arial"/>
          <w:sz w:val="19"/>
          <w:szCs w:val="19"/>
          <w:color w:val="auto"/>
        </w:rPr>
        <w:t>”) named in the award notice attached hereto (the “</w:t>
      </w:r>
      <w:r>
        <w:rPr>
          <w:rFonts w:ascii="Arial" w:cs="Arial" w:eastAsia="Arial" w:hAnsi="Arial"/>
          <w:sz w:val="19"/>
          <w:szCs w:val="19"/>
          <w:u w:val="single" w:color="auto"/>
          <w:color w:val="auto"/>
        </w:rPr>
        <w:t>Award Notice</w:t>
      </w:r>
      <w:r>
        <w:rPr>
          <w:rFonts w:ascii="Arial" w:cs="Arial" w:eastAsia="Arial" w:hAnsi="Arial"/>
          <w:sz w:val="19"/>
          <w:szCs w:val="19"/>
          <w:color w:val="auto"/>
        </w:rPr>
        <w:t>”) as of the date set forth in the Award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pursuant to the provisions of the Burlington Stores, Inc.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 performance-based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with respect to the number of shares of the Company’s Common Stock, par value $0.0001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set forth in the Award Notice, upon and subject to the restrictions, terms and conditions set forth in the Award Notice, the Plan and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not defined herein shall have the meanings specified in the Plan.</w:t>
      </w:r>
    </w:p>
    <w:p>
      <w:pPr>
        <w:spacing w:after="0" w:line="179" w:lineRule="exact"/>
        <w:rPr>
          <w:sz w:val="20"/>
          <w:szCs w:val="20"/>
          <w:color w:val="auto"/>
        </w:rPr>
      </w:pPr>
    </w:p>
    <w:p>
      <w:pPr>
        <w:ind w:right="100" w:firstLine="757"/>
        <w:spacing w:after="0" w:line="234" w:lineRule="auto"/>
        <w:tabs>
          <w:tab w:leader="none" w:pos="149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Award Subject to Acceptance of Agreement</w:t>
      </w:r>
      <w:r>
        <w:rPr>
          <w:rFonts w:ascii="Arial" w:cs="Arial" w:eastAsia="Arial" w:hAnsi="Arial"/>
          <w:sz w:val="20"/>
          <w:szCs w:val="20"/>
          <w:color w:val="auto"/>
        </w:rPr>
        <w:t>. The Award shall be null and void unless Holder electronically accepts this Agreement within Holder’s stock plan account with the Company’s stock plan administrator according to the procedures then in effect (or, if permitted by the Company, accepts this Agreement by executing the Award Notice in the space provided therefor and returning an original execution copy of the Award Notice to the Company).</w:t>
      </w:r>
    </w:p>
    <w:p>
      <w:pPr>
        <w:spacing w:after="0" w:line="183" w:lineRule="exact"/>
        <w:rPr>
          <w:rFonts w:ascii="Arial" w:cs="Arial" w:eastAsia="Arial" w:hAnsi="Arial"/>
          <w:sz w:val="20"/>
          <w:szCs w:val="20"/>
          <w:color w:val="auto"/>
        </w:rPr>
      </w:pPr>
    </w:p>
    <w:p>
      <w:pPr>
        <w:ind w:right="60" w:firstLine="757"/>
        <w:spacing w:after="0" w:line="237" w:lineRule="auto"/>
        <w:tabs>
          <w:tab w:leader="none" w:pos="149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xml:space="preserve">. Holder shall not be entitled to any privileges of ownership with respect to the shares of Common Stock subject to the Award unless and until, and only to the extent, such shares become vested pursuant to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and Holder becomes a stockholder of record with respect to such shares.</w:t>
      </w:r>
    </w:p>
    <w:p>
      <w:pPr>
        <w:spacing w:after="0" w:line="182" w:lineRule="exact"/>
        <w:rPr>
          <w:rFonts w:ascii="Arial" w:cs="Arial" w:eastAsia="Arial" w:hAnsi="Arial"/>
          <w:sz w:val="20"/>
          <w:szCs w:val="20"/>
          <w:color w:val="auto"/>
        </w:rPr>
      </w:pPr>
    </w:p>
    <w:p>
      <w:pPr>
        <w:ind w:left="1500" w:hanging="743"/>
        <w:spacing w:after="0"/>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Restriction Period and Vesting</w:t>
      </w:r>
      <w:r>
        <w:rPr>
          <w:rFonts w:ascii="Arial" w:cs="Arial" w:eastAsia="Arial" w:hAnsi="Arial"/>
          <w:sz w:val="20"/>
          <w:szCs w:val="20"/>
          <w:color w:val="auto"/>
        </w:rPr>
        <w:t>.</w:t>
      </w:r>
    </w:p>
    <w:p>
      <w:pPr>
        <w:spacing w:after="0" w:line="202" w:lineRule="exact"/>
        <w:rPr>
          <w:sz w:val="20"/>
          <w:szCs w:val="20"/>
          <w:color w:val="auto"/>
        </w:rPr>
      </w:pPr>
    </w:p>
    <w:p>
      <w:pPr>
        <w:ind w:right="60" w:firstLine="1497"/>
        <w:spacing w:after="0" w:line="24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Performance-Based Vesting Conditions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Common Stock shall vest pursuant to the terms of this Agreement and the Plan based on the achievement of the performance goals set forth in the Award Notice over the performance period set forth in the Award Notice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provided that that Holder remains in continuous employment with the Company or its Subsidiaries through the date on which the Award is settled (the “</w:t>
      </w:r>
      <w:r>
        <w:rPr>
          <w:rFonts w:ascii="Arial" w:cs="Arial" w:eastAsia="Arial" w:hAnsi="Arial"/>
          <w:sz w:val="19"/>
          <w:szCs w:val="19"/>
          <w:u w:val="single" w:color="auto"/>
          <w:color w:val="auto"/>
        </w:rPr>
        <w:t>Vesting Date</w:t>
      </w:r>
      <w:r>
        <w:rPr>
          <w:rFonts w:ascii="Arial" w:cs="Arial" w:eastAsia="Arial" w:hAnsi="Arial"/>
          <w:sz w:val="19"/>
          <w:szCs w:val="19"/>
          <w:color w:val="auto"/>
        </w:rPr>
        <w:t>”), which shall be no later than 60 days following the conclusion of the Performance Period. Attainment of the performance goals shall be determined and certified by the Committee in writing prior to the settlement of the Award.</w:t>
      </w:r>
    </w:p>
    <w:p>
      <w:pPr>
        <w:spacing w:after="0" w:line="155"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900" w:type="dxa"/>
            <w:vAlign w:val="bottom"/>
          </w:tcPr>
          <w:p>
            <w:pPr>
              <w:jc w:val="right"/>
              <w:ind w:right="501"/>
              <w:spacing w:after="0"/>
              <w:rPr>
                <w:sz w:val="20"/>
                <w:szCs w:val="20"/>
                <w:color w:val="auto"/>
              </w:rPr>
            </w:pPr>
            <w:r>
              <w:rPr>
                <w:rFonts w:ascii="Arial" w:cs="Arial" w:eastAsia="Arial" w:hAnsi="Arial"/>
                <w:sz w:val="20"/>
                <w:szCs w:val="20"/>
                <w:color w:val="auto"/>
                <w:w w:val="83"/>
              </w:rPr>
              <w:t>3.2.</w:t>
            </w:r>
          </w:p>
        </w:tc>
        <w:tc>
          <w:tcPr>
            <w:tcW w:w="60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20"/>
                <w:szCs w:val="20"/>
                <w:color w:val="auto"/>
              </w:rPr>
              <w:t>Termination of Employment.</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0"/>
                <w:szCs w:val="20"/>
                <w:color w:val="auto"/>
              </w:rPr>
              <w:t>(a)</w:t>
            </w:r>
          </w:p>
        </w:tc>
        <w:tc>
          <w:tcPr>
            <w:tcW w:w="5800" w:type="dxa"/>
            <w:vAlign w:val="bottom"/>
            <w:gridSpan w:val="2"/>
          </w:tcPr>
          <w:p>
            <w:pPr>
              <w:spacing w:after="0"/>
              <w:rPr>
                <w:sz w:val="20"/>
                <w:szCs w:val="20"/>
                <w:color w:val="auto"/>
              </w:rPr>
            </w:pPr>
            <w:r>
              <w:rPr>
                <w:rFonts w:ascii="Arial" w:cs="Arial" w:eastAsia="Arial" w:hAnsi="Arial"/>
                <w:sz w:val="20"/>
                <w:szCs w:val="20"/>
                <w:color w:val="auto"/>
                <w:w w:val="92"/>
              </w:rPr>
              <w:t>Termination due to Death or Disability. If Holder’s employment with the</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ind w:left="760"/>
        <w:spacing w:after="0" w:line="257" w:lineRule="auto"/>
        <w:rPr>
          <w:sz w:val="20"/>
          <w:szCs w:val="20"/>
          <w:color w:val="auto"/>
        </w:rPr>
      </w:pPr>
      <w:r>
        <w:rPr>
          <w:rFonts w:ascii="Arial" w:cs="Arial" w:eastAsia="Arial" w:hAnsi="Arial"/>
          <w:sz w:val="18"/>
          <w:szCs w:val="18"/>
          <w:color w:val="auto"/>
        </w:rPr>
        <w:t xml:space="preserve">Company and its Subsidiaries terminates prior to the Vesting Date by reason of Holder’s death or termination by the Company or its Subsidiaries due to Disability, then in either such case, Holder shall vest in a prorated Award. Such prorated Award shall be equal to the number of shares of Common Stock assuming that the performance goals set forth in the Award Notice were satisfied at target multiplied by a fraction, the numerator of which shall equal the number of days in the Performance Period during which Holder was employed by the Company and its Subsidiaries and the denominator of which shall equal the total number of days in the Performance Period. Subject to </w:t>
      </w:r>
      <w:r>
        <w:rPr>
          <w:rFonts w:ascii="Arial" w:cs="Arial" w:eastAsia="Arial" w:hAnsi="Arial"/>
          <w:sz w:val="18"/>
          <w:szCs w:val="18"/>
          <w:u w:val="single" w:color="auto"/>
          <w:color w:val="auto"/>
        </w:rPr>
        <w:t>Section 8.13</w:t>
      </w:r>
      <w:r>
        <w:rPr>
          <w:rFonts w:ascii="Arial" w:cs="Arial" w:eastAsia="Arial" w:hAnsi="Arial"/>
          <w:sz w:val="18"/>
          <w:szCs w:val="18"/>
          <w:color w:val="auto"/>
        </w:rPr>
        <w:t>, the vested portion of the Award shall be settled within 60 days following the Holder’s death or termination due to Disability; provided, however, if the Award is “nonqualified deferred compensation” within the meaning of Section 409A of the Code, then the portion of the Award that becomes vested upon a termination due to Disability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0" w:name="page111"/>
    <w:bookmarkEnd w:id="110"/>
    <w:p>
      <w:pPr>
        <w:ind w:left="320" w:right="80"/>
        <w:spacing w:after="0" w:line="246" w:lineRule="auto"/>
        <w:rPr>
          <w:sz w:val="20"/>
          <w:szCs w:val="20"/>
          <w:color w:val="auto"/>
        </w:rPr>
      </w:pPr>
      <w:r>
        <w:rPr>
          <w:rFonts w:ascii="Arial" w:cs="Arial" w:eastAsia="Arial" w:hAnsi="Arial"/>
          <w:sz w:val="19"/>
          <w:szCs w:val="19"/>
          <w:color w:val="auto"/>
        </w:rPr>
        <w:t xml:space="preserve">shall be settled within 60 days after the expiration of the Performance Period to the extent required to comply with Section 409A of the Code. The portion of the Award that does not vest pursuant to this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shall be forfeited by Holder and cancelled by the Company.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that the Holder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6" w:lineRule="exact"/>
        <w:rPr>
          <w:sz w:val="20"/>
          <w:szCs w:val="20"/>
          <w:color w:val="auto"/>
        </w:rPr>
      </w:pPr>
    </w:p>
    <w:p>
      <w:pPr>
        <w:ind w:left="2560"/>
        <w:spacing w:after="0"/>
        <w:tabs>
          <w:tab w:leader="none" w:pos="47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u w:val="single" w:color="auto"/>
          <w:color w:val="auto"/>
        </w:rPr>
        <w:t>Termination due to a Reduction in Force or Retirement</w:t>
      </w:r>
      <w:r>
        <w:rPr>
          <w:rFonts w:ascii="Arial" w:cs="Arial" w:eastAsia="Arial" w:hAnsi="Arial"/>
          <w:sz w:val="20"/>
          <w:szCs w:val="20"/>
          <w:color w:val="auto"/>
        </w:rPr>
        <w:t>. Except as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provided for in </w:t>
      </w:r>
      <w:r>
        <w:rPr>
          <w:rFonts w:ascii="Arial" w:cs="Arial" w:eastAsia="Arial" w:hAnsi="Arial"/>
          <w:sz w:val="18"/>
          <w:szCs w:val="18"/>
          <w:u w:val="single" w:color="auto"/>
          <w:color w:val="auto"/>
        </w:rPr>
        <w:t>Section 3(c)</w:t>
      </w:r>
      <w:r>
        <w:rPr>
          <w:rFonts w:ascii="Arial" w:cs="Arial" w:eastAsia="Arial" w:hAnsi="Arial"/>
          <w:sz w:val="18"/>
          <w:szCs w:val="18"/>
          <w:color w:val="auto"/>
        </w:rPr>
        <w:t>¸ if Holder’s employment with the Company and its Subsidiaries is terminated prior to the Vesting Date</w:t>
      </w:r>
    </w:p>
    <w:p>
      <w:pPr>
        <w:spacing w:after="0" w:line="9" w:lineRule="exact"/>
        <w:rPr>
          <w:sz w:val="20"/>
          <w:szCs w:val="20"/>
          <w:color w:val="auto"/>
        </w:rPr>
      </w:pPr>
    </w:p>
    <w:p>
      <w:pPr>
        <w:ind w:left="320" w:right="40" w:hanging="3"/>
        <w:spacing w:after="0" w:line="253" w:lineRule="auto"/>
        <w:tabs>
          <w:tab w:leader="none" w:pos="5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the Company or its Subsidiaries due to a reduction in force, as determined by the Committee in its sole and absolute discretion (provided that Holder has not committed an act constituting grounds for a termination for Cause) or (ii) by Holder due to Retirement (as defined below), then in either such case the Award shall vest on a prorated basis. Such prorated Award shall be equal to the number of shares of Common Stock earned at the end of the Performance Period based on actual performance during the Performance Period multiplied by a fraction, the numerator of which shall equal the number of days in the Performance Period during which Holder was employed by the Company and its Subsidiaries and the denominator of which shall equal the total number of days in the Performance Period. For purposes of this Agreement,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shall mean the Holder’s resignation from the Company and its Subsidiaries occurring on or after Holder attaining age 60 with at least ten continuous years of service to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the Company has grounds to terminate the employment of Holder for Cause, then Holder shall not be eligible for the vesting provisions set forth in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The portion of the Award that does not vest pursuant to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shall be forfeited by Holder and cancelled by the Company.</w:t>
      </w:r>
    </w:p>
    <w:p>
      <w:pPr>
        <w:spacing w:after="0" w:line="176" w:lineRule="exact"/>
        <w:rPr>
          <w:sz w:val="20"/>
          <w:szCs w:val="20"/>
          <w:color w:val="auto"/>
        </w:rPr>
      </w:pPr>
    </w:p>
    <w:p>
      <w:pPr>
        <w:ind w:left="2560"/>
        <w:spacing w:after="0"/>
        <w:tabs>
          <w:tab w:leader="none" w:pos="47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Change in Control Qualifying Termination</w:t>
      </w:r>
      <w:r>
        <w:rPr>
          <w:rFonts w:ascii="Arial" w:cs="Arial" w:eastAsia="Arial" w:hAnsi="Arial"/>
          <w:sz w:val="19"/>
          <w:szCs w:val="19"/>
          <w:color w:val="auto"/>
        </w:rPr>
        <w:t>. If Holder’s employment with</w:t>
      </w:r>
    </w:p>
    <w:p>
      <w:pPr>
        <w:spacing w:after="0" w:line="14"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color w:val="auto"/>
        </w:rPr>
        <w:t xml:space="preserve">the Company and its Subsidiaries terminates due to a Change in Control Qualifying Termination prior to the Vesting Date, then the Award shall vest as of the date of termination of employment, assuming that the performance goals set forth in the Award Notice were satisfied at target. Subject to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the vested portion of the Award shall be settled within 60 days following the Holder’s Change in Control Qualifying Termination; provided, however, if the Award is “nonqualified deferred compensation” within the meaning of Section 409A of the Code and the Change in Control is not a “change in control event” within the meaning of Section 409A of the Code or as otherwise required to comply with Section 409A of the Code, then the portion of the Award that becomes vested upon such Change in Control Qualifying Termination shall be settled within 60 days after the expiration of the Performance Period to the extent required to comply with Section 409A of the Code. The portion of the Award that does not vest pursuant to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shall be forfeited by the Holder. Except as otherwise provided in any other agreement between the Company or any of its Subsidiaries and Holder, a Change in Control Qualifying Termination means (i) if Holder is a party to an employment agreement with the Company or one of its Subsidiaries or are subject to the Burlington Stores, Inc. Executive Severance Plan (the “</w:t>
      </w:r>
      <w:r>
        <w:rPr>
          <w:rFonts w:ascii="Arial" w:cs="Arial" w:eastAsia="Arial" w:hAnsi="Arial"/>
          <w:sz w:val="18"/>
          <w:szCs w:val="18"/>
          <w:u w:val="single" w:color="auto"/>
          <w:color w:val="auto"/>
        </w:rPr>
        <w:t>Severance Plan</w:t>
      </w:r>
      <w:r>
        <w:rPr>
          <w:rFonts w:ascii="Arial" w:cs="Arial" w:eastAsia="Arial" w:hAnsi="Arial"/>
          <w:sz w:val="18"/>
          <w:szCs w:val="18"/>
          <w:color w:val="auto"/>
        </w:rPr>
        <w:t>”) on the Grant Date, then a termination of Holder’s employment by the Company or a Subsidiary without Cause or resignation by Holder for Good Reason within the two year period immediately following a Change in Control or (ii) if Holder is not a party to an employment agreement with the Company or one of its Subsidiaries or subject to the Severance Plan on the Grant Date, then a termination of Holder’s employment by the Company or a Subsidiary without Cause within the one year period immediately following a Change in Control. Notwithstanding anything in the Agreement or in the Plan to the contrary, for purposes of the Agreement, (x) in the case of clause (i) of the preceding sentence, if Holder is a party to an employment agreement with the Company or one of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66" w:right="339" w:bottom="1440" w:gutter="0" w:footer="0" w:header="0"/>
        </w:sectPr>
      </w:pPr>
    </w:p>
    <w:bookmarkStart w:id="111" w:name="page112"/>
    <w:bookmarkEnd w:id="111"/>
    <w:p>
      <w:pPr>
        <w:ind w:left="760" w:right="80"/>
        <w:spacing w:after="0" w:line="267" w:lineRule="auto"/>
        <w:rPr>
          <w:sz w:val="20"/>
          <w:szCs w:val="20"/>
          <w:color w:val="auto"/>
        </w:rPr>
      </w:pPr>
      <w:r>
        <w:rPr>
          <w:rFonts w:ascii="Arial" w:cs="Arial" w:eastAsia="Arial" w:hAnsi="Arial"/>
          <w:sz w:val="18"/>
          <w:szCs w:val="18"/>
          <w:color w:val="auto"/>
        </w:rPr>
        <w:t>its Subsidiaries on the Grant Date, “Cause” and “Good Reason” shall have the meanings provided in the terms of such employment agreement and if Holder is not a party to an employment agreement with the Company or one of its Subsidiaries on the Grant Date, “Cause” and “Good Reason” shall have the meanings provided in the terms of the Severance Plan, as in effect on the Grant Date and (y) in the case of clause (ii) of the preceding sentence, “Cause” shall have the meaning provided in the Plan.</w:t>
      </w:r>
    </w:p>
    <w:p>
      <w:pPr>
        <w:spacing w:after="0" w:line="159" w:lineRule="exact"/>
        <w:rPr>
          <w:sz w:val="20"/>
          <w:szCs w:val="20"/>
          <w:color w:val="auto"/>
        </w:rPr>
      </w:pPr>
    </w:p>
    <w:p>
      <w:pPr>
        <w:ind w:left="760" w:right="180" w:firstLine="2246"/>
        <w:spacing w:after="0" w:line="233"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xml:space="preserve">. If (i) Holder’s employment with the Company and its Subsidiaries terminates prior to the Vesting Date for any reason other than as specified in </w:t>
      </w:r>
      <w:r>
        <w:rPr>
          <w:rFonts w:ascii="Arial" w:cs="Arial" w:eastAsia="Arial" w:hAnsi="Arial"/>
          <w:sz w:val="20"/>
          <w:szCs w:val="20"/>
          <w:u w:val="single" w:color="auto"/>
          <w:color w:val="auto"/>
        </w:rPr>
        <w:t>Sections 3.2(a)</w:t>
      </w:r>
      <w:r>
        <w:rPr>
          <w:rFonts w:ascii="Arial" w:cs="Arial" w:eastAsia="Arial" w:hAnsi="Arial"/>
          <w:sz w:val="20"/>
          <w:szCs w:val="20"/>
          <w:color w:val="auto"/>
        </w:rPr>
        <w:t xml:space="preserve"> –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w:t>
      </w:r>
    </w:p>
    <w:p>
      <w:pPr>
        <w:spacing w:after="0" w:line="1" w:lineRule="exact"/>
        <w:rPr>
          <w:sz w:val="20"/>
          <w:szCs w:val="20"/>
          <w:color w:val="auto"/>
        </w:rPr>
      </w:pPr>
    </w:p>
    <w:p>
      <w:pPr>
        <w:ind w:left="760" w:right="360" w:hanging="3"/>
        <w:spacing w:after="0" w:line="282" w:lineRule="auto"/>
        <w:tabs>
          <w:tab w:leader="none" w:pos="10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 breaches any non-competition obligation Holder has to the Company or any of its Subsidiaries under any agreement, then the unvested portion of the Award shall be immediately forfeited by Holder and cancelled by the Company.</w:t>
      </w:r>
    </w:p>
    <w:p>
      <w:pPr>
        <w:spacing w:after="0" w:line="146" w:lineRule="exact"/>
        <w:rPr>
          <w:sz w:val="20"/>
          <w:szCs w:val="20"/>
          <w:color w:val="auto"/>
        </w:rPr>
      </w:pPr>
    </w:p>
    <w:p>
      <w:pPr>
        <w:ind w:firstLine="757"/>
        <w:spacing w:after="0" w:line="258" w:lineRule="auto"/>
        <w:tabs>
          <w:tab w:leader="none" w:pos="149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Issuance or Delivery of Shares</w:t>
      </w:r>
      <w:r>
        <w:rPr>
          <w:rFonts w:ascii="Arial" w:cs="Arial" w:eastAsia="Arial" w:hAnsi="Arial"/>
          <w:sz w:val="18"/>
          <w:szCs w:val="18"/>
          <w:color w:val="auto"/>
        </w:rPr>
        <w:t xml:space="preserve">. Except as otherwise provided for herein, within 60 days after the expiration of the Performance Period (or, if earlier, in accordance with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3.2(c)</w:t>
      </w:r>
      <w:r>
        <w:rPr>
          <w:rFonts w:ascii="Arial" w:cs="Arial" w:eastAsia="Arial" w:hAnsi="Arial"/>
          <w:sz w:val="18"/>
          <w:szCs w:val="18"/>
          <w:color w:val="auto"/>
        </w:rPr>
        <w:t xml:space="preserve">), the Company shall issue or deliver, subject to the conditions of this Agreement, the vested shares of Common Stock to Holder. Such issuance or delivery shall be evidenced by the appropriate entry on the books of the Company or of a duly authorized transfer agent of the Company. The Company shall pay all original issue or transfer taxes and all fees and expenses incident to such issuance or delivery, except as otherwise provided in </w:t>
      </w:r>
      <w:r>
        <w:rPr>
          <w:rFonts w:ascii="Arial" w:cs="Arial" w:eastAsia="Arial" w:hAnsi="Arial"/>
          <w:sz w:val="18"/>
          <w:szCs w:val="18"/>
          <w:u w:val="single" w:color="auto"/>
          <w:color w:val="auto"/>
        </w:rPr>
        <w:t>Section 7</w:t>
      </w:r>
      <w:r>
        <w:rPr>
          <w:rFonts w:ascii="Arial" w:cs="Arial" w:eastAsia="Arial" w:hAnsi="Arial"/>
          <w:sz w:val="18"/>
          <w:szCs w:val="18"/>
          <w:color w:val="auto"/>
        </w:rPr>
        <w:t>. Prior to the issuance to Holder of the shares of Common Stock subject to the Award, Holder shall have no direct or secured claim in any specific assets of the Company or in such shares of Common Stock, and will have the status of a general unsecured creditor of the Company.</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Non-Compete, Non-Solicitation; Confidentialit</w:t>
      </w:r>
      <w:r>
        <w:rPr>
          <w:rFonts w:ascii="Arial" w:cs="Arial" w:eastAsia="Arial" w:hAnsi="Arial"/>
          <w:sz w:val="20"/>
          <w:szCs w:val="20"/>
          <w:color w:val="auto"/>
        </w:rPr>
        <w:t>y.</w:t>
      </w:r>
    </w:p>
    <w:p>
      <w:pPr>
        <w:spacing w:after="0" w:line="202" w:lineRule="exact"/>
        <w:rPr>
          <w:sz w:val="20"/>
          <w:szCs w:val="20"/>
          <w:color w:val="auto"/>
        </w:rPr>
      </w:pPr>
    </w:p>
    <w:p>
      <w:pPr>
        <w:ind w:right="60" w:firstLine="1497"/>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Non-Compete</w:t>
      </w:r>
      <w:r>
        <w:rPr>
          <w:rFonts w:ascii="Arial" w:cs="Arial" w:eastAsia="Arial" w:hAnsi="Arial"/>
          <w:sz w:val="18"/>
          <w:szCs w:val="18"/>
          <w:color w:val="auto"/>
        </w:rPr>
        <w:t>. In further consideration of the Award granted to Holder hereunder, Holder acknowledges and agrees that during the course of Holder’s employment with the Company and its Subsidiaries, Holder shall become familiar, and during Holder’s employment with the predecessors of the Company and its Subsidiaries, Holder has become familiar, with the Company’s and its Subsidiaries’ trade secrets and with other confidential information and that Holder’s services have been and shall be of special, unique and extraordinary value to the Company and its Subsidiaries, and therefore, Holder agrees that, during his or her employment with the Company and its Subsidiaries and, if Holder’s employment with the Company and its Subsidiaries terminates for any reason, for a period of one (1) year thereafter (the “</w:t>
      </w:r>
      <w:r>
        <w:rPr>
          <w:rFonts w:ascii="Arial" w:cs="Arial" w:eastAsia="Arial" w:hAnsi="Arial"/>
          <w:sz w:val="18"/>
          <w:szCs w:val="18"/>
          <w:u w:val="single" w:color="auto"/>
          <w:color w:val="auto"/>
        </w:rPr>
        <w:t>Non-Compete Period</w:t>
      </w:r>
      <w:r>
        <w:rPr>
          <w:rFonts w:ascii="Arial" w:cs="Arial" w:eastAsia="Arial" w:hAnsi="Arial"/>
          <w:sz w:val="18"/>
          <w:szCs w:val="18"/>
          <w:color w:val="auto"/>
        </w:rPr>
        <w:t>”), Holder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or in any manner engage in any business activity on behalf of a Competing Business within any geographical area in which the Company or its Subsidiaries currently operates or plans to operate. Nothing herein shall prohibit Holder from being a passive owner of not more than 2% of the outstanding stock of any class of a corporation, which is publicly traded, so long as Holder has no active participation in the business of such corporation. For purposes of this Agreement, “</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each of the following entities, together with their respective subsidiaries, affiliates, successors and assigns: Macy’s, Inc., the TJX Companies, Inc. and Ross Stores, Inc.</w:t>
      </w:r>
    </w:p>
    <w:p>
      <w:pPr>
        <w:spacing w:after="0" w:line="173" w:lineRule="exact"/>
        <w:rPr>
          <w:sz w:val="20"/>
          <w:szCs w:val="20"/>
          <w:color w:val="auto"/>
        </w:rPr>
      </w:pPr>
    </w:p>
    <w:p>
      <w:pPr>
        <w:ind w:firstLine="1497"/>
        <w:spacing w:after="0" w:line="231"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Non-Solicitation</w:t>
      </w:r>
      <w:r>
        <w:rPr>
          <w:rFonts w:ascii="Arial" w:cs="Arial" w:eastAsia="Arial" w:hAnsi="Arial"/>
          <w:sz w:val="20"/>
          <w:szCs w:val="20"/>
          <w:color w:val="auto"/>
        </w:rPr>
        <w:t>. During the Non-Compete Period, Holder shall not, directly or indirectly, and shall ensure that any person or entity controlled by Holder does not, (a) induce or attempt to induce any employee of the Company or any Subsidiary to leave the employ of the Company or such Subsidiary, or in any way interfere with the relationship between the Company or any Subsidiary and any employee thereof, (b) hire, directly or through another person, any person (whether or not solicited) who was an employee of the Company or any Subsidiary at any time within the one year period before Holder’s termination from employment, (c) induce or attempt to induce any customer, supplier, licensee,</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2" w:name="page113"/>
    <w:bookmarkEnd w:id="112"/>
    <w:p>
      <w:pPr>
        <w:ind w:right="220"/>
        <w:spacing w:after="0" w:line="263" w:lineRule="auto"/>
        <w:rPr>
          <w:sz w:val="20"/>
          <w:szCs w:val="20"/>
          <w:color w:val="auto"/>
        </w:rPr>
      </w:pPr>
      <w:r>
        <w:rPr>
          <w:rFonts w:ascii="Arial" w:cs="Arial" w:eastAsia="Arial" w:hAnsi="Arial"/>
          <w:sz w:val="18"/>
          <w:szCs w:val="18"/>
          <w:color w:val="auto"/>
        </w:rPr>
        <w:t>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or (d)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62" w:lineRule="exact"/>
        <w:rPr>
          <w:sz w:val="20"/>
          <w:szCs w:val="20"/>
          <w:color w:val="auto"/>
        </w:rPr>
      </w:pPr>
    </w:p>
    <w:p>
      <w:pPr>
        <w:ind w:right="20" w:firstLine="1497"/>
        <w:spacing w:after="0" w:line="25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Confidentiality</w:t>
      </w:r>
      <w:r>
        <w:rPr>
          <w:rFonts w:ascii="Arial" w:cs="Arial" w:eastAsia="Arial" w:hAnsi="Arial"/>
          <w:sz w:val="18"/>
          <w:szCs w:val="18"/>
          <w:color w:val="auto"/>
        </w:rPr>
        <w:t>. Holder acknowledges and agrees that the information, observations and data (including trade secrets) obtained by Holder while employed by the Company and its Subsidiaries concerning the business or affairs of the Company and its Subsidiaries are the confidential information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and the property, of the Company and/or its Subsidiaries. Without limiting the foregoing, the term “Confidential Information” shall be interpreted as broadly as possible to include all observations, data and other information of any sort that are (a) related to any past, current or potential business of the Company or any of its Subsidiaries or any of their respective predecessors, and any other business related to any of the foregoing, and (b) not generally known to and available for use by those within the line of business or industry of the Company or by the public (except to the extent such information has become generally known to and available for use by the public as a direct or indirect result of Holder’s acts or omissions) including all (i) work product; (ii) information concerning development, acquisition or investment opportunities in or reasonably related to the business or industry of the Company or any of its Subsidiaries of which Holder is aware or becomes aware during the term of his employment; (iii) information identifying or otherwise concerning any current, former or prospective suppliers, distributors, contractors, agents or customers of the Company or any of its Subsidiaries; (iv) development, transition, integration and transformation plans, methodologies, processes and methods of doing business; (v) strategic, marketing, promotional and financial information (including all financial statements), business and expansion plans, including plans and information regarding planned, projected and/or potential sales, pricing, discount and cost information;</w:t>
      </w:r>
    </w:p>
    <w:p>
      <w:pPr>
        <w:spacing w:after="0" w:line="9" w:lineRule="exact"/>
        <w:rPr>
          <w:sz w:val="20"/>
          <w:szCs w:val="20"/>
          <w:color w:val="auto"/>
        </w:rPr>
      </w:pPr>
    </w:p>
    <w:p>
      <w:pPr>
        <w:ind w:right="100" w:firstLine="8"/>
        <w:spacing w:after="0" w:line="256"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identifying or otherwise concerning employees, independent contractors and consultants; (vii) information on new and existing programs and services, prices, terms, and related information; (viii) all information marked, or otherwise designated, as confidential by the Company or any of its Subsidiaries or which Holder should reasonably know is confidential or proprietary information of the Company or any of its Subsidiaries; (ix) all information or materials similar or related to any of the foregoing, in whatever form or medium, whether now existing or arising hereafter (and regardless of whether merely stored in the mind of Holder or employees or consultants of the Company or any of its Subsidiaries, or embodied in a tangible form or medium); and (x) all tangible embodiments of any of the foregoing.</w:t>
      </w:r>
    </w:p>
    <w:p>
      <w:pPr>
        <w:spacing w:after="0" w:line="171" w:lineRule="exact"/>
        <w:rPr>
          <w:sz w:val="20"/>
          <w:szCs w:val="20"/>
          <w:color w:val="auto"/>
        </w:rPr>
      </w:pPr>
    </w:p>
    <w:p>
      <w:pPr>
        <w:ind w:firstLine="1497"/>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Disclosure</w:t>
      </w:r>
      <w:r>
        <w:rPr>
          <w:rFonts w:ascii="Arial" w:cs="Arial" w:eastAsia="Arial" w:hAnsi="Arial"/>
          <w:sz w:val="18"/>
          <w:szCs w:val="18"/>
          <w:color w:val="auto"/>
        </w:rPr>
        <w:t>. Holder agrees that, except as required by law or court order, including, without limitation, depositions, interrogatories, court testimony, and the like (and in such case provided that Holder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Holder shall not disclose to any unauthorized person or entity or use for Holder’s own purposes any Confidential Information without the prior written consent of the Board, unless and to the extent that the Confidential Information becomes generally known to and available for use by the public other than as a direct or indirect result of Holder’s acts or omissions. Holder shall deliver to the Company at the time Holder’s employment ceases, or at any other time the Company may request, all memoranda, notes, plans, records, reports, computer tapes, printouts and software and other documents and data (and copies thereof) embodying or relating to the Confidential Information (including any work product) or the business of the Company and its Subsidiaries which Holder may then possess or have under Holder’s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13" w:name="page114"/>
    <w:bookmarkEnd w:id="113"/>
    <w:p>
      <w:pPr>
        <w:ind w:right="520"/>
        <w:spacing w:after="0" w:line="246" w:lineRule="auto"/>
        <w:rPr>
          <w:sz w:val="20"/>
          <w:szCs w:val="20"/>
          <w:color w:val="auto"/>
        </w:rPr>
      </w:pPr>
      <w:r>
        <w:rPr>
          <w:rFonts w:ascii="Arial" w:cs="Arial" w:eastAsia="Arial" w:hAnsi="Arial"/>
          <w:sz w:val="20"/>
          <w:szCs w:val="20"/>
          <w:color w:val="auto"/>
        </w:rPr>
        <w:t>control and if, at any time thereafter, any such materials are brought to Holder’s attention or Holder discovers them in his possession or control, Holder shall deliver such materials to the Company immediately upon such notice or discovery.</w:t>
      </w:r>
    </w:p>
    <w:p>
      <w:pPr>
        <w:spacing w:after="0" w:line="177" w:lineRule="exact"/>
        <w:rPr>
          <w:sz w:val="20"/>
          <w:szCs w:val="20"/>
          <w:color w:val="auto"/>
        </w:rPr>
      </w:pPr>
    </w:p>
    <w:p>
      <w:pPr>
        <w:ind w:firstLine="1497"/>
        <w:spacing w:after="0" w:line="23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Protected Rights</w:t>
      </w:r>
      <w:r>
        <w:rPr>
          <w:rFonts w:ascii="Arial" w:cs="Arial" w:eastAsia="Arial" w:hAnsi="Arial"/>
          <w:sz w:val="19"/>
          <w:szCs w:val="19"/>
          <w:color w:val="auto"/>
        </w:rPr>
        <w:t>. Pursuant to 18 U.S.C. § 1833(b),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Holder has the right to disclose in confidence trade secrets to Federal, State, and local government officials, or to an attorney, for the sole purpose of reporting or investigating a suspected violation of law. Holder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Holder understands that nothing contained in this Agreement limits Holder’s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u w:val="single" w:color="auto"/>
          <w:color w:val="auto"/>
        </w:rPr>
        <w:t>Government Agencies</w:t>
      </w:r>
      <w:r>
        <w:rPr>
          <w:rFonts w:ascii="Arial" w:cs="Arial" w:eastAsia="Arial" w:hAnsi="Arial"/>
          <w:sz w:val="19"/>
          <w:szCs w:val="19"/>
          <w:color w:val="auto"/>
        </w:rPr>
        <w:t>”). Holder further understands that this Agreement does not limit Holder’s ability to communicate with any Government Agencies or otherwise participate in any investigation or proceeding that may be conducted by any Government Agency, including providing documents or other information, without notice to the Company. This Agreement does not limit Holder’s right to receive an award for information provided to any Government Agencies.</w:t>
      </w:r>
    </w:p>
    <w:p>
      <w:pPr>
        <w:spacing w:after="0" w:line="192" w:lineRule="exact"/>
        <w:rPr>
          <w:sz w:val="20"/>
          <w:szCs w:val="20"/>
          <w:color w:val="auto"/>
        </w:rPr>
      </w:pPr>
    </w:p>
    <w:p>
      <w:pPr>
        <w:ind w:right="180" w:firstLine="1497"/>
        <w:spacing w:after="0" w:line="23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Other Agreements</w:t>
      </w:r>
      <w:r>
        <w:rPr>
          <w:rFonts w:ascii="Arial" w:cs="Arial" w:eastAsia="Arial" w:hAnsi="Arial"/>
          <w:sz w:val="20"/>
          <w:szCs w:val="20"/>
          <w:color w:val="auto"/>
        </w:rPr>
        <w:t>. Notwithstanding the foregoing and any other language in this Agreement, this Agreement does not supersede or preclude the enforceability of any restrictive covenant provision contained in any prior agreement entered into by Holder. Further, no prior restrictive covenant supersedes or precludes the enforceability of any provision contained in this Agreement.</w:t>
      </w:r>
    </w:p>
    <w:p>
      <w:pPr>
        <w:spacing w:after="0" w:line="183" w:lineRule="exact"/>
        <w:rPr>
          <w:sz w:val="20"/>
          <w:szCs w:val="20"/>
          <w:color w:val="auto"/>
        </w:rPr>
      </w:pPr>
    </w:p>
    <w:p>
      <w:pPr>
        <w:ind w:right="260" w:firstLine="1497"/>
        <w:spacing w:after="0" w:line="246"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Applicability</w:t>
      </w:r>
      <w:r>
        <w:rPr>
          <w:rFonts w:ascii="Arial" w:cs="Arial" w:eastAsia="Arial" w:hAnsi="Arial"/>
          <w:sz w:val="20"/>
          <w:szCs w:val="20"/>
          <w:color w:val="auto"/>
        </w:rPr>
        <w:t xml:space="preserve">. Notwithstanding the foregoing and any other language in this Agreement,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shall not apply to Holder if he or she is below the position of Director level as of the Grant Date.</w:t>
      </w:r>
    </w:p>
    <w:p>
      <w:pPr>
        <w:spacing w:after="0" w:line="177" w:lineRule="exact"/>
        <w:rPr>
          <w:sz w:val="20"/>
          <w:szCs w:val="20"/>
          <w:color w:val="auto"/>
        </w:rPr>
      </w:pPr>
    </w:p>
    <w:p>
      <w:pPr>
        <w:ind w:left="1500" w:hanging="743"/>
        <w:spacing w:after="0"/>
        <w:tabs>
          <w:tab w:leader="none" w:pos="15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Enforcement</w:t>
      </w:r>
      <w:r>
        <w:rPr>
          <w:rFonts w:ascii="Arial" w:cs="Arial" w:eastAsia="Arial" w:hAnsi="Arial"/>
          <w:sz w:val="20"/>
          <w:szCs w:val="20"/>
          <w:color w:val="auto"/>
        </w:rPr>
        <w:t>.</w:t>
      </w:r>
    </w:p>
    <w:p>
      <w:pPr>
        <w:spacing w:after="0" w:line="202" w:lineRule="exact"/>
        <w:rPr>
          <w:sz w:val="20"/>
          <w:szCs w:val="20"/>
          <w:color w:val="auto"/>
        </w:rPr>
      </w:pPr>
    </w:p>
    <w:p>
      <w:pPr>
        <w:ind w:right="20" w:firstLine="1497"/>
        <w:spacing w:after="0" w:line="22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Reliance</w:t>
      </w:r>
      <w:r>
        <w:rPr>
          <w:rFonts w:ascii="Arial" w:cs="Arial" w:eastAsia="Arial" w:hAnsi="Arial"/>
          <w:sz w:val="20"/>
          <w:szCs w:val="20"/>
          <w:color w:val="auto"/>
        </w:rPr>
        <w:t xml:space="preserve">. Holder acknowledges and agrees that the Company entered into this Agreement in reliance on the provisions of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Holder acknowledges and agrees that Holder has carefully read this Agreement and has given careful consideration to the restraints imposed upon Holder by this Agreement, and is in full accord as to their necessity for the reasonable protection of the Company’s and its Subsidiaries’ interests and the reasonable and proper protection of confidential and proprietary information of the Company and its Subsidiaries now existing or to be developed in the future. Holder expressly acknowledges and agrees that each and every restraint imposed by this Agreement is reasonable with respect to subject matter, time period and geographical area.</w:t>
      </w:r>
    </w:p>
    <w:p>
      <w:pPr>
        <w:spacing w:after="0" w:line="388" w:lineRule="exact"/>
        <w:rPr>
          <w:sz w:val="20"/>
          <w:szCs w:val="20"/>
          <w:color w:val="auto"/>
        </w:rPr>
      </w:pPr>
    </w:p>
    <w:p>
      <w:pPr>
        <w:ind w:right="240" w:firstLine="1497"/>
        <w:spacing w:after="0" w:line="246"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Enforcement</w:t>
      </w:r>
      <w:r>
        <w:rPr>
          <w:rFonts w:ascii="Arial" w:cs="Arial" w:eastAsia="Arial" w:hAnsi="Arial"/>
          <w:sz w:val="20"/>
          <w:szCs w:val="20"/>
          <w:color w:val="auto"/>
        </w:rPr>
        <w:t xml:space="preserve">. Notwithstanding any provision to the contrary herein, the Company or its Subsidiaries may pursue, at its discretion, enforcement of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in any court of competent jurisdiction (each, a “</w:t>
      </w:r>
      <w:r>
        <w:rPr>
          <w:rFonts w:ascii="Arial" w:cs="Arial" w:eastAsia="Arial" w:hAnsi="Arial"/>
          <w:sz w:val="20"/>
          <w:szCs w:val="20"/>
          <w:u w:val="single" w:color="auto"/>
          <w:color w:val="auto"/>
        </w:rPr>
        <w:t>Court</w:t>
      </w:r>
      <w:r>
        <w:rPr>
          <w:rFonts w:ascii="Arial" w:cs="Arial" w:eastAsia="Arial" w:hAnsi="Arial"/>
          <w:sz w:val="20"/>
          <w:szCs w:val="20"/>
          <w:color w:val="auto"/>
        </w:rPr>
        <w: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4" w:name="page115"/>
    <w:bookmarkEnd w:id="114"/>
    <w:p>
      <w:pPr>
        <w:ind w:right="60" w:firstLine="1497"/>
        <w:spacing w:after="0" w:line="22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89" w:lineRule="exact"/>
        <w:rPr>
          <w:sz w:val="20"/>
          <w:szCs w:val="20"/>
          <w:color w:val="auto"/>
        </w:rPr>
      </w:pPr>
    </w:p>
    <w:p>
      <w:pPr>
        <w:ind w:firstLine="1497"/>
        <w:spacing w:after="0" w:line="241"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Equitable Relief</w:t>
      </w:r>
      <w:r>
        <w:rPr>
          <w:rFonts w:ascii="Arial" w:cs="Arial" w:eastAsia="Arial" w:hAnsi="Arial"/>
          <w:sz w:val="19"/>
          <w:szCs w:val="19"/>
          <w:color w:val="auto"/>
        </w:rPr>
        <w:t xml:space="preserve">. Because Holder’s services are unique and because Holder has intimate knowledge of and access to confidential information and work product, the parties hereto agree that money damages would not be an adequate remedy for any breach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any breach of the terms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would result in irreparable injury and damage to the Company and its Subsidiaries for which the Company and its Subsidiaries would have no adequate remedy at law. Therefore, in the event of a breach or threatened breach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prevent the Company or any of its Subsidiaries from pursuing any other available remedies for any breach or threatened breach of this Agreement, including the recovery of damages from Holder.</w:t>
      </w:r>
    </w:p>
    <w:p>
      <w:pPr>
        <w:spacing w:after="0" w:line="185" w:lineRule="exact"/>
        <w:rPr>
          <w:sz w:val="20"/>
          <w:szCs w:val="20"/>
          <w:color w:val="auto"/>
        </w:rPr>
      </w:pPr>
    </w:p>
    <w:p>
      <w:pPr>
        <w:ind w:left="1500" w:hanging="743"/>
        <w:spacing w:after="0"/>
        <w:tabs>
          <w:tab w:leader="none" w:pos="15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Transfer Restrictions and Investment Representation</w:t>
      </w:r>
      <w:r>
        <w:rPr>
          <w:rFonts w:ascii="Arial" w:cs="Arial" w:eastAsia="Arial" w:hAnsi="Arial"/>
          <w:sz w:val="20"/>
          <w:szCs w:val="20"/>
          <w:color w:val="auto"/>
        </w:rPr>
        <w:t>.</w:t>
      </w:r>
    </w:p>
    <w:p>
      <w:pPr>
        <w:spacing w:after="0" w:line="202" w:lineRule="exact"/>
        <w:rPr>
          <w:sz w:val="20"/>
          <w:szCs w:val="20"/>
          <w:color w:val="auto"/>
        </w:rPr>
      </w:pPr>
    </w:p>
    <w:p>
      <w:pPr>
        <w:ind w:right="20" w:firstLine="1497"/>
        <w:spacing w:after="0" w:line="23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Award may not be transferred by Holder other than by will or the laws of descent and distribution or pursuant to the designation of one or more beneficiaries on the form prescribed by the Company.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84" w:lineRule="exact"/>
        <w:rPr>
          <w:sz w:val="20"/>
          <w:szCs w:val="20"/>
          <w:color w:val="auto"/>
        </w:rPr>
      </w:pPr>
    </w:p>
    <w:p>
      <w:pPr>
        <w:ind w:right="60" w:firstLine="1497"/>
        <w:spacing w:after="0" w:line="229"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Investment Representation</w:t>
      </w:r>
      <w:r>
        <w:rPr>
          <w:rFonts w:ascii="Arial" w:cs="Arial" w:eastAsia="Arial" w:hAnsi="Arial"/>
          <w:sz w:val="20"/>
          <w:szCs w:val="20"/>
          <w:color w:val="auto"/>
        </w:rPr>
        <w:t>. Holder hereby represents and covenants that (a) any sale of any share of Common Stock acquired upon the vesting of the Award shall be made either pursuant to an effective registration statement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any applicable state securities laws, or pursuant to an exemption from registration under the Securities Act and such state securities laws and (b) if requested by the Company, Holder shall submit a written statement, in a form satisfactory to the Company, to the effect that such representation is true and correct as of the date of any sale of any such shares. As a further condition precedent to the vesting of the Award and subject to Section 409A of the Code, Holder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185" w:lineRule="exact"/>
        <w:rPr>
          <w:sz w:val="20"/>
          <w:szCs w:val="20"/>
          <w:color w:val="auto"/>
        </w:rPr>
      </w:pPr>
    </w:p>
    <w:p>
      <w:pPr>
        <w:ind w:left="1560" w:hanging="803"/>
        <w:spacing w:after="0"/>
        <w:tabs>
          <w:tab w:leader="none" w:pos="15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Additional Terms and Conditions of Award</w:t>
      </w:r>
      <w:r>
        <w:rPr>
          <w:rFonts w:ascii="Arial" w:cs="Arial" w:eastAsia="Arial" w:hAnsi="Arial"/>
          <w:sz w:val="20"/>
          <w:szCs w:val="20"/>
          <w:color w:val="auto"/>
        </w:rPr>
        <w:t>.</w:t>
      </w:r>
    </w:p>
    <w:p>
      <w:pPr>
        <w:spacing w:after="0" w:line="202" w:lineRule="exact"/>
        <w:rPr>
          <w:sz w:val="20"/>
          <w:szCs w:val="20"/>
          <w:color w:val="auto"/>
        </w:rPr>
      </w:pPr>
    </w:p>
    <w:p>
      <w:pPr>
        <w:ind w:right="80" w:firstLine="1497"/>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Withholding Taxes</w:t>
      </w:r>
      <w:r>
        <w:rPr>
          <w:rFonts w:ascii="Arial" w:cs="Arial" w:eastAsia="Arial" w:hAnsi="Arial"/>
          <w:sz w:val="20"/>
          <w:szCs w:val="20"/>
          <w:color w:val="auto"/>
        </w:rPr>
        <w:t>. As a condition precedent to the delivery to Holder of any shares of Common Stock upon vesting of the Award, Holder shall, upon request by the Company, pay to</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5" w:name="page116"/>
    <w:bookmarkEnd w:id="115"/>
    <w:p>
      <w:pPr>
        <w:ind w:right="20"/>
        <w:spacing w:after="0" w:line="255" w:lineRule="auto"/>
        <w:rPr>
          <w:sz w:val="20"/>
          <w:szCs w:val="20"/>
          <w:color w:val="auto"/>
        </w:rPr>
      </w:pPr>
      <w:r>
        <w:rPr>
          <w:rFonts w:ascii="Arial" w:cs="Arial" w:eastAsia="Arial" w:hAnsi="Arial"/>
          <w:sz w:val="18"/>
          <w:szCs w:val="18"/>
          <w:color w:val="auto"/>
        </w:rPr>
        <w:t>the Company such amount of cash as the Company may be required, under all applicable federal, state, local or other laws or regulations, to withhold and pay over as income or other withholding taxes (the “</w:t>
      </w:r>
      <w:r>
        <w:rPr>
          <w:rFonts w:ascii="Arial" w:cs="Arial" w:eastAsia="Arial" w:hAnsi="Arial"/>
          <w:sz w:val="18"/>
          <w:szCs w:val="18"/>
          <w:u w:val="single" w:color="auto"/>
          <w:color w:val="auto"/>
        </w:rPr>
        <w:t>Required Tax Payments</w:t>
      </w:r>
      <w:r>
        <w:rPr>
          <w:rFonts w:ascii="Arial" w:cs="Arial" w:eastAsia="Arial" w:hAnsi="Arial"/>
          <w:sz w:val="18"/>
          <w:szCs w:val="18"/>
          <w:color w:val="auto"/>
        </w:rPr>
        <w:t>”) with respect to the Award. If Holder shall fail to advance the Required Tax Payments after request by the Company, the Company may, in its discretion, deduct any Required Tax Payments from any amount then or thereafter payable by the Company to Holder or withhold shares of Common Stock. Holder may elect to satisfy his or her obligation to advance the Required Tax Payments by any of the following means: (i) a cash payment to the Company; (ii) authorizing the Company to withhold from the shares of Common Stock otherwise to be delivered to Holder pursuant to the Award, a number of whole shares of Common Stock having an aggregate Fair Market Value, determined as of the date the obligation to withhold or pay taxes first arises in connection with the Award, equal to the Required Tax Payments; or (iii) any combination of (i) and (ii). Shares to be delivered or withheld may be withheld up to the maximum statutory tax rates in the applicable jurisdictions. Any fraction of a share of Common Stock which would be required to satisfy any such obligation shall be disregarded and the remaining amount due shall be paid in cash by Holder. No shares of Common Stock shall be issued or delivered until the Required Tax Payments have been satisfied in full.</w:t>
      </w:r>
    </w:p>
    <w:p>
      <w:pPr>
        <w:spacing w:after="0" w:line="173" w:lineRule="exact"/>
        <w:rPr>
          <w:sz w:val="20"/>
          <w:szCs w:val="20"/>
          <w:color w:val="auto"/>
        </w:rPr>
      </w:pPr>
    </w:p>
    <w:p>
      <w:pPr>
        <w:ind w:right="160" w:firstLine="1497"/>
        <w:spacing w:after="0" w:line="246"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Adjustment</w:t>
      </w:r>
      <w:r>
        <w:rPr>
          <w:rFonts w:ascii="Arial" w:cs="Arial" w:eastAsia="Arial" w:hAnsi="Arial"/>
          <w:sz w:val="20"/>
          <w:szCs w:val="20"/>
          <w:color w:val="auto"/>
        </w:rPr>
        <w:t>. In the event of a Section 4.2 Event, the adjustments provided for in Section 4.2(b) of the Plan shall be made to the number of shares of Common Stock subject to the Award hereunder.</w:t>
      </w:r>
    </w:p>
    <w:p>
      <w:pPr>
        <w:spacing w:after="0" w:line="177" w:lineRule="exact"/>
        <w:rPr>
          <w:sz w:val="20"/>
          <w:szCs w:val="20"/>
          <w:color w:val="auto"/>
        </w:rPr>
      </w:pPr>
    </w:p>
    <w:p>
      <w:pPr>
        <w:ind w:firstLine="1497"/>
        <w:spacing w:after="0" w:line="230"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Compliance with Applicable Law</w:t>
      </w:r>
      <w:r>
        <w:rPr>
          <w:rFonts w:ascii="Arial" w:cs="Arial" w:eastAsia="Arial" w:hAnsi="Arial"/>
          <w:sz w:val="20"/>
          <w:szCs w:val="20"/>
          <w:color w:val="auto"/>
        </w:rPr>
        <w:t>. The Award is subject to the condition that if the listing, registration or qualification of the shares of Common Stock subject to the Award upon any securities exchange or under any law, or the consent or approval of any governmental body, or the taking of any other action is necessary or desirable as a condition of, or in connection with, the delivery of shares hereunder, the shares of Common Stock subject to the Award shall not be delivered, in whole or in part, unless such listing, registration, qualification, consent, approval or other action shall have been effected or obtained, free of any conditions not acceptable to the Company. The Company agrees to use reasonable efforts to effect or obtain any such listing, registration, qualification, consent, approval or other action.</w:t>
      </w:r>
    </w:p>
    <w:p>
      <w:pPr>
        <w:spacing w:after="0" w:line="185" w:lineRule="exact"/>
        <w:rPr>
          <w:sz w:val="20"/>
          <w:szCs w:val="20"/>
          <w:color w:val="auto"/>
        </w:rPr>
      </w:pPr>
    </w:p>
    <w:p>
      <w:pPr>
        <w:ind w:right="20" w:firstLine="1497"/>
        <w:spacing w:after="0" w:line="23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Award Confers No Rights to Continued Employment</w:t>
      </w:r>
      <w:r>
        <w:rPr>
          <w:rFonts w:ascii="Arial" w:cs="Arial" w:eastAsia="Arial" w:hAnsi="Arial"/>
          <w:sz w:val="20"/>
          <w:szCs w:val="20"/>
          <w:color w:val="auto"/>
        </w:rPr>
        <w:t>. In no event shall the granting of the Award or its acceptance by Holder, or any provision of the Agreement or the Plan, give or be deemed to give Holder any right to continued employment by the Company, any Subsidiary or any affiliate of the Company or affect in any manner the right of the Company, any Subsidiary or any affiliate of the Company to terminate the employment of any person at any time.</w:t>
      </w:r>
    </w:p>
    <w:p>
      <w:pPr>
        <w:spacing w:after="0" w:line="183" w:lineRule="exact"/>
        <w:rPr>
          <w:sz w:val="20"/>
          <w:szCs w:val="20"/>
          <w:color w:val="auto"/>
        </w:rPr>
      </w:pPr>
    </w:p>
    <w:p>
      <w:pPr>
        <w:jc w:val="both"/>
        <w:ind w:right="140" w:firstLine="1497"/>
        <w:spacing w:after="0" w:line="237"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Decisions of Committee</w:t>
      </w:r>
      <w:r>
        <w:rPr>
          <w:rFonts w:ascii="Arial" w:cs="Arial" w:eastAsia="Arial" w:hAnsi="Arial"/>
          <w:sz w:val="20"/>
          <w:szCs w:val="20"/>
          <w:color w:val="auto"/>
        </w:rPr>
        <w:t>. The Committee shall have the right to resolve all questions which may arise in connection with the Award. Any interpretation, determination or other action made or taken by the Committee regarding the Plan or this Agreement shall be final, binding and conclusive.</w:t>
      </w:r>
    </w:p>
    <w:p>
      <w:pPr>
        <w:spacing w:after="0" w:line="183" w:lineRule="exact"/>
        <w:rPr>
          <w:sz w:val="20"/>
          <w:szCs w:val="20"/>
          <w:color w:val="auto"/>
        </w:rPr>
      </w:pPr>
    </w:p>
    <w:p>
      <w:pPr>
        <w:ind w:right="160" w:firstLine="1497"/>
        <w:spacing w:after="0" w:line="237"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and inure to the benefit of any successor or successors of the Company and any person or persons who shall, upon the death of Holder, acquire any rights hereunder in accordance with this Agreement or the Plan.</w:t>
      </w:r>
    </w:p>
    <w:p>
      <w:pPr>
        <w:spacing w:after="0" w:line="183" w:lineRule="exact"/>
        <w:rPr>
          <w:sz w:val="20"/>
          <w:szCs w:val="20"/>
          <w:color w:val="auto"/>
        </w:rPr>
      </w:pPr>
    </w:p>
    <w:p>
      <w:pPr>
        <w:ind w:right="20" w:firstLine="1497"/>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or other communications provided for in this Agreement shall be made, if to the Company, to Burlington Stores, Inc., 2006 Route 130 North, Burlington, NJ 08016, Attention: General Counsel, and if to Holder, to the last known mailing address of Holder contained in the records of the Company. All notices, requests or other communications provided for in this Agreement shall be made in writing either (a) by personal delivery, (b) by facsimile or electronic mail with confirmation of receipt,</w:t>
      </w:r>
    </w:p>
    <w:p>
      <w:pPr>
        <w:ind w:right="40" w:firstLine="8"/>
        <w:spacing w:after="0" w:line="234" w:lineRule="auto"/>
        <w:tabs>
          <w:tab w:leader="none" w:pos="269" w:val="left"/>
        </w:tabs>
        <w:numPr>
          <w:ilvl w:val="0"/>
          <w:numId w:val="59"/>
        </w:numPr>
        <w:rPr>
          <w:rFonts w:ascii="Arial" w:cs="Arial" w:eastAsia="Arial" w:hAnsi="Arial"/>
          <w:sz w:val="20"/>
          <w:szCs w:val="20"/>
          <w:color w:val="auto"/>
        </w:rPr>
      </w:pPr>
      <w:r>
        <w:rPr>
          <w:rFonts w:ascii="Arial" w:cs="Arial" w:eastAsia="Arial" w:hAnsi="Arial"/>
          <w:sz w:val="20"/>
          <w:szCs w:val="20"/>
          <w:color w:val="auto"/>
        </w:rPr>
        <w:t>by mailing in the United States mails or (d) by express courier service. The notice, request or other communication shall be deemed to be received upon</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116" w:name="page117"/>
    <w:bookmarkEnd w:id="116"/>
    <w:p>
      <w:pPr>
        <w:jc w:val="both"/>
        <w:ind w:right="40"/>
        <w:spacing w:after="0" w:line="275" w:lineRule="auto"/>
        <w:rPr>
          <w:sz w:val="20"/>
          <w:szCs w:val="20"/>
          <w:color w:val="auto"/>
        </w:rPr>
      </w:pPr>
      <w:r>
        <w:rPr>
          <w:rFonts w:ascii="Arial" w:cs="Arial" w:eastAsia="Arial" w:hAnsi="Arial"/>
          <w:sz w:val="18"/>
          <w:szCs w:val="18"/>
          <w:color w:val="auto"/>
        </w:rPr>
        <w:t xml:space="preserve">personal delivery, upon confirmation of receipt of facsimile or electronic mail transmission or upon receipt by the party entitled thereto if by United States mail or express courier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notice, request or other communication sent to the Company is not received during regular business hours, it shall be deemed to be received on the next succeeding business day of the Company.</w:t>
      </w:r>
    </w:p>
    <w:p>
      <w:pPr>
        <w:spacing w:after="0" w:line="152" w:lineRule="exact"/>
        <w:rPr>
          <w:sz w:val="20"/>
          <w:szCs w:val="20"/>
          <w:color w:val="auto"/>
        </w:rPr>
      </w:pPr>
    </w:p>
    <w:p>
      <w:pPr>
        <w:ind w:right="220" w:firstLine="1497"/>
        <w:spacing w:after="0" w:line="237"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the Award and all determinations made and actions taken pursuant hereto and thereto, to the extent not governed by the Code or the laws of the United States, shall be governed by the laws of the State of Delaware and construed in accordance therewith without giving effect to principles of conflicts of laws.</w:t>
      </w:r>
    </w:p>
    <w:p>
      <w:pPr>
        <w:spacing w:after="0" w:line="183" w:lineRule="exact"/>
        <w:rPr>
          <w:sz w:val="20"/>
          <w:szCs w:val="20"/>
          <w:color w:val="auto"/>
        </w:rPr>
      </w:pPr>
    </w:p>
    <w:p>
      <w:pPr>
        <w:ind w:right="180" w:firstLine="1497"/>
        <w:spacing w:after="0" w:line="237"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Agreement Subject to the Plan</w:t>
      </w:r>
      <w:r>
        <w:rPr>
          <w:rFonts w:ascii="Arial" w:cs="Arial" w:eastAsia="Arial" w:hAnsi="Arial"/>
          <w:sz w:val="20"/>
          <w:szCs w:val="20"/>
          <w:color w:val="auto"/>
        </w:rPr>
        <w:t>. This Agreement is subject to the provisions of the Plan and shall be interpreted in accordance therewith. In the event that the provisions of this Agreement and the Plan conflict, the Plan shall control. Holder hereby acknowledges receipt of a copy of the Plan.</w:t>
      </w:r>
    </w:p>
    <w:p>
      <w:pPr>
        <w:spacing w:after="0" w:line="183" w:lineRule="exact"/>
        <w:rPr>
          <w:sz w:val="20"/>
          <w:szCs w:val="20"/>
          <w:color w:val="auto"/>
        </w:rPr>
      </w:pPr>
    </w:p>
    <w:p>
      <w:pPr>
        <w:ind w:right="80" w:firstLine="1497"/>
        <w:spacing w:after="0" w:line="232"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Except as provided for in </w:t>
      </w:r>
      <w:r>
        <w:rPr>
          <w:rFonts w:ascii="Arial" w:cs="Arial" w:eastAsia="Arial" w:hAnsi="Arial"/>
          <w:sz w:val="20"/>
          <w:szCs w:val="20"/>
          <w:u w:val="single" w:color="auto"/>
          <w:color w:val="auto"/>
        </w:rPr>
        <w:t>Section 5.6</w:t>
      </w:r>
      <w:r>
        <w:rPr>
          <w:rFonts w:ascii="Arial" w:cs="Arial" w:eastAsia="Arial" w:hAnsi="Arial"/>
          <w:sz w:val="20"/>
          <w:szCs w:val="20"/>
          <w:color w:val="auto"/>
        </w:rPr>
        <w:t>, this Agreement and the Plan constitute the entire agreement of the parties with respect to the subject matter hereof and supersede in their entirety all prior undertakings and agreements of the Company and Holder with respect to the subject matter hereof, and may not be modified adversely to Holder’s interest except by means of a writing signed by the Company and Holder. Notwithstanding the foregoing, Holder acknowledges that Holder is subject to Company policies relating to trading in the Company’s securities</w:t>
      </w:r>
    </w:p>
    <w:p>
      <w:pPr>
        <w:spacing w:after="0" w:line="184" w:lineRule="exact"/>
        <w:rPr>
          <w:sz w:val="20"/>
          <w:szCs w:val="20"/>
          <w:color w:val="auto"/>
        </w:rPr>
      </w:pPr>
    </w:p>
    <w:p>
      <w:pPr>
        <w:jc w:val="both"/>
        <w:ind w:right="400" w:firstLine="1497"/>
        <w:spacing w:after="0" w:line="234"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Amendment and Waiver</w:t>
      </w:r>
      <w:r>
        <w:rPr>
          <w:rFonts w:ascii="Arial" w:cs="Arial" w:eastAsia="Arial" w:hAnsi="Arial"/>
          <w:sz w:val="20"/>
          <w:szCs w:val="20"/>
          <w:color w:val="auto"/>
        </w:rPr>
        <w:t xml:space="preserve">. The Company may amend the provisions of this Agreement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amendment that would adversely affect Holder’s rights under this Agreement shall be subject to the written consent of Holder. No course of conduct or failure or delay in enforcing the provisions of this Agreement shall affect the validity, binding effect or enforceability of this Agreement.</w:t>
      </w:r>
    </w:p>
    <w:p>
      <w:pPr>
        <w:spacing w:after="0" w:line="183" w:lineRule="exact"/>
        <w:rPr>
          <w:sz w:val="20"/>
          <w:szCs w:val="20"/>
          <w:color w:val="auto"/>
        </w:rPr>
      </w:pPr>
    </w:p>
    <w:p>
      <w:pPr>
        <w:ind w:right="80" w:firstLine="1497"/>
        <w:spacing w:after="0" w:line="246"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Counterparts</w:t>
      </w:r>
      <w:r>
        <w:rPr>
          <w:rFonts w:ascii="Arial" w:cs="Arial" w:eastAsia="Arial" w:hAnsi="Arial"/>
          <w:sz w:val="20"/>
          <w:szCs w:val="20"/>
          <w:color w:val="auto"/>
        </w:rPr>
        <w:t>. The Award Notice may be executed in two counterparts, each of which shall be deemed an original and both of which together shall constitute one and the same instrument.</w:t>
      </w:r>
    </w:p>
    <w:p>
      <w:pPr>
        <w:spacing w:after="0" w:line="177" w:lineRule="exact"/>
        <w:rPr>
          <w:sz w:val="20"/>
          <w:szCs w:val="20"/>
          <w:color w:val="auto"/>
        </w:rPr>
      </w:pPr>
    </w:p>
    <w:p>
      <w:pPr>
        <w:ind w:firstLine="1497"/>
        <w:spacing w:after="0" w:line="229"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Compliance With Section 409A of the Code</w:t>
      </w:r>
      <w:r>
        <w:rPr>
          <w:rFonts w:ascii="Arial" w:cs="Arial" w:eastAsia="Arial" w:hAnsi="Arial"/>
          <w:sz w:val="20"/>
          <w:szCs w:val="20"/>
          <w:color w:val="auto"/>
        </w:rPr>
        <w:t>. This Award is intended to be exempt from or comply with Section 409A of the Code, and shall be interpreted and construed accordingly. To the extent this Agreement provides for the Award to become vested and be settled upon the Holder’s termination of employment, the applicable shares of Common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Common Stock shall be transferred to the Holder or his or her beneficiary upon the earlier to occur of (a) the six-month anniversary of such separation from service and (b) the date of the Holder’s death.</w:t>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6" w:right="3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10.60</w:t>
      </w:r>
    </w:p>
    <w:p>
      <w:pPr>
        <w:ind w:left="462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URLINGTON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TORES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ind w:left="4380"/>
        <w:spacing w:after="0"/>
        <w:rPr>
          <w:sz w:val="20"/>
          <w:szCs w:val="20"/>
          <w:color w:val="auto"/>
        </w:rPr>
      </w:pPr>
      <w:r>
        <w:rPr>
          <w:rFonts w:ascii="Arial" w:cs="Arial" w:eastAsia="Arial" w:hAnsi="Arial"/>
          <w:sz w:val="20"/>
          <w:szCs w:val="20"/>
          <w:b w:val="1"/>
          <w:bCs w:val="1"/>
          <w:color w:val="auto"/>
        </w:rPr>
        <w:t>2013 O</w:t>
      </w:r>
      <w:r>
        <w:rPr>
          <w:rFonts w:ascii="Arial" w:cs="Arial" w:eastAsia="Arial" w:hAnsi="Arial"/>
          <w:sz w:val="13"/>
          <w:szCs w:val="13"/>
          <w:b w:val="1"/>
          <w:bCs w:val="1"/>
          <w:color w:val="auto"/>
        </w:rPr>
        <w:t>MNIBUS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-B</w:t>
      </w:r>
      <w:r>
        <w:rPr>
          <w:rFonts w:ascii="Arial" w:cs="Arial" w:eastAsia="Arial" w:hAnsi="Arial"/>
          <w:sz w:val="13"/>
          <w:szCs w:val="13"/>
          <w:b w:val="1"/>
          <w:bCs w:val="1"/>
          <w:color w:val="auto"/>
        </w:rPr>
        <w:t>ASED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OTICE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Holder]</w:t>
      </w:r>
    </w:p>
    <w:p>
      <w:pPr>
        <w:spacing w:after="0" w:line="10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You have been awarded a performance-based restricted stock unit award with respect to shares of common stock of Burlington Stores,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the terms and conditions of the Burlington Stores, Inc. 2013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the Performance-Based Restricted Stock Unit Award Agreement (together with this Award Notice, the “</w:t>
      </w:r>
      <w:r>
        <w:rPr>
          <w:rFonts w:ascii="Arial" w:cs="Arial" w:eastAsia="Arial" w:hAnsi="Arial"/>
          <w:sz w:val="20"/>
          <w:szCs w:val="20"/>
          <w:u w:val="single" w:color="auto"/>
          <w:color w:val="auto"/>
        </w:rPr>
        <w:t>Agreement</w:t>
      </w:r>
      <w:r>
        <w:rPr>
          <w:rFonts w:ascii="Arial" w:cs="Arial" w:eastAsia="Arial" w:hAnsi="Arial"/>
          <w:sz w:val="20"/>
          <w:szCs w:val="20"/>
          <w:color w:val="auto"/>
        </w:rPr>
        <w:t>”). The Performance-Based Restricted Stock Unit Award Agreement is attached hereto. Capitalized terms not defined herein shall have the meanings specified in the Plan or the Agreement.</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gridSpan w:val="5"/>
          </w:tcPr>
          <w:p>
            <w:pPr>
              <w:spacing w:after="0"/>
              <w:rPr>
                <w:sz w:val="20"/>
                <w:szCs w:val="20"/>
                <w:color w:val="auto"/>
              </w:rPr>
            </w:pPr>
            <w:r>
              <w:rPr>
                <w:rFonts w:ascii="Arial" w:cs="Arial" w:eastAsia="Arial" w:hAnsi="Arial"/>
                <w:sz w:val="20"/>
                <w:szCs w:val="20"/>
                <w:color w:val="auto"/>
              </w:rPr>
              <w:t>Target Performance-Based</w:t>
            </w:r>
          </w:p>
        </w:tc>
        <w:tc>
          <w:tcPr>
            <w:tcW w:w="8400" w:type="dxa"/>
            <w:vAlign w:val="bottom"/>
            <w:gridSpan w:val="5"/>
          </w:tcPr>
          <w:p>
            <w:pPr>
              <w:ind w:left="580"/>
              <w:spacing w:after="0"/>
              <w:rPr>
                <w:sz w:val="20"/>
                <w:szCs w:val="20"/>
                <w:color w:val="auto"/>
              </w:rPr>
            </w:pPr>
            <w:r>
              <w:rPr>
                <w:rFonts w:ascii="Arial" w:cs="Arial" w:eastAsia="Arial" w:hAnsi="Arial"/>
                <w:sz w:val="20"/>
                <w:szCs w:val="20"/>
                <w:color w:val="auto"/>
              </w:rPr>
              <w:t>You have been awarded a performance-based restricted stock unit award</w:t>
            </w:r>
          </w:p>
        </w:tc>
      </w:tr>
      <w:tr>
        <w:trPr>
          <w:trHeight w:val="642"/>
        </w:trPr>
        <w:tc>
          <w:tcPr>
            <w:tcW w:w="210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Restricted Stock Units:</w:t>
            </w:r>
          </w:p>
        </w:tc>
        <w:tc>
          <w:tcPr>
            <w:tcW w:w="580" w:type="dxa"/>
            <w:vAlign w:val="bottom"/>
          </w:tcPr>
          <w:p>
            <w:pPr>
              <w:spacing w:after="0"/>
              <w:rPr>
                <w:sz w:val="24"/>
                <w:szCs w:val="24"/>
                <w:color w:val="auto"/>
              </w:rPr>
            </w:pPr>
          </w:p>
        </w:tc>
        <w:tc>
          <w:tcPr>
            <w:tcW w:w="8400" w:type="dxa"/>
            <w:vAlign w:val="bottom"/>
            <w:gridSpan w:val="5"/>
          </w:tcPr>
          <w:p>
            <w:pPr>
              <w:ind w:left="560"/>
              <w:spacing w:after="0"/>
              <w:rPr>
                <w:sz w:val="20"/>
                <w:szCs w:val="20"/>
                <w:color w:val="auto"/>
              </w:rPr>
            </w:pPr>
            <w:r>
              <w:rPr>
                <w:rFonts w:ascii="Arial" w:cs="Arial" w:eastAsia="Arial" w:hAnsi="Arial"/>
                <w:sz w:val="20"/>
                <w:szCs w:val="20"/>
                <w:color w:val="auto"/>
                <w:w w:val="96"/>
              </w:rPr>
              <w:t xml:space="preserve">with respect to </w:t>
            </w:r>
            <w:r>
              <w:rPr>
                <w:rFonts w:ascii="Arial" w:cs="Arial" w:eastAsia="Arial" w:hAnsi="Arial"/>
                <w:sz w:val="20"/>
                <w:szCs w:val="20"/>
                <w:b w:val="1"/>
                <w:bCs w:val="1"/>
                <w:color w:val="auto"/>
                <w:w w:val="96"/>
              </w:rPr>
              <w:t>[_______]</w:t>
            </w:r>
            <w:r>
              <w:rPr>
                <w:rFonts w:ascii="Arial" w:cs="Arial" w:eastAsia="Arial" w:hAnsi="Arial"/>
                <w:sz w:val="20"/>
                <w:szCs w:val="20"/>
                <w:color w:val="auto"/>
                <w:w w:val="96"/>
              </w:rPr>
              <w:t xml:space="preserve"> shares (at target) of Common Stock, par value $0.0001 per share</w:t>
            </w:r>
          </w:p>
        </w:tc>
      </w:tr>
      <w:tr>
        <w:trPr>
          <w:trHeight w:val="183"/>
        </w:trPr>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0" w:type="dxa"/>
            <w:vAlign w:val="bottom"/>
            <w:gridSpan w:val="5"/>
          </w:tcPr>
          <w:p>
            <w:pPr>
              <w:ind w:left="560"/>
              <w:spacing w:after="0" w:line="183" w:lineRule="exact"/>
              <w:rPr>
                <w:sz w:val="20"/>
                <w:szCs w:val="20"/>
                <w:color w:val="auto"/>
              </w:rPr>
            </w:pPr>
            <w:r>
              <w:rPr>
                <w:rFonts w:ascii="Arial" w:cs="Arial" w:eastAsia="Arial" w:hAnsi="Arial"/>
                <w:sz w:val="20"/>
                <w:szCs w:val="20"/>
                <w:color w:val="auto"/>
              </w:rPr>
              <w:t>(“Common Stock”), subject to adjustment as provided in the Plan.</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642"/>
        </w:trPr>
        <w:tc>
          <w:tcPr>
            <w:tcW w:w="2680" w:type="dxa"/>
            <w:vAlign w:val="bottom"/>
            <w:gridSpan w:val="5"/>
          </w:tcPr>
          <w:p>
            <w:pPr>
              <w:spacing w:after="0"/>
              <w:rPr>
                <w:sz w:val="20"/>
                <w:szCs w:val="20"/>
                <w:color w:val="auto"/>
              </w:rPr>
            </w:pPr>
            <w:r>
              <w:rPr>
                <w:rFonts w:ascii="Arial" w:cs="Arial" w:eastAsia="Arial" w:hAnsi="Arial"/>
                <w:sz w:val="20"/>
                <w:szCs w:val="20"/>
                <w:color w:val="auto"/>
              </w:rPr>
              <w:t>Grant Date:</w:t>
            </w:r>
          </w:p>
        </w:tc>
        <w:tc>
          <w:tcPr>
            <w:tcW w:w="4160" w:type="dxa"/>
            <w:vAlign w:val="bottom"/>
            <w:gridSpan w:val="3"/>
          </w:tcPr>
          <w:p>
            <w:pPr>
              <w:ind w:left="560"/>
              <w:spacing w:after="0"/>
              <w:rPr>
                <w:sz w:val="20"/>
                <w:szCs w:val="20"/>
                <w:color w:val="auto"/>
              </w:rPr>
            </w:pPr>
            <w:r>
              <w:rPr>
                <w:rFonts w:ascii="Arial" w:cs="Arial" w:eastAsia="Arial" w:hAnsi="Arial"/>
                <w:sz w:val="20"/>
                <w:szCs w:val="20"/>
                <w:color w:val="auto"/>
              </w:rPr>
              <w:t>[____________________, _____]</w:t>
            </w:r>
          </w:p>
        </w:tc>
        <w:tc>
          <w:tcPr>
            <w:tcW w:w="15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642"/>
        </w:trPr>
        <w:tc>
          <w:tcPr>
            <w:tcW w:w="2680" w:type="dxa"/>
            <w:vAlign w:val="bottom"/>
            <w:gridSpan w:val="5"/>
          </w:tcPr>
          <w:p>
            <w:pPr>
              <w:spacing w:after="0"/>
              <w:rPr>
                <w:sz w:val="20"/>
                <w:szCs w:val="20"/>
                <w:color w:val="auto"/>
              </w:rPr>
            </w:pPr>
            <w:r>
              <w:rPr>
                <w:rFonts w:ascii="Arial" w:cs="Arial" w:eastAsia="Arial" w:hAnsi="Arial"/>
                <w:sz w:val="20"/>
                <w:szCs w:val="20"/>
                <w:color w:val="auto"/>
              </w:rPr>
              <w:t>Vesting Schedule:</w:t>
            </w:r>
          </w:p>
        </w:tc>
        <w:tc>
          <w:tcPr>
            <w:tcW w:w="8400" w:type="dxa"/>
            <w:vAlign w:val="bottom"/>
            <w:gridSpan w:val="5"/>
          </w:tcPr>
          <w:p>
            <w:pPr>
              <w:ind w:left="560"/>
              <w:spacing w:after="0"/>
              <w:rPr>
                <w:sz w:val="20"/>
                <w:szCs w:val="20"/>
                <w:color w:val="auto"/>
              </w:rPr>
            </w:pPr>
            <w:r>
              <w:rPr>
                <w:rFonts w:ascii="Arial" w:cs="Arial" w:eastAsia="Arial" w:hAnsi="Arial"/>
                <w:sz w:val="20"/>
                <w:szCs w:val="20"/>
                <w:color w:val="auto"/>
                <w:w w:val="94"/>
              </w:rPr>
              <w:t>Except as otherwise provided in the Plan, the Agreement or any other agreement between the</w:t>
            </w:r>
          </w:p>
        </w:tc>
      </w:tr>
      <w:tr>
        <w:trPr>
          <w:trHeight w:val="179"/>
        </w:trPr>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0" w:type="dxa"/>
            <w:vAlign w:val="bottom"/>
            <w:gridSpan w:val="5"/>
          </w:tcPr>
          <w:p>
            <w:pPr>
              <w:ind w:left="560"/>
              <w:spacing w:after="0" w:line="179" w:lineRule="exact"/>
              <w:rPr>
                <w:sz w:val="20"/>
                <w:szCs w:val="20"/>
                <w:color w:val="auto"/>
              </w:rPr>
            </w:pPr>
            <w:r>
              <w:rPr>
                <w:rFonts w:ascii="Arial" w:cs="Arial" w:eastAsia="Arial" w:hAnsi="Arial"/>
                <w:sz w:val="20"/>
                <w:szCs w:val="20"/>
                <w:color w:val="auto"/>
                <w:w w:val="90"/>
              </w:rPr>
              <w:t>Company or any of its Subsidiaries and Holder, the Award shall vest based on the achievement of</w:t>
            </w:r>
          </w:p>
        </w:tc>
      </w:tr>
      <w:tr>
        <w:trPr>
          <w:trHeight w:val="203"/>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0" w:type="dxa"/>
            <w:vAlign w:val="bottom"/>
            <w:gridSpan w:val="5"/>
          </w:tcPr>
          <w:p>
            <w:pPr>
              <w:ind w:left="560"/>
              <w:spacing w:after="0" w:line="203" w:lineRule="exact"/>
              <w:rPr>
                <w:sz w:val="20"/>
                <w:szCs w:val="20"/>
                <w:color w:val="auto"/>
              </w:rPr>
            </w:pPr>
            <w:r>
              <w:rPr>
                <w:rFonts w:ascii="Arial" w:cs="Arial" w:eastAsia="Arial" w:hAnsi="Arial"/>
                <w:sz w:val="20"/>
                <w:szCs w:val="20"/>
                <w:color w:val="auto"/>
              </w:rPr>
              <w:t>the performance goals set forth in this Award Notice over the</w:t>
            </w:r>
          </w:p>
        </w:tc>
      </w:tr>
      <w:tr>
        <w:trPr>
          <w:trHeight w:val="20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0" w:type="dxa"/>
            <w:vAlign w:val="bottom"/>
            <w:gridSpan w:val="5"/>
          </w:tcPr>
          <w:p>
            <w:pPr>
              <w:ind w:left="560"/>
              <w:spacing w:after="0" w:line="206" w:lineRule="exact"/>
              <w:rPr>
                <w:sz w:val="20"/>
                <w:szCs w:val="20"/>
                <w:color w:val="auto"/>
              </w:rPr>
            </w:pPr>
            <w:r>
              <w:rPr>
                <w:rFonts w:ascii="Arial" w:cs="Arial" w:eastAsia="Arial" w:hAnsi="Arial"/>
                <w:sz w:val="20"/>
                <w:szCs w:val="20"/>
                <w:color w:val="auto"/>
                <w:w w:val="95"/>
              </w:rPr>
              <w:t>[______________________________] (the “Performance Period”), provided Holder remains</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9"/>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0" w:type="dxa"/>
            <w:vAlign w:val="bottom"/>
            <w:gridSpan w:val="5"/>
          </w:tcPr>
          <w:p>
            <w:pPr>
              <w:ind w:left="560"/>
              <w:spacing w:after="0" w:line="179" w:lineRule="exact"/>
              <w:rPr>
                <w:sz w:val="20"/>
                <w:szCs w:val="20"/>
                <w:color w:val="auto"/>
              </w:rPr>
            </w:pPr>
            <w:r>
              <w:rPr>
                <w:rFonts w:ascii="Arial" w:cs="Arial" w:eastAsia="Arial" w:hAnsi="Arial"/>
                <w:sz w:val="20"/>
                <w:szCs w:val="20"/>
                <w:color w:val="auto"/>
                <w:w w:val="89"/>
              </w:rPr>
              <w:t>continuously employed by the Company or its Subsidiaries through the date on which the Award is</w:t>
            </w:r>
          </w:p>
        </w:tc>
      </w:tr>
      <w:tr>
        <w:trPr>
          <w:trHeight w:val="203"/>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0" w:type="dxa"/>
            <w:vAlign w:val="bottom"/>
            <w:gridSpan w:val="5"/>
          </w:tcPr>
          <w:p>
            <w:pPr>
              <w:ind w:left="560"/>
              <w:spacing w:after="0" w:line="203" w:lineRule="exact"/>
              <w:rPr>
                <w:sz w:val="20"/>
                <w:szCs w:val="20"/>
                <w:color w:val="auto"/>
              </w:rPr>
            </w:pPr>
            <w:r>
              <w:rPr>
                <w:rFonts w:ascii="Arial" w:cs="Arial" w:eastAsia="Arial" w:hAnsi="Arial"/>
                <w:sz w:val="20"/>
                <w:szCs w:val="20"/>
                <w:color w:val="auto"/>
                <w:w w:val="93"/>
              </w:rPr>
              <w:t>settled (the “Vesting Date”), which shall be no later than 60 days following the conclusion of the</w:t>
            </w:r>
          </w:p>
        </w:tc>
      </w:tr>
      <w:tr>
        <w:trPr>
          <w:trHeight w:val="203"/>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0" w:type="dxa"/>
            <w:vAlign w:val="bottom"/>
            <w:gridSpan w:val="5"/>
          </w:tcPr>
          <w:p>
            <w:pPr>
              <w:ind w:left="560"/>
              <w:spacing w:after="0" w:line="203" w:lineRule="exact"/>
              <w:rPr>
                <w:sz w:val="20"/>
                <w:szCs w:val="20"/>
                <w:color w:val="auto"/>
              </w:rPr>
            </w:pPr>
            <w:r>
              <w:rPr>
                <w:rFonts w:ascii="Arial" w:cs="Arial" w:eastAsia="Arial" w:hAnsi="Arial"/>
                <w:sz w:val="20"/>
                <w:szCs w:val="20"/>
                <w:color w:val="auto"/>
                <w:w w:val="90"/>
              </w:rPr>
              <w:t>Performance Period. Attainment of the performance goals shall be determined and certified by the</w:t>
            </w:r>
          </w:p>
        </w:tc>
      </w:tr>
      <w:tr>
        <w:trPr>
          <w:trHeight w:val="250"/>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0" w:type="dxa"/>
            <w:vAlign w:val="bottom"/>
            <w:gridSpan w:val="5"/>
          </w:tcPr>
          <w:p>
            <w:pPr>
              <w:ind w:left="560"/>
              <w:spacing w:after="0"/>
              <w:rPr>
                <w:sz w:val="20"/>
                <w:szCs w:val="20"/>
                <w:color w:val="auto"/>
              </w:rPr>
            </w:pPr>
            <w:r>
              <w:rPr>
                <w:rFonts w:ascii="Arial" w:cs="Arial" w:eastAsia="Arial" w:hAnsi="Arial"/>
                <w:sz w:val="20"/>
                <w:szCs w:val="20"/>
                <w:color w:val="auto"/>
              </w:rPr>
              <w:t>Committee in writing prior to the settlement of the Award.</w:t>
            </w:r>
          </w:p>
        </w:tc>
      </w:tr>
    </w:tbl>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Performance Conditions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BURLINGTON STORES,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ind w:left="5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Acknowledgment, Acceptance and Agreement:</w:t>
      </w:r>
    </w:p>
    <w:p>
      <w:pPr>
        <w:spacing w:after="0" w:line="202" w:lineRule="exact"/>
        <w:rPr>
          <w:sz w:val="20"/>
          <w:szCs w:val="20"/>
          <w:color w:val="auto"/>
        </w:rPr>
      </w:pPr>
    </w:p>
    <w:p>
      <w:pPr>
        <w:spacing w:after="0" w:line="368" w:lineRule="auto"/>
        <w:rPr>
          <w:sz w:val="20"/>
          <w:szCs w:val="20"/>
          <w:color w:val="auto"/>
        </w:rPr>
      </w:pPr>
      <w:r>
        <w:rPr>
          <w:rFonts w:ascii="Arial" w:cs="Arial" w:eastAsia="Arial" w:hAnsi="Arial"/>
          <w:sz w:val="16"/>
          <w:szCs w:val="16"/>
          <w:color w:val="auto"/>
        </w:rPr>
        <w:t>By accepting this grant on the Company’s stock plan administrator’s website, I hereby accept the performance-based restricted stock units granted to me and acknowledge and agree to be bound by the terms and conditions of this Award Notice, the Agreement and the Plan.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Holder Name</w:t>
      </w:r>
    </w:p>
    <w:p>
      <w:pPr>
        <w:spacing w:after="0" w:line="186" w:lineRule="exact"/>
        <w:rPr>
          <w:sz w:val="20"/>
          <w:szCs w:val="20"/>
          <w:color w:val="auto"/>
        </w:rPr>
      </w:pPr>
    </w:p>
    <w:p>
      <w:pPr>
        <w:spacing w:after="0"/>
        <w:tabs>
          <w:tab w:leader="none" w:pos="4640" w:val="left"/>
        </w:tabs>
        <w:rPr>
          <w:sz w:val="20"/>
          <w:szCs w:val="20"/>
          <w:color w:val="auto"/>
        </w:rPr>
      </w:pPr>
      <w:r>
        <w:rPr>
          <w:rFonts w:ascii="Arial" w:cs="Arial" w:eastAsia="Arial" w:hAnsi="Arial"/>
          <w:sz w:val="20"/>
          <w:szCs w:val="20"/>
          <w:color w:val="auto"/>
        </w:rPr>
        <w:t>__________________________________</w:t>
      </w:r>
      <w:r>
        <w:rPr>
          <w:sz w:val="20"/>
          <w:szCs w:val="20"/>
          <w:color w:val="auto"/>
        </w:rPr>
        <w:tab/>
      </w:r>
      <w:r>
        <w:rPr>
          <w:rFonts w:ascii="Arial" w:cs="Arial" w:eastAsia="Arial" w:hAnsi="Arial"/>
          <w:sz w:val="20"/>
          <w:szCs w:val="20"/>
          <w:color w:val="auto"/>
        </w:rPr>
        <w:t>Date_______________________________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25" w:right="6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0"/>
          <w:szCs w:val="20"/>
          <w:b w:val="1"/>
          <w:bCs w:val="1"/>
          <w:color w:val="auto"/>
        </w:rPr>
        <w:t>Burlington Stores,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2013 Omnibus Incentive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Performance-Based Restricted Stock Unit Award Agreement</w:t>
      </w:r>
    </w:p>
    <w:p>
      <w:pPr>
        <w:spacing w:after="0" w:line="208" w:lineRule="exact"/>
        <w:rPr>
          <w:sz w:val="20"/>
          <w:szCs w:val="20"/>
          <w:color w:val="auto"/>
        </w:rPr>
      </w:pPr>
    </w:p>
    <w:p>
      <w:pPr>
        <w:ind w:right="60" w:firstLine="749"/>
        <w:spacing w:after="0" w:line="244" w:lineRule="auto"/>
        <w:rPr>
          <w:sz w:val="20"/>
          <w:szCs w:val="20"/>
          <w:color w:val="auto"/>
        </w:rPr>
      </w:pPr>
      <w:r>
        <w:rPr>
          <w:rFonts w:ascii="Arial" w:cs="Arial" w:eastAsia="Arial" w:hAnsi="Arial"/>
          <w:sz w:val="19"/>
          <w:szCs w:val="19"/>
          <w:color w:val="auto"/>
        </w:rPr>
        <w:t>Burlington Stores,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individual (the “</w:t>
      </w:r>
      <w:r>
        <w:rPr>
          <w:rFonts w:ascii="Arial" w:cs="Arial" w:eastAsia="Arial" w:hAnsi="Arial"/>
          <w:sz w:val="19"/>
          <w:szCs w:val="19"/>
          <w:u w:val="single" w:color="auto"/>
          <w:color w:val="auto"/>
        </w:rPr>
        <w:t>Holder</w:t>
      </w:r>
      <w:r>
        <w:rPr>
          <w:rFonts w:ascii="Arial" w:cs="Arial" w:eastAsia="Arial" w:hAnsi="Arial"/>
          <w:sz w:val="19"/>
          <w:szCs w:val="19"/>
          <w:color w:val="auto"/>
        </w:rPr>
        <w:t>”) named in the award notice attached hereto (the “</w:t>
      </w:r>
      <w:r>
        <w:rPr>
          <w:rFonts w:ascii="Arial" w:cs="Arial" w:eastAsia="Arial" w:hAnsi="Arial"/>
          <w:sz w:val="19"/>
          <w:szCs w:val="19"/>
          <w:u w:val="single" w:color="auto"/>
          <w:color w:val="auto"/>
        </w:rPr>
        <w:t>Award Notice</w:t>
      </w:r>
      <w:r>
        <w:rPr>
          <w:rFonts w:ascii="Arial" w:cs="Arial" w:eastAsia="Arial" w:hAnsi="Arial"/>
          <w:sz w:val="19"/>
          <w:szCs w:val="19"/>
          <w:color w:val="auto"/>
        </w:rPr>
        <w:t>”) as of the date set forth in the Award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pursuant to the provisions of the Burlington Stores, Inc.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 performance-based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with respect to the number of shares of the Company’s Common Stock, par value $0.0001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set forth in the Award Notice, upon and subject to the restrictions, terms and conditions set forth in the Award Notice, the Plan and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not defined herein shall have the meanings specified in the Plan.</w:t>
      </w:r>
    </w:p>
    <w:p>
      <w:pPr>
        <w:spacing w:after="0" w:line="179" w:lineRule="exact"/>
        <w:rPr>
          <w:sz w:val="20"/>
          <w:szCs w:val="20"/>
          <w:color w:val="auto"/>
        </w:rPr>
      </w:pPr>
    </w:p>
    <w:p>
      <w:pPr>
        <w:ind w:right="100" w:firstLine="757"/>
        <w:spacing w:after="0" w:line="234" w:lineRule="auto"/>
        <w:tabs>
          <w:tab w:leader="none" w:pos="149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Award Subject to Acceptance of Agreement</w:t>
      </w:r>
      <w:r>
        <w:rPr>
          <w:rFonts w:ascii="Arial" w:cs="Arial" w:eastAsia="Arial" w:hAnsi="Arial"/>
          <w:sz w:val="20"/>
          <w:szCs w:val="20"/>
          <w:color w:val="auto"/>
        </w:rPr>
        <w:t>. The Award shall be null and void unless Holder electronically accepts this Agreement within Holder’s stock plan account with the Company’s stock plan administrator according to the procedures then in effect (or, if permitted by the Company, accepts this Agreement by executing the Award Notice in the space provided therefor and returning an original execution copy of the Award Notice to the Company).</w:t>
      </w:r>
    </w:p>
    <w:p>
      <w:pPr>
        <w:spacing w:after="0" w:line="183" w:lineRule="exact"/>
        <w:rPr>
          <w:rFonts w:ascii="Arial" w:cs="Arial" w:eastAsia="Arial" w:hAnsi="Arial"/>
          <w:sz w:val="20"/>
          <w:szCs w:val="20"/>
          <w:color w:val="auto"/>
        </w:rPr>
      </w:pPr>
    </w:p>
    <w:p>
      <w:pPr>
        <w:ind w:right="60" w:firstLine="757"/>
        <w:spacing w:after="0" w:line="237" w:lineRule="auto"/>
        <w:tabs>
          <w:tab w:leader="none" w:pos="149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xml:space="preserve">. Holder shall not be entitled to any privileges of ownership with respect to the shares of Common Stock subject to the Award unless and until, and only to the extent, such shares become vested pursuant to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and Holder becomes a stockholder of record with respect to such shares.</w:t>
      </w:r>
    </w:p>
    <w:p>
      <w:pPr>
        <w:spacing w:after="0" w:line="182" w:lineRule="exact"/>
        <w:rPr>
          <w:rFonts w:ascii="Arial" w:cs="Arial" w:eastAsia="Arial" w:hAnsi="Arial"/>
          <w:sz w:val="20"/>
          <w:szCs w:val="20"/>
          <w:color w:val="auto"/>
        </w:rPr>
      </w:pPr>
    </w:p>
    <w:p>
      <w:pPr>
        <w:ind w:left="1500" w:hanging="743"/>
        <w:spacing w:after="0"/>
        <w:tabs>
          <w:tab w:leader="none" w:pos="150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Restriction Period and Vesting</w:t>
      </w:r>
      <w:r>
        <w:rPr>
          <w:rFonts w:ascii="Arial" w:cs="Arial" w:eastAsia="Arial" w:hAnsi="Arial"/>
          <w:sz w:val="20"/>
          <w:szCs w:val="20"/>
          <w:color w:val="auto"/>
        </w:rPr>
        <w:t>.</w:t>
      </w:r>
    </w:p>
    <w:p>
      <w:pPr>
        <w:spacing w:after="0" w:line="202" w:lineRule="exact"/>
        <w:rPr>
          <w:sz w:val="20"/>
          <w:szCs w:val="20"/>
          <w:color w:val="auto"/>
        </w:rPr>
      </w:pPr>
    </w:p>
    <w:p>
      <w:pPr>
        <w:ind w:right="60" w:firstLine="1497"/>
        <w:spacing w:after="0" w:line="24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Performance-Based Vesting Conditions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Common Stock shall vest pursuant to the terms of this Agreement and the Plan based on the achievement of the performance goals set forth in the Award Notice over the performance period set forth in the Award Notice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provided that that Holder remains in continuous employment with the Company or its Subsidiaries through the date on which the Award is settled (the “Vesting Date”), which shall be no later than 60 days following the conclusion of the Performance Period. Attainment of the performance goals shall be determined and certified by the Committee in writing prior to the settlement of the Award.</w:t>
      </w:r>
    </w:p>
    <w:p>
      <w:pPr>
        <w:spacing w:after="0" w:line="155"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900" w:type="dxa"/>
            <w:vAlign w:val="bottom"/>
          </w:tcPr>
          <w:p>
            <w:pPr>
              <w:jc w:val="right"/>
              <w:ind w:right="501"/>
              <w:spacing w:after="0"/>
              <w:rPr>
                <w:sz w:val="20"/>
                <w:szCs w:val="20"/>
                <w:color w:val="auto"/>
              </w:rPr>
            </w:pPr>
            <w:r>
              <w:rPr>
                <w:rFonts w:ascii="Arial" w:cs="Arial" w:eastAsia="Arial" w:hAnsi="Arial"/>
                <w:sz w:val="20"/>
                <w:szCs w:val="20"/>
                <w:color w:val="auto"/>
                <w:w w:val="83"/>
              </w:rPr>
              <w:t>3.2.</w:t>
            </w:r>
          </w:p>
        </w:tc>
        <w:tc>
          <w:tcPr>
            <w:tcW w:w="60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20"/>
                <w:szCs w:val="20"/>
                <w:color w:val="auto"/>
              </w:rPr>
              <w:t>Termination of Employment.</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0"/>
                <w:szCs w:val="20"/>
                <w:color w:val="auto"/>
              </w:rPr>
              <w:t>(a)</w:t>
            </w:r>
          </w:p>
        </w:tc>
        <w:tc>
          <w:tcPr>
            <w:tcW w:w="5800" w:type="dxa"/>
            <w:vAlign w:val="bottom"/>
            <w:gridSpan w:val="2"/>
          </w:tcPr>
          <w:p>
            <w:pPr>
              <w:spacing w:after="0"/>
              <w:rPr>
                <w:sz w:val="20"/>
                <w:szCs w:val="20"/>
                <w:color w:val="auto"/>
              </w:rPr>
            </w:pPr>
            <w:r>
              <w:rPr>
                <w:rFonts w:ascii="Arial" w:cs="Arial" w:eastAsia="Arial" w:hAnsi="Arial"/>
                <w:sz w:val="20"/>
                <w:szCs w:val="20"/>
                <w:color w:val="auto"/>
                <w:w w:val="92"/>
              </w:rPr>
              <w:t>Termination due to Death or Disability. If Holder’s employment with the</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ind w:left="760"/>
        <w:spacing w:after="0" w:line="257" w:lineRule="auto"/>
        <w:rPr>
          <w:sz w:val="20"/>
          <w:szCs w:val="20"/>
          <w:color w:val="auto"/>
        </w:rPr>
      </w:pPr>
      <w:r>
        <w:rPr>
          <w:rFonts w:ascii="Arial" w:cs="Arial" w:eastAsia="Arial" w:hAnsi="Arial"/>
          <w:sz w:val="18"/>
          <w:szCs w:val="18"/>
          <w:color w:val="auto"/>
        </w:rPr>
        <w:t xml:space="preserve">Company and its Subsidiaries terminates prior to the Vesting Date by reason of Holder’s death or termination by the Company or its Subsidiaries due to Disability, then in either such case, Holder shall vest in a prorated Award. Such prorated Award shall be equal to the number of shares of Common Stock assuming that the performance goals set forth in the Award Notice were satisfied at target multiplied by a fraction, the numerator of which shall equal the number of days in the Performance Period during which Holder was employed by the Company and its Subsidiaries and the denominator of which shall equal the total number of days in the Performance Period. Subject to </w:t>
      </w:r>
      <w:r>
        <w:rPr>
          <w:rFonts w:ascii="Arial" w:cs="Arial" w:eastAsia="Arial" w:hAnsi="Arial"/>
          <w:sz w:val="18"/>
          <w:szCs w:val="18"/>
          <w:u w:val="single" w:color="auto"/>
          <w:color w:val="auto"/>
        </w:rPr>
        <w:t>Section 8.13</w:t>
      </w:r>
      <w:r>
        <w:rPr>
          <w:rFonts w:ascii="Arial" w:cs="Arial" w:eastAsia="Arial" w:hAnsi="Arial"/>
          <w:sz w:val="18"/>
          <w:szCs w:val="18"/>
          <w:color w:val="auto"/>
        </w:rPr>
        <w:t>, the vested portion of the Award shall be settled within 60 days following the Holder’s death or termination due to Disability; provided, however, if the Award is “nonqualified deferred compensation” within the meaning of Section 409A of the Code, then the portion of the Award that becomes vested upon a termination due to Disability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0" w:name="page121"/>
    <w:bookmarkEnd w:id="120"/>
    <w:p>
      <w:pPr>
        <w:ind w:left="320" w:right="80"/>
        <w:spacing w:after="0" w:line="246" w:lineRule="auto"/>
        <w:rPr>
          <w:sz w:val="20"/>
          <w:szCs w:val="20"/>
          <w:color w:val="auto"/>
        </w:rPr>
      </w:pPr>
      <w:r>
        <w:rPr>
          <w:rFonts w:ascii="Arial" w:cs="Arial" w:eastAsia="Arial" w:hAnsi="Arial"/>
          <w:sz w:val="19"/>
          <w:szCs w:val="19"/>
          <w:color w:val="auto"/>
        </w:rPr>
        <w:t xml:space="preserve">shall be settled within 60 days after the expiration of the Performance Period to the extent required to comply with Section 409A of the Code. The portion of the Award that does not vest pursuant to this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shall be forfeited by Holder and cancelled by the Company.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that the Holder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6" w:lineRule="exact"/>
        <w:rPr>
          <w:sz w:val="20"/>
          <w:szCs w:val="20"/>
          <w:color w:val="auto"/>
        </w:rPr>
      </w:pPr>
    </w:p>
    <w:p>
      <w:pPr>
        <w:ind w:left="2560"/>
        <w:spacing w:after="0"/>
        <w:tabs>
          <w:tab w:leader="none" w:pos="47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u w:val="single" w:color="auto"/>
          <w:color w:val="auto"/>
        </w:rPr>
        <w:t>Termination due to a Reduction in Force or Retirement</w:t>
      </w:r>
      <w:r>
        <w:rPr>
          <w:rFonts w:ascii="Arial" w:cs="Arial" w:eastAsia="Arial" w:hAnsi="Arial"/>
          <w:sz w:val="20"/>
          <w:szCs w:val="20"/>
          <w:color w:val="auto"/>
        </w:rPr>
        <w:t>. Except as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provided for in </w:t>
      </w:r>
      <w:r>
        <w:rPr>
          <w:rFonts w:ascii="Arial" w:cs="Arial" w:eastAsia="Arial" w:hAnsi="Arial"/>
          <w:sz w:val="18"/>
          <w:szCs w:val="18"/>
          <w:u w:val="single" w:color="auto"/>
          <w:color w:val="auto"/>
        </w:rPr>
        <w:t>Section 3(c)</w:t>
      </w:r>
      <w:r>
        <w:rPr>
          <w:rFonts w:ascii="Arial" w:cs="Arial" w:eastAsia="Arial" w:hAnsi="Arial"/>
          <w:sz w:val="18"/>
          <w:szCs w:val="18"/>
          <w:color w:val="auto"/>
        </w:rPr>
        <w:t>¸ if Holder’s employment with the Company and its Subsidiaries is terminated prior to the Vesting Date</w:t>
      </w:r>
    </w:p>
    <w:p>
      <w:pPr>
        <w:spacing w:after="0" w:line="9" w:lineRule="exact"/>
        <w:rPr>
          <w:sz w:val="20"/>
          <w:szCs w:val="20"/>
          <w:color w:val="auto"/>
        </w:rPr>
      </w:pPr>
    </w:p>
    <w:p>
      <w:pPr>
        <w:ind w:left="320" w:right="40" w:hanging="3"/>
        <w:spacing w:after="0" w:line="253" w:lineRule="auto"/>
        <w:tabs>
          <w:tab w:leader="none" w:pos="5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the Company or its Subsidiaries due to a reduction in force, as determined by the Committee in its sole and absolute discretion (provided that Holder has not committed an act constituting grounds for a termination for Cause) or (ii) by Holder due to Retirement (as defined below), then in either such case the Award shall vest on a prorated basis. Such prorated Award shall be equal to the number of shares of Common Stock earned at the end of the Performance Period based on actual performance during the Performance Period multiplied by a fraction, the numerator of which shall equal the number of days in the Performance Period during which Holder was employed by the Company and its Subsidiaries and the denominator of which shall equal the total number of days in the Performance Period. For purposes of this Agreement,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shall mean the Holder’s resignation from the Company and its Subsidiaries occurring on or after Holder attaining age 60 with at least ten continuous years of service to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the Company has grounds to terminate the employment of Holder for Cause, then Holder shall not be eligible for the vesting provisions set forth in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The portion of the Award that does not vest pursuant to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shall be forfeited by Holder and cancelled by the Company.</w:t>
      </w:r>
    </w:p>
    <w:p>
      <w:pPr>
        <w:spacing w:after="0" w:line="176" w:lineRule="exact"/>
        <w:rPr>
          <w:sz w:val="20"/>
          <w:szCs w:val="20"/>
          <w:color w:val="auto"/>
        </w:rPr>
      </w:pPr>
    </w:p>
    <w:p>
      <w:pPr>
        <w:ind w:left="2560"/>
        <w:spacing w:after="0"/>
        <w:tabs>
          <w:tab w:leader="none" w:pos="47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Change in Control Qualifying Termination</w:t>
      </w:r>
      <w:r>
        <w:rPr>
          <w:rFonts w:ascii="Arial" w:cs="Arial" w:eastAsia="Arial" w:hAnsi="Arial"/>
          <w:sz w:val="19"/>
          <w:szCs w:val="19"/>
          <w:color w:val="auto"/>
        </w:rPr>
        <w:t>. If Holder’s employment with</w:t>
      </w:r>
    </w:p>
    <w:p>
      <w:pPr>
        <w:spacing w:after="0" w:line="14"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color w:val="auto"/>
        </w:rPr>
        <w:t xml:space="preserve">the Company and its Subsidiaries terminates due to a Change in Control Qualifying Termination prior to the Vesting Date, then the Award shall vest as of the date of termination of employment, assuming that the performance goals set forth in the Award Notice were satisfied at target. Subject to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the vested portion of the Award shall be settled within 60 days following the Holder’s Change in Control Qualifying Termination; provided, however, if the Award is “nonqualified deferred compensation” within the meaning of Section 409A of the Code and the Change in Control is not a “change in control event” within the meaning of Section 409A of the Code or as otherwise required to comply with Section 409A of the Code, then the portion of the Award that becomes vested upon such Change in Control Qualifying Termination shall be settled within 60 days after the expiration of the Performance Period to the extent required to comply with Section 409A of the Code. The portion of the Award that does not vest pursuant to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shall be forfeited by the Holder. Except as otherwise provided in any other agreement between the Company or any of its Subsidiaries and Holder, a Change in Control Qualifying Termination means (i) if Holder is a party to an employment agreement with the Company or one of its Subsidiaries or are subject to the Burlington Stores, Inc. Executive Severance Plan (Merchandising &amp; Planning) (the “</w:t>
      </w:r>
      <w:r>
        <w:rPr>
          <w:rFonts w:ascii="Arial" w:cs="Arial" w:eastAsia="Arial" w:hAnsi="Arial"/>
          <w:sz w:val="18"/>
          <w:szCs w:val="18"/>
          <w:u w:val="single" w:color="auto"/>
          <w:color w:val="auto"/>
        </w:rPr>
        <w:t>Severance Plan</w:t>
      </w:r>
      <w:r>
        <w:rPr>
          <w:rFonts w:ascii="Arial" w:cs="Arial" w:eastAsia="Arial" w:hAnsi="Arial"/>
          <w:sz w:val="18"/>
          <w:szCs w:val="18"/>
          <w:color w:val="auto"/>
        </w:rPr>
        <w:t>”) on the Grant Date, then a termination of Holder’s employment by the Company or a Subsidiary without Cause or resignation by Holder for Good Reason within the two year period immediately following a Change in Control or (ii) if Holder is not a party to an employment agreement with the Company or one of its Subsidiaries or subject to the Severance Plan on the Grant Date, then a termination of Holder’s employment by the Company or a Subsidiary without Cause within the one year period immediately following a Change in Control. Notwithstanding anything in the Agreement or in the Plan to the contrary, for purposes of the Agreement, (x) in the case of clause (i) of the preceding sentence, if Holder is a party to an employment agreement with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25" w:right="339" w:bottom="1440" w:gutter="0" w:footer="0" w:header="0"/>
        </w:sectPr>
      </w:pPr>
    </w:p>
    <w:bookmarkStart w:id="121" w:name="page122"/>
    <w:bookmarkEnd w:id="121"/>
    <w:p>
      <w:pPr>
        <w:ind w:left="760" w:right="160"/>
        <w:spacing w:after="0" w:line="232" w:lineRule="auto"/>
        <w:rPr>
          <w:sz w:val="20"/>
          <w:szCs w:val="20"/>
          <w:color w:val="auto"/>
        </w:rPr>
      </w:pPr>
      <w:r>
        <w:rPr>
          <w:rFonts w:ascii="Arial" w:cs="Arial" w:eastAsia="Arial" w:hAnsi="Arial"/>
          <w:sz w:val="20"/>
          <w:szCs w:val="20"/>
          <w:color w:val="auto"/>
        </w:rPr>
        <w:t>the Company or one of its Subsidiaries on the Grant Date, “Cause” and “Good Reason” shall have the meanings provided in the terms of such employment agreement and if Holder is not a party to an employment agreement with the Company or one of its Subsidiaries on the Grant Date, “Cause” and “Good Reason” shall have the meanings provided in the terms of the Severance Plan, as in effect on the Grant Date and (y) in the case of clause (ii) of the preceding sentence, “Cause” shall have the meaning provided in the Plan.</w:t>
      </w:r>
    </w:p>
    <w:p>
      <w:pPr>
        <w:spacing w:after="0" w:line="200" w:lineRule="exact"/>
        <w:rPr>
          <w:sz w:val="20"/>
          <w:szCs w:val="20"/>
          <w:color w:val="auto"/>
        </w:rPr>
      </w:pPr>
    </w:p>
    <w:p>
      <w:pPr>
        <w:spacing w:after="0" w:line="227" w:lineRule="exact"/>
        <w:rPr>
          <w:sz w:val="20"/>
          <w:szCs w:val="20"/>
          <w:color w:val="auto"/>
        </w:rPr>
      </w:pPr>
    </w:p>
    <w:p>
      <w:pPr>
        <w:ind w:left="760" w:right="180" w:firstLine="2246"/>
        <w:spacing w:after="0" w:line="233"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xml:space="preserve">. If (i) Holder’s employment with the Company and its Subsidiaries terminates prior to the Vesting Date for any reason other than as specified in </w:t>
      </w:r>
      <w:r>
        <w:rPr>
          <w:rFonts w:ascii="Arial" w:cs="Arial" w:eastAsia="Arial" w:hAnsi="Arial"/>
          <w:sz w:val="20"/>
          <w:szCs w:val="20"/>
          <w:u w:val="single" w:color="auto"/>
          <w:color w:val="auto"/>
        </w:rPr>
        <w:t>Sections 3.2(a)</w:t>
      </w:r>
      <w:r>
        <w:rPr>
          <w:rFonts w:ascii="Arial" w:cs="Arial" w:eastAsia="Arial" w:hAnsi="Arial"/>
          <w:sz w:val="20"/>
          <w:szCs w:val="20"/>
          <w:color w:val="auto"/>
        </w:rPr>
        <w:t xml:space="preserve"> –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w:t>
      </w:r>
    </w:p>
    <w:p>
      <w:pPr>
        <w:spacing w:after="0" w:line="1" w:lineRule="exact"/>
        <w:rPr>
          <w:sz w:val="20"/>
          <w:szCs w:val="20"/>
          <w:color w:val="auto"/>
        </w:rPr>
      </w:pPr>
    </w:p>
    <w:p>
      <w:pPr>
        <w:ind w:left="760" w:right="360" w:hanging="3"/>
        <w:spacing w:after="0" w:line="282" w:lineRule="auto"/>
        <w:tabs>
          <w:tab w:leader="none" w:pos="10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Holder breaches any non-competition obligation Holder has to the Company or any of its Subsidiaries under any agreement, then the unvested portion of the Award shall be immediately forfeited by Holder and cancelled by the Company.</w:t>
      </w:r>
    </w:p>
    <w:p>
      <w:pPr>
        <w:spacing w:after="0" w:line="146" w:lineRule="exact"/>
        <w:rPr>
          <w:sz w:val="20"/>
          <w:szCs w:val="20"/>
          <w:color w:val="auto"/>
        </w:rPr>
      </w:pPr>
    </w:p>
    <w:p>
      <w:pPr>
        <w:ind w:firstLine="757"/>
        <w:spacing w:after="0" w:line="258" w:lineRule="auto"/>
        <w:tabs>
          <w:tab w:leader="none" w:pos="149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Issuance or Delivery of Shares</w:t>
      </w:r>
      <w:r>
        <w:rPr>
          <w:rFonts w:ascii="Arial" w:cs="Arial" w:eastAsia="Arial" w:hAnsi="Arial"/>
          <w:sz w:val="18"/>
          <w:szCs w:val="18"/>
          <w:color w:val="auto"/>
        </w:rPr>
        <w:t xml:space="preserve">. Except as otherwise provided for herein, within 60 days after the expiration of the Performance Period (or, if earlier, in accordance with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3.2(c)</w:t>
      </w:r>
      <w:r>
        <w:rPr>
          <w:rFonts w:ascii="Arial" w:cs="Arial" w:eastAsia="Arial" w:hAnsi="Arial"/>
          <w:sz w:val="18"/>
          <w:szCs w:val="18"/>
          <w:color w:val="auto"/>
        </w:rPr>
        <w:t xml:space="preserve">), the Company shall issue or deliver, subject to the conditions of this Agreement, the vested shares of Common Stock to Holder. Such issuance or delivery shall be evidenced by the appropriate entry on the books of the Company or of a duly authorized transfer agent of the Company. The Company shall pay all original issue or transfer taxes and all fees and expenses incident to such issuance or delivery, except as otherwise provided in </w:t>
      </w:r>
      <w:r>
        <w:rPr>
          <w:rFonts w:ascii="Arial" w:cs="Arial" w:eastAsia="Arial" w:hAnsi="Arial"/>
          <w:sz w:val="18"/>
          <w:szCs w:val="18"/>
          <w:u w:val="single" w:color="auto"/>
          <w:color w:val="auto"/>
        </w:rPr>
        <w:t>Section 7</w:t>
      </w:r>
      <w:r>
        <w:rPr>
          <w:rFonts w:ascii="Arial" w:cs="Arial" w:eastAsia="Arial" w:hAnsi="Arial"/>
          <w:sz w:val="18"/>
          <w:szCs w:val="18"/>
          <w:color w:val="auto"/>
        </w:rPr>
        <w:t>. Prior to the issuance to Holder of the shares of Common Stock subject to the Award, Holder shall have no direct or secured claim in any specific assets of the Company or in such shares of Common Stock, and will have the status of a general unsecured creditor of the Company.</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Non-Compete, Non-Solicitation; Confidentialit</w:t>
      </w:r>
      <w:r>
        <w:rPr>
          <w:rFonts w:ascii="Arial" w:cs="Arial" w:eastAsia="Arial" w:hAnsi="Arial"/>
          <w:sz w:val="20"/>
          <w:szCs w:val="20"/>
          <w:color w:val="auto"/>
        </w:rPr>
        <w:t>y.</w:t>
      </w:r>
    </w:p>
    <w:p>
      <w:pPr>
        <w:spacing w:after="0" w:line="202" w:lineRule="exact"/>
        <w:rPr>
          <w:sz w:val="20"/>
          <w:szCs w:val="20"/>
          <w:color w:val="auto"/>
        </w:rPr>
      </w:pPr>
    </w:p>
    <w:p>
      <w:pPr>
        <w:ind w:right="60" w:firstLine="1497"/>
        <w:spacing w:after="0" w:line="23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Non-Compete</w:t>
      </w:r>
      <w:r>
        <w:rPr>
          <w:rFonts w:ascii="Arial" w:cs="Arial" w:eastAsia="Arial" w:hAnsi="Arial"/>
          <w:sz w:val="19"/>
          <w:szCs w:val="19"/>
          <w:color w:val="auto"/>
        </w:rPr>
        <w:t>. In further consideration of the Award granted to Holder hereunder, Holder acknowledges and agrees that during the course of Holder’s employment with the Company and its Subsidiaries, Holder shall become familiar, and during Holder’s employment with the predecessors of the Company and its Subsidiaries, Holder has become familiar, with the Company’s and its Subsidiaries’ trade secrets and with other confidential information and that Holder’s services have been and shall be of special, unique and extraordinary value to the Company and its Subsidiaries, and therefore, Holder agrees that, during his or her employment with the Company and its Subsidiaries and, if Holder’s employment with the Company and its Subsidiaries terminates for any reason, for a period of two (2) years thereafter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Holder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or undertake any planning to engage in any of the foregoing activities in connection with, a Competing Business within any geographical area in which the Company or its Subsidiaries currently operates or plans to operate. Nothing herein shall prohibit Holder from being a passive owner of not more than 2% of the outstanding stock of any class of a corporation, which is publicly traded, so long as Holder has no active participation in the business of such corporation. For purposes of this Agreement, “</w:t>
      </w:r>
      <w:r>
        <w:rPr>
          <w:rFonts w:ascii="Arial" w:cs="Arial" w:eastAsia="Arial" w:hAnsi="Arial"/>
          <w:sz w:val="19"/>
          <w:szCs w:val="19"/>
          <w:u w:val="single" w:color="auto"/>
          <w:color w:val="auto"/>
        </w:rPr>
        <w:t>Competing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w:t>
      </w:r>
      <w:r>
        <w:rPr>
          <w:rFonts w:ascii="Arial" w:cs="Arial" w:eastAsia="Arial" w:hAnsi="Arial"/>
          <w:sz w:val="19"/>
          <w:szCs w:val="19"/>
          <w:color w:val="auto"/>
        </w:rPr>
        <w:t>” means each of the following entities, together with their respective subsidiaries, affiliates, successors and assigns: Macy’s, Inc., the TJX Companies, Inc. and Ross Stores, Inc.</w:t>
      </w:r>
    </w:p>
    <w:p>
      <w:pPr>
        <w:spacing w:after="0" w:line="192" w:lineRule="exact"/>
        <w:rPr>
          <w:sz w:val="20"/>
          <w:szCs w:val="20"/>
          <w:color w:val="auto"/>
        </w:rPr>
      </w:pPr>
    </w:p>
    <w:p>
      <w:pPr>
        <w:ind w:firstLine="1497"/>
        <w:spacing w:after="0" w:line="24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Non-Compete Period, Holder shall not, directly or indirectly, and shall ensure that any person or entity controlled by Holder does not, (a) induce or attempt to induce any employee of the Company or any Subsidiary to leave the employ of the Company or such Subsidiary, or in any way interfere with the relationship between the Company or any Subsidiary and any employee thereof, (b) hire, directly or through another person, any person (whether or not solicited) who</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was an employee of the Company or any Subsidiary at any time within the one year period before Holder’s termination from employment,</w:t>
      </w:r>
    </w:p>
    <w:p>
      <w:pPr>
        <w:spacing w:after="0" w:line="25" w:lineRule="exact"/>
        <w:rPr>
          <w:sz w:val="20"/>
          <w:szCs w:val="20"/>
          <w:color w:val="auto"/>
        </w:rPr>
      </w:pPr>
    </w:p>
    <w:p>
      <w:pPr>
        <w:ind w:right="180" w:firstLine="8"/>
        <w:spacing w:after="0"/>
        <w:tabs>
          <w:tab w:leader="none" w:pos="269"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induce or attempt to induce any customer, supplier, licensee, 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or (d)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85" w:lineRule="exact"/>
        <w:rPr>
          <w:sz w:val="20"/>
          <w:szCs w:val="20"/>
          <w:color w:val="auto"/>
        </w:rPr>
      </w:pPr>
    </w:p>
    <w:p>
      <w:pPr>
        <w:ind w:right="20" w:firstLine="1497"/>
        <w:spacing w:after="0" w:line="25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Confidentiality</w:t>
      </w:r>
      <w:r>
        <w:rPr>
          <w:rFonts w:ascii="Arial" w:cs="Arial" w:eastAsia="Arial" w:hAnsi="Arial"/>
          <w:sz w:val="18"/>
          <w:szCs w:val="18"/>
          <w:color w:val="auto"/>
        </w:rPr>
        <w:t>. Holder acknowledges and agrees that the information, observations and data (including trade secrets) obtained by Holder while employed by the Company and its Subsidiaries concerning the business or affairs of the Company and its Subsidiaries are the confidential information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and the property, of the Company and/or its Subsidiaries. Without limiting the foregoing, the term “Confidential Information” shall be interpreted as broadly as possible to include all observations, data and other information of any sort that are (a) related to any past, current or potential business of the Company or any of its Subsidiaries or any of their respective predecessors, and any other business related to any of the foregoing, and (b) not generally known to and available for use by those within the line of business or industry of the Company or by the public (except to the extent such information has become generally known to and available for use by the public as a direct or indirect result of Holder’s acts or omissions) including all (i) work product; (ii) information concerning development, acquisition or investment opportunities in or reasonably related to the business or industry of the Company or any of its Subsidiaries of which Holder is aware or becomes aware during the term of his employment; (iii) information identifying or otherwise concerning any current, former or prospective suppliers, distributors, contractors, agents or customers of the Company or any of its Subsidiaries; (iv) development, transition, integration and transformation plans, methodologies, processes and methods of doing business; (v) strategic, marketing, promotional and financial information (including all financial statements), business and expansion plans, including plans and information regarding planned, projected and/or potential sales, pricing, discount and cost information;</w:t>
      </w:r>
    </w:p>
    <w:p>
      <w:pPr>
        <w:spacing w:after="0" w:line="9" w:lineRule="exact"/>
        <w:rPr>
          <w:sz w:val="20"/>
          <w:szCs w:val="20"/>
          <w:color w:val="auto"/>
        </w:rPr>
      </w:pPr>
    </w:p>
    <w:p>
      <w:pPr>
        <w:ind w:right="100" w:firstLine="8"/>
        <w:spacing w:after="0" w:line="256"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identifying or otherwise concerning employees, independent contractors and consultants; (vii) information on new and existing programs and services, prices, terms, and related information; (viii) all information marked, or otherwise designated, as confidential by the Company or any of its Subsidiaries or which Holder should reasonably know is confidential or proprietary information of the Company or any of its Subsidiaries; (ix) all information or materials similar or related to any of the foregoing, in whatever form or medium, whether now existing or arising hereafter (and regardless of whether merely stored in the mind of Holder or employees or consultants of the Company or any of its Subsidiaries, or embodied in a tangible form or medium); and (x) all tangible embodiments of any of the foregoing.</w:t>
      </w:r>
    </w:p>
    <w:p>
      <w:pPr>
        <w:spacing w:after="0" w:line="171" w:lineRule="exact"/>
        <w:rPr>
          <w:sz w:val="20"/>
          <w:szCs w:val="20"/>
          <w:color w:val="auto"/>
        </w:rPr>
      </w:pPr>
    </w:p>
    <w:p>
      <w:pPr>
        <w:ind w:firstLine="1497"/>
        <w:spacing w:after="0" w:line="228"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Disclosure</w:t>
      </w:r>
      <w:r>
        <w:rPr>
          <w:rFonts w:ascii="Arial" w:cs="Arial" w:eastAsia="Arial" w:hAnsi="Arial"/>
          <w:sz w:val="20"/>
          <w:szCs w:val="20"/>
          <w:color w:val="auto"/>
        </w:rPr>
        <w:t>. Holder agrees that, except as required by law or court order, including, without limitation, depositions, interrogatories, court testimony, and the like (and in such case provided that Holder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Holder shall not disclose to any unauthorized person or entity or use for Holder’s own purposes any Confidential Information without the prior written consent of the Board, unless and to the extent that the Confidential Information becomes generally known to and available for use by the public other than as a direct or indirect result of Holder’s acts or omissions. Holder shall deliver to the Company at the time Holder’s employment ceases, or at any other time the Company may request, all memoranda, notes, plans, records, reports, computer tapes, printouts and software and other documents and data (and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123" w:name="page124"/>
    <w:bookmarkEnd w:id="123"/>
    <w:p>
      <w:pPr>
        <w:ind w:right="220"/>
        <w:spacing w:after="0" w:line="234" w:lineRule="auto"/>
        <w:rPr>
          <w:sz w:val="20"/>
          <w:szCs w:val="20"/>
          <w:color w:val="auto"/>
        </w:rPr>
      </w:pPr>
      <w:r>
        <w:rPr>
          <w:rFonts w:ascii="Arial" w:cs="Arial" w:eastAsia="Arial" w:hAnsi="Arial"/>
          <w:sz w:val="20"/>
          <w:szCs w:val="20"/>
          <w:color w:val="auto"/>
        </w:rPr>
        <w:t>copies thereof) embodying or relating to the Confidential Information (including any work product) or the business of the Company and its Subsidiaries which Holder may then possess or have under Holder’s control and if, at any time thereafter, any such materials are brought to Holder’s attention or Holder discovers them in his possession or control, Holder shall deliver such materials to the Company immediately upon such notice or discovery.</w:t>
      </w:r>
    </w:p>
    <w:p>
      <w:pPr>
        <w:spacing w:after="0" w:line="183" w:lineRule="exact"/>
        <w:rPr>
          <w:sz w:val="20"/>
          <w:szCs w:val="20"/>
          <w:color w:val="auto"/>
        </w:rPr>
      </w:pPr>
    </w:p>
    <w:p>
      <w:pPr>
        <w:ind w:firstLine="1497"/>
        <w:spacing w:after="0" w:line="23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Protected Rights</w:t>
      </w:r>
      <w:r>
        <w:rPr>
          <w:rFonts w:ascii="Arial" w:cs="Arial" w:eastAsia="Arial" w:hAnsi="Arial"/>
          <w:sz w:val="19"/>
          <w:szCs w:val="19"/>
          <w:color w:val="auto"/>
        </w:rPr>
        <w:t>. Pursuant to 18 U.S.C. § 1833(b),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Holder has the right to disclose in confidence trade secrets to Federal, State, and local government officials, or to an attorney, for the sole purpose of reporting or investigating a suspected violation of law. Holder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Holder understands that nothing contained in this Agreement limits Holder’s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u w:val="single" w:color="auto"/>
          <w:color w:val="auto"/>
        </w:rPr>
        <w:t>Government Agencies</w:t>
      </w:r>
      <w:r>
        <w:rPr>
          <w:rFonts w:ascii="Arial" w:cs="Arial" w:eastAsia="Arial" w:hAnsi="Arial"/>
          <w:sz w:val="19"/>
          <w:szCs w:val="19"/>
          <w:color w:val="auto"/>
        </w:rPr>
        <w:t>”). Holder further understands that this Agreement does not limit Holder’s ability to communicate with any Government Agencies or otherwise participate in any investigation or proceeding that may be conducted by any Government Agency, including providing documents or other information, without notice to the Company. This Agreement does not limit Holder’s right to receive an award for information provided to any Government Agencies.</w:t>
      </w:r>
    </w:p>
    <w:p>
      <w:pPr>
        <w:spacing w:after="0" w:line="192" w:lineRule="exact"/>
        <w:rPr>
          <w:sz w:val="20"/>
          <w:szCs w:val="20"/>
          <w:color w:val="auto"/>
        </w:rPr>
      </w:pPr>
    </w:p>
    <w:p>
      <w:pPr>
        <w:ind w:right="180" w:firstLine="1497"/>
        <w:spacing w:after="0" w:line="23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Other Agreements</w:t>
      </w:r>
      <w:r>
        <w:rPr>
          <w:rFonts w:ascii="Arial" w:cs="Arial" w:eastAsia="Arial" w:hAnsi="Arial"/>
          <w:sz w:val="20"/>
          <w:szCs w:val="20"/>
          <w:color w:val="auto"/>
        </w:rPr>
        <w:t>. Notwithstanding the foregoing and any other language in this Agreement, this Agreement does not supersede or preclude the enforceability of any restrictive covenant provision contained in any prior agreement entered into by Holder. Further, no prior restrictive covenant supersedes or precludes the enforceability of any provision contained in this Agreement.</w:t>
      </w:r>
    </w:p>
    <w:p>
      <w:pPr>
        <w:spacing w:after="0" w:line="183" w:lineRule="exact"/>
        <w:rPr>
          <w:sz w:val="20"/>
          <w:szCs w:val="20"/>
          <w:color w:val="auto"/>
        </w:rPr>
      </w:pPr>
    </w:p>
    <w:p>
      <w:pPr>
        <w:ind w:right="260" w:firstLine="1497"/>
        <w:spacing w:after="0" w:line="246"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Applicability</w:t>
      </w:r>
      <w:r>
        <w:rPr>
          <w:rFonts w:ascii="Arial" w:cs="Arial" w:eastAsia="Arial" w:hAnsi="Arial"/>
          <w:sz w:val="20"/>
          <w:szCs w:val="20"/>
          <w:color w:val="auto"/>
        </w:rPr>
        <w:t xml:space="preserve">. Notwithstanding the foregoing and any other language in this Agreement,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shall not apply to Holder if he or she is below the position of Director level as of the Grant Date.</w:t>
      </w:r>
    </w:p>
    <w:p>
      <w:pPr>
        <w:spacing w:after="0" w:line="177" w:lineRule="exact"/>
        <w:rPr>
          <w:sz w:val="20"/>
          <w:szCs w:val="20"/>
          <w:color w:val="auto"/>
        </w:rPr>
      </w:pPr>
    </w:p>
    <w:p>
      <w:pPr>
        <w:ind w:left="1500" w:hanging="743"/>
        <w:spacing w:after="0"/>
        <w:tabs>
          <w:tab w:leader="none" w:pos="150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Enforcement</w:t>
      </w:r>
      <w:r>
        <w:rPr>
          <w:rFonts w:ascii="Arial" w:cs="Arial" w:eastAsia="Arial" w:hAnsi="Arial"/>
          <w:sz w:val="20"/>
          <w:szCs w:val="20"/>
          <w:color w:val="auto"/>
        </w:rPr>
        <w:t>.</w:t>
      </w:r>
    </w:p>
    <w:p>
      <w:pPr>
        <w:spacing w:after="0" w:line="202" w:lineRule="exact"/>
        <w:rPr>
          <w:sz w:val="20"/>
          <w:szCs w:val="20"/>
          <w:color w:val="auto"/>
        </w:rPr>
      </w:pPr>
    </w:p>
    <w:p>
      <w:pPr>
        <w:ind w:right="20" w:firstLine="1497"/>
        <w:spacing w:after="0" w:line="22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Reliance</w:t>
      </w:r>
      <w:r>
        <w:rPr>
          <w:rFonts w:ascii="Arial" w:cs="Arial" w:eastAsia="Arial" w:hAnsi="Arial"/>
          <w:sz w:val="20"/>
          <w:szCs w:val="20"/>
          <w:color w:val="auto"/>
        </w:rPr>
        <w:t xml:space="preserve">. Holder acknowledges and agrees that the Company entered into this Agreement in reliance on the provisions of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Holder acknowledges and agrees that Holder has carefully read this Agreement and has given careful consideration to the restraints imposed upon Holder by this Agreement, and is in full accord as to their necessity for the reasonable protection of the Company’s and its Subsidiaries’ interests and the reasonable and proper protection of confidential and proprietary information of the Company and its Subsidiaries now existing or to be developed in the future. Holder expressly acknowledges and agrees that each and every restraint imposed by this Agreement is reasonable with respect to subject matter, time period and geographical area.</w:t>
      </w: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4" w:name="page125"/>
    <w:bookmarkEnd w:id="124"/>
    <w:p>
      <w:pPr>
        <w:ind w:right="240" w:firstLine="1497"/>
        <w:spacing w:after="0" w:line="246"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Enforcement</w:t>
      </w:r>
      <w:r>
        <w:rPr>
          <w:rFonts w:ascii="Arial" w:cs="Arial" w:eastAsia="Arial" w:hAnsi="Arial"/>
          <w:sz w:val="20"/>
          <w:szCs w:val="20"/>
          <w:color w:val="auto"/>
        </w:rPr>
        <w:t xml:space="preserve">. Notwithstanding any provision to the contrary herein, the Company or its Subsidiaries may pursue, at its discretion, enforcement of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in any court of competent jurisdiction (each, a “</w:t>
      </w:r>
      <w:r>
        <w:rPr>
          <w:rFonts w:ascii="Arial" w:cs="Arial" w:eastAsia="Arial" w:hAnsi="Arial"/>
          <w:sz w:val="20"/>
          <w:szCs w:val="20"/>
          <w:u w:val="single" w:color="auto"/>
          <w:color w:val="auto"/>
        </w:rPr>
        <w:t>Court</w:t>
      </w:r>
      <w:r>
        <w:rPr>
          <w:rFonts w:ascii="Arial" w:cs="Arial" w:eastAsia="Arial" w:hAnsi="Arial"/>
          <w:sz w:val="20"/>
          <w:szCs w:val="20"/>
          <w:color w:val="auto"/>
        </w:rPr>
        <w:t>”).</w:t>
      </w:r>
    </w:p>
    <w:p>
      <w:pPr>
        <w:spacing w:after="0" w:line="177" w:lineRule="exact"/>
        <w:rPr>
          <w:sz w:val="20"/>
          <w:szCs w:val="20"/>
          <w:color w:val="auto"/>
        </w:rPr>
      </w:pPr>
    </w:p>
    <w:p>
      <w:pPr>
        <w:ind w:right="60" w:firstLine="1497"/>
        <w:spacing w:after="0" w:line="22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89" w:lineRule="exact"/>
        <w:rPr>
          <w:sz w:val="20"/>
          <w:szCs w:val="20"/>
          <w:color w:val="auto"/>
        </w:rPr>
      </w:pPr>
    </w:p>
    <w:p>
      <w:pPr>
        <w:ind w:firstLine="1497"/>
        <w:spacing w:after="0" w:line="241"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Equitable Relief</w:t>
      </w:r>
      <w:r>
        <w:rPr>
          <w:rFonts w:ascii="Arial" w:cs="Arial" w:eastAsia="Arial" w:hAnsi="Arial"/>
          <w:sz w:val="19"/>
          <w:szCs w:val="19"/>
          <w:color w:val="auto"/>
        </w:rPr>
        <w:t xml:space="preserve">. Because Holder’s services are unique and because Holder has intimate knowledge of and access to confidential information and work product, the parties hereto agree that money damages would not be an adequate remedy for any breach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any breach of the terms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would result in irreparable injury and damage to the Company and its Subsidiaries for which the Company and its Subsidiaries would have no adequate remedy at law. Therefore, in the event of a breach or threatened breach of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prevent the Company or any of its Subsidiaries from pursuing any other available remedies for any breach or threatened breach of this Agreement, including the recovery of damages from Holder.</w:t>
      </w:r>
    </w:p>
    <w:p>
      <w:pPr>
        <w:spacing w:after="0" w:line="185" w:lineRule="exact"/>
        <w:rPr>
          <w:sz w:val="20"/>
          <w:szCs w:val="20"/>
          <w:color w:val="auto"/>
        </w:rPr>
      </w:pPr>
    </w:p>
    <w:p>
      <w:pPr>
        <w:ind w:left="1500" w:hanging="743"/>
        <w:spacing w:after="0"/>
        <w:tabs>
          <w:tab w:leader="none" w:pos="15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Transfer Restrictions and Investment Representation</w:t>
      </w:r>
      <w:r>
        <w:rPr>
          <w:rFonts w:ascii="Arial" w:cs="Arial" w:eastAsia="Arial" w:hAnsi="Arial"/>
          <w:sz w:val="20"/>
          <w:szCs w:val="20"/>
          <w:color w:val="auto"/>
        </w:rPr>
        <w:t>.</w:t>
      </w:r>
    </w:p>
    <w:p>
      <w:pPr>
        <w:spacing w:after="0" w:line="202" w:lineRule="exact"/>
        <w:rPr>
          <w:sz w:val="20"/>
          <w:szCs w:val="20"/>
          <w:color w:val="auto"/>
        </w:rPr>
      </w:pPr>
    </w:p>
    <w:p>
      <w:pPr>
        <w:ind w:right="20" w:firstLine="1497"/>
        <w:spacing w:after="0" w:line="23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Award may not be transferred by Holder other than by will or the laws of descent and distribution or pursuant to the designation of one or more beneficiaries on the form prescribed by the Company.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84" w:lineRule="exact"/>
        <w:rPr>
          <w:sz w:val="20"/>
          <w:szCs w:val="20"/>
          <w:color w:val="auto"/>
        </w:rPr>
      </w:pPr>
    </w:p>
    <w:p>
      <w:pPr>
        <w:ind w:right="60" w:firstLine="1497"/>
        <w:spacing w:after="0" w:line="229"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Investment Representation</w:t>
      </w:r>
      <w:r>
        <w:rPr>
          <w:rFonts w:ascii="Arial" w:cs="Arial" w:eastAsia="Arial" w:hAnsi="Arial"/>
          <w:sz w:val="20"/>
          <w:szCs w:val="20"/>
          <w:color w:val="auto"/>
        </w:rPr>
        <w:t>. Holder hereby represents and covenants that (a) any sale of any share of Common Stock acquired upon the vesting of the Award shall be made either pursuant to an effective registration statement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any applicable state securities laws, or pursuant to an exemption from registration under the Securities Act and such state securities laws and (b) if requested by the Company, Holder shall submit a written statement, in a form satisfactory to the Company, to the effect that such representation is true and correct as of the date of any sale of any such shares. As a further condition precedent to the vesting of the Award and subject to Section 409A of the Code, Holder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5" w:name="page126"/>
    <w:bookmarkEnd w:id="125"/>
    <w:p>
      <w:pPr>
        <w:ind w:left="1560" w:hanging="803"/>
        <w:spacing w:after="0"/>
        <w:tabs>
          <w:tab w:leader="none" w:pos="156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Additional Terms and Conditions of Award</w:t>
      </w:r>
      <w:r>
        <w:rPr>
          <w:rFonts w:ascii="Arial" w:cs="Arial" w:eastAsia="Arial" w:hAnsi="Arial"/>
          <w:sz w:val="20"/>
          <w:szCs w:val="20"/>
          <w:color w:val="auto"/>
        </w:rPr>
        <w:t>.</w:t>
      </w:r>
    </w:p>
    <w:p>
      <w:pPr>
        <w:spacing w:after="0" w:line="202" w:lineRule="exact"/>
        <w:rPr>
          <w:sz w:val="20"/>
          <w:szCs w:val="20"/>
          <w:color w:val="auto"/>
        </w:rPr>
      </w:pPr>
    </w:p>
    <w:p>
      <w:pPr>
        <w:ind w:right="20" w:firstLine="1497"/>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Withholding Taxes</w:t>
      </w:r>
      <w:r>
        <w:rPr>
          <w:rFonts w:ascii="Arial" w:cs="Arial" w:eastAsia="Arial" w:hAnsi="Arial"/>
          <w:sz w:val="18"/>
          <w:szCs w:val="18"/>
          <w:color w:val="auto"/>
        </w:rPr>
        <w:t>. As a condition precedent to the delivery to Holder of any shares of Common Stock upon vesting of the Award, Holder shall, upon request by the Company, pay to the Company such amount of cash as the Company may be required, under all applicable federal, state, local or other laws or regulations, to withhold and pay over as income or other withholding taxes (the “</w:t>
      </w:r>
      <w:r>
        <w:rPr>
          <w:rFonts w:ascii="Arial" w:cs="Arial" w:eastAsia="Arial" w:hAnsi="Arial"/>
          <w:sz w:val="18"/>
          <w:szCs w:val="18"/>
          <w:u w:val="single" w:color="auto"/>
          <w:color w:val="auto"/>
        </w:rPr>
        <w:t>Required Tax Payments</w:t>
      </w:r>
      <w:r>
        <w:rPr>
          <w:rFonts w:ascii="Arial" w:cs="Arial" w:eastAsia="Arial" w:hAnsi="Arial"/>
          <w:sz w:val="18"/>
          <w:szCs w:val="18"/>
          <w:color w:val="auto"/>
        </w:rPr>
        <w:t>”) with respect to the Award. If Holder shall fail to advance the Required Tax Payments after request by the Company, the Company may, in its discretion, deduct any Required Tax Payments from any amount then or thereafter payable by the Company to Holder or withhold shares of Common Stock. Holder may elect to satisfy his or her obligation to advance the Required Tax Payments by any of the following means: (i) a cash payment to the Company; (ii) authorizing the Company to withhold from the shares of Common Stock otherwise to be delivered to Holder pursuant to the Award, a number of whole shares of Common Stock having an aggregate Fair Market Value, determined as of the date the obligation to withhold or pay taxes first arises in connection with the Award, equal to the Required Tax Payments; or (iii) any combination of (i) and (ii). Shares to be delivered or withheld may be withheld up to the maximum statutory tax rates in the applicable jurisdictions. Any fraction of a share of Common Stock which would be required to satisfy any such obligation shall be disregarded and the remaining amount due shall be paid in cash by Holder. No shares of Common Stock shall be issued or delivered until the Required Tax Payments have been satisfied in full.</w:t>
      </w:r>
    </w:p>
    <w:p>
      <w:pPr>
        <w:spacing w:after="0" w:line="176" w:lineRule="exact"/>
        <w:rPr>
          <w:sz w:val="20"/>
          <w:szCs w:val="20"/>
          <w:color w:val="auto"/>
        </w:rPr>
      </w:pPr>
    </w:p>
    <w:p>
      <w:pPr>
        <w:ind w:right="160" w:firstLine="1497"/>
        <w:spacing w:after="0" w:line="246"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Adjustment</w:t>
      </w:r>
      <w:r>
        <w:rPr>
          <w:rFonts w:ascii="Arial" w:cs="Arial" w:eastAsia="Arial" w:hAnsi="Arial"/>
          <w:sz w:val="20"/>
          <w:szCs w:val="20"/>
          <w:color w:val="auto"/>
        </w:rPr>
        <w:t>. In the event of a Section 4.2 Event, the adjustments provided for in Section 4.2(b) of the Plan shall be made to the number of shares of Common Stock subject to the Award hereunder.</w:t>
      </w:r>
    </w:p>
    <w:p>
      <w:pPr>
        <w:spacing w:after="0" w:line="177" w:lineRule="exact"/>
        <w:rPr>
          <w:sz w:val="20"/>
          <w:szCs w:val="20"/>
          <w:color w:val="auto"/>
        </w:rPr>
      </w:pPr>
    </w:p>
    <w:p>
      <w:pPr>
        <w:ind w:firstLine="1497"/>
        <w:spacing w:after="0" w:line="230"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Compliance with Applicable Law</w:t>
      </w:r>
      <w:r>
        <w:rPr>
          <w:rFonts w:ascii="Arial" w:cs="Arial" w:eastAsia="Arial" w:hAnsi="Arial"/>
          <w:sz w:val="20"/>
          <w:szCs w:val="20"/>
          <w:color w:val="auto"/>
        </w:rPr>
        <w:t>. The Award is subject to the condition that if the listing, registration or qualification of the shares of Common Stock subject to the Award upon any securities exchange or under any law, or the consent or approval of any governmental body, or the taking of any other action is necessary or desirable as a condition of, or in connection with, the delivery of shares hereunder, the shares of Common Stock subject to the Award shall not be delivered, in whole or in part, unless such listing, registration, qualification, consent, approval or other action shall have been effected or obtained, free of any conditions not acceptable to the Company. The Company agrees to use reasonable efforts to effect or obtain any such listing, registration, qualification, consent, approval or other action.</w:t>
      </w:r>
    </w:p>
    <w:p>
      <w:pPr>
        <w:spacing w:after="0" w:line="185" w:lineRule="exact"/>
        <w:rPr>
          <w:sz w:val="20"/>
          <w:szCs w:val="20"/>
          <w:color w:val="auto"/>
        </w:rPr>
      </w:pPr>
    </w:p>
    <w:p>
      <w:pPr>
        <w:ind w:right="20" w:firstLine="1497"/>
        <w:spacing w:after="0" w:line="23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Award Confers No Rights to Continued Employment</w:t>
      </w:r>
      <w:r>
        <w:rPr>
          <w:rFonts w:ascii="Arial" w:cs="Arial" w:eastAsia="Arial" w:hAnsi="Arial"/>
          <w:sz w:val="20"/>
          <w:szCs w:val="20"/>
          <w:color w:val="auto"/>
        </w:rPr>
        <w:t>. In no event shall the granting of the Award or its acceptance by Holder, or any provision of the Agreement or the Plan, give or be deemed to give Holder any right to continued employment by the Company, any Subsidiary or any affiliate of the Company or affect in any manner the right of the Company, any Subsidiary or any affiliate of the Company to terminate the employment of any person at any time.</w:t>
      </w:r>
    </w:p>
    <w:p>
      <w:pPr>
        <w:spacing w:after="0" w:line="183" w:lineRule="exact"/>
        <w:rPr>
          <w:sz w:val="20"/>
          <w:szCs w:val="20"/>
          <w:color w:val="auto"/>
        </w:rPr>
      </w:pPr>
    </w:p>
    <w:p>
      <w:pPr>
        <w:jc w:val="both"/>
        <w:ind w:right="140" w:firstLine="1497"/>
        <w:spacing w:after="0" w:line="237"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Decisions of Committee</w:t>
      </w:r>
      <w:r>
        <w:rPr>
          <w:rFonts w:ascii="Arial" w:cs="Arial" w:eastAsia="Arial" w:hAnsi="Arial"/>
          <w:sz w:val="20"/>
          <w:szCs w:val="20"/>
          <w:color w:val="auto"/>
        </w:rPr>
        <w:t>. The Committee shall have the right to resolve all questions which may arise in connection with the Award. Any interpretation, determination or other action made or taken by the Committee regarding the Plan or this Agreement shall be final, binding and conclusive.</w:t>
      </w:r>
    </w:p>
    <w:p>
      <w:pPr>
        <w:spacing w:after="0" w:line="183" w:lineRule="exact"/>
        <w:rPr>
          <w:sz w:val="20"/>
          <w:szCs w:val="20"/>
          <w:color w:val="auto"/>
        </w:rPr>
      </w:pPr>
    </w:p>
    <w:p>
      <w:pPr>
        <w:ind w:right="160" w:firstLine="1497"/>
        <w:spacing w:after="0" w:line="237"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and inure to the benefit of any successor or successors of the Company and any person or persons who shall, upon the death of Holder, acquire any rights hereunder in accordance with this Agreement or the Plan.</w:t>
      </w:r>
    </w:p>
    <w:p>
      <w:pPr>
        <w:spacing w:after="0" w:line="183" w:lineRule="exact"/>
        <w:rPr>
          <w:sz w:val="20"/>
          <w:szCs w:val="20"/>
          <w:color w:val="auto"/>
        </w:rPr>
      </w:pPr>
    </w:p>
    <w:p>
      <w:pPr>
        <w:jc w:val="both"/>
        <w:ind w:right="60" w:firstLine="1497"/>
        <w:spacing w:after="0" w:line="237"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or other communications provided for in this Agreement shall be made, if to the Company, to Burlington Stores, Inc., 2006 Route 130 North, Burlington, NJ 08016, Attention: General Counsel, and if to Holder, to the last known mailing address of</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18"/>
          <w:szCs w:val="18"/>
          <w:color w:val="auto"/>
        </w:rPr>
        <w:t xml:space="preserve">Holder contained in the records of the Company. All notices, requests or other communications provided for in this Agreement shall be made in writing either (a) by personal delivery, (b) 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notice, request or other communication sent to the Company is not received during regular business hours, it shall be deemed to be received on the next succeeding business day of the Company.</w:t>
      </w:r>
    </w:p>
    <w:p>
      <w:pPr>
        <w:spacing w:after="0" w:line="167" w:lineRule="exact"/>
        <w:rPr>
          <w:sz w:val="20"/>
          <w:szCs w:val="20"/>
          <w:color w:val="auto"/>
        </w:rPr>
      </w:pPr>
    </w:p>
    <w:p>
      <w:pPr>
        <w:ind w:right="260" w:firstLine="1497"/>
        <w:spacing w:after="0" w:line="237"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the Award and all determinations made and actions taken pursuant hereto and thereto, to the extent not governed by the Code or the laws of the United States, shall be governed by the laws of the State of Delaware and construed in accordance therewith without giving effect to principles of conflicts of laws.</w:t>
      </w:r>
    </w:p>
    <w:p>
      <w:pPr>
        <w:spacing w:after="0" w:line="183" w:lineRule="exact"/>
        <w:rPr>
          <w:sz w:val="20"/>
          <w:szCs w:val="20"/>
          <w:color w:val="auto"/>
        </w:rPr>
      </w:pPr>
    </w:p>
    <w:p>
      <w:pPr>
        <w:ind w:right="220" w:firstLine="1497"/>
        <w:spacing w:after="0" w:line="237"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Agreement Subject to the Plan</w:t>
      </w:r>
      <w:r>
        <w:rPr>
          <w:rFonts w:ascii="Arial" w:cs="Arial" w:eastAsia="Arial" w:hAnsi="Arial"/>
          <w:sz w:val="20"/>
          <w:szCs w:val="20"/>
          <w:color w:val="auto"/>
        </w:rPr>
        <w:t>. This Agreement is subject to the provisions of the Plan and shall be interpreted in accordance therewith. In the event that the provisions of this Agreement and the Plan conflict, the Plan shall control. Holder hereby acknowledges receipt of a copy of the Plan.</w:t>
      </w:r>
    </w:p>
    <w:p>
      <w:pPr>
        <w:spacing w:after="0" w:line="183" w:lineRule="exact"/>
        <w:rPr>
          <w:sz w:val="20"/>
          <w:szCs w:val="20"/>
          <w:color w:val="auto"/>
        </w:rPr>
      </w:pPr>
    </w:p>
    <w:p>
      <w:pPr>
        <w:ind w:right="120" w:firstLine="1497"/>
        <w:spacing w:after="0" w:line="232"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Except as provided for in </w:t>
      </w:r>
      <w:r>
        <w:rPr>
          <w:rFonts w:ascii="Arial" w:cs="Arial" w:eastAsia="Arial" w:hAnsi="Arial"/>
          <w:sz w:val="20"/>
          <w:szCs w:val="20"/>
          <w:u w:val="single" w:color="auto"/>
          <w:color w:val="auto"/>
        </w:rPr>
        <w:t>Section 5.6</w:t>
      </w:r>
      <w:r>
        <w:rPr>
          <w:rFonts w:ascii="Arial" w:cs="Arial" w:eastAsia="Arial" w:hAnsi="Arial"/>
          <w:sz w:val="20"/>
          <w:szCs w:val="20"/>
          <w:color w:val="auto"/>
        </w:rPr>
        <w:t>, this Agreement and the Plan constitute the entire agreement of the parties with respect to the subject matter hereof and supersede in their entirety all prior undertakings and agreements of the Company and Holder with respect to the subject matter hereof, and may not be modified adversely to Holder’s interest except by means of a writing signed by the Company and Holder. Notwithstanding the foregoing, Holder acknowledges that Holder is subject to Company policies relating to trading in the Company’s securities</w:t>
      </w:r>
    </w:p>
    <w:p>
      <w:pPr>
        <w:spacing w:after="0" w:line="184" w:lineRule="exact"/>
        <w:rPr>
          <w:sz w:val="20"/>
          <w:szCs w:val="20"/>
          <w:color w:val="auto"/>
        </w:rPr>
      </w:pPr>
    </w:p>
    <w:p>
      <w:pPr>
        <w:jc w:val="both"/>
        <w:ind w:right="440" w:firstLine="1497"/>
        <w:spacing w:after="0" w:line="234"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Amendment and Waiver</w:t>
      </w:r>
      <w:r>
        <w:rPr>
          <w:rFonts w:ascii="Arial" w:cs="Arial" w:eastAsia="Arial" w:hAnsi="Arial"/>
          <w:sz w:val="20"/>
          <w:szCs w:val="20"/>
          <w:color w:val="auto"/>
        </w:rPr>
        <w:t xml:space="preserve">. The Company may amend the provisions of this Agreement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amendment that would adversely affect Holder’s rights under this Agreement shall be subject to the written consent of Holder. No course of conduct or failure or delay in enforcing the provisions of this Agreement shall affect the validity, binding effect or enforceability of this Agreement.</w:t>
      </w:r>
    </w:p>
    <w:p>
      <w:pPr>
        <w:spacing w:after="0" w:line="183" w:lineRule="exact"/>
        <w:rPr>
          <w:sz w:val="20"/>
          <w:szCs w:val="20"/>
          <w:color w:val="auto"/>
        </w:rPr>
      </w:pPr>
    </w:p>
    <w:p>
      <w:pPr>
        <w:ind w:right="120" w:firstLine="1497"/>
        <w:spacing w:after="0" w:line="246"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Counterparts</w:t>
      </w:r>
      <w:r>
        <w:rPr>
          <w:rFonts w:ascii="Arial" w:cs="Arial" w:eastAsia="Arial" w:hAnsi="Arial"/>
          <w:sz w:val="20"/>
          <w:szCs w:val="20"/>
          <w:color w:val="auto"/>
        </w:rPr>
        <w:t>. The Award Notice may be executed in two counterparts, each of which shall be deemed an original and both of which together shall constitute one and the same instrument.</w:t>
      </w:r>
    </w:p>
    <w:p>
      <w:pPr>
        <w:spacing w:after="0" w:line="177" w:lineRule="exact"/>
        <w:rPr>
          <w:sz w:val="20"/>
          <w:szCs w:val="20"/>
          <w:color w:val="auto"/>
        </w:rPr>
      </w:pPr>
    </w:p>
    <w:p>
      <w:pPr>
        <w:ind w:right="40" w:firstLine="1497"/>
        <w:spacing w:after="0" w:line="229"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Compliance With Section 409A of the Code</w:t>
      </w:r>
      <w:r>
        <w:rPr>
          <w:rFonts w:ascii="Arial" w:cs="Arial" w:eastAsia="Arial" w:hAnsi="Arial"/>
          <w:sz w:val="20"/>
          <w:szCs w:val="20"/>
          <w:color w:val="auto"/>
        </w:rPr>
        <w:t>. This Award is intended to be exempt from or comply with Section 409A of the Code, and shall be interpreted and construed accordingly. To the extent this Agreement provides for the Award to become vested and be settled upon the Holder’s termination of employment, the applicable shares of Common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Common Stock shall be transferred to the Holder or his or her beneficiary upon the earlier to occur of (a) the six-month anniversary of such separation from service and (b) the date of the Holder’s death.</w:t>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10.61</w:t>
      </w:r>
    </w:p>
    <w:p>
      <w:pPr>
        <w:jc w:val="center"/>
        <w:spacing w:after="0"/>
        <w:rPr>
          <w:sz w:val="20"/>
          <w:szCs w:val="20"/>
          <w:color w:val="auto"/>
        </w:rPr>
      </w:pPr>
      <w:r>
        <w:rPr>
          <w:rFonts w:ascii="Arial" w:cs="Arial" w:eastAsia="Arial" w:hAnsi="Arial"/>
          <w:sz w:val="22"/>
          <w:szCs w:val="22"/>
          <w:b w:val="1"/>
          <w:bCs w:val="1"/>
          <w:color w:val="auto"/>
        </w:rPr>
        <w:t>BURLINGTON STORES, INC.</w:t>
      </w:r>
    </w:p>
    <w:p>
      <w:pPr>
        <w:jc w:val="center"/>
        <w:spacing w:after="0"/>
        <w:rPr>
          <w:sz w:val="20"/>
          <w:szCs w:val="20"/>
          <w:color w:val="auto"/>
        </w:rPr>
      </w:pPr>
      <w:r>
        <w:rPr>
          <w:rFonts w:ascii="Arial" w:cs="Arial" w:eastAsia="Arial" w:hAnsi="Arial"/>
          <w:sz w:val="22"/>
          <w:szCs w:val="22"/>
          <w:b w:val="1"/>
          <w:bCs w:val="1"/>
          <w:color w:val="auto"/>
        </w:rPr>
        <w:t>2013 OMNIBUS INCENTIVE PLAN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[Name of Holder]</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You have been awarded a restricted stock unit award with respect to shares of common stock of Burlington Stores, Inc., a Delaware corporation (the “Company”), pursuant to the terms and conditions of the Burlington Stores, Inc. 2013 Omnibus Incentive Plan (the “Plan”) and the Restricted Stock Unit Award Agreement (together with this Award Notice, the “Agreement”). The Restricted Stock Unit Award Agreement is attached hereto. Capitalized terms not defined herein shall have the meanings specified in the Plan or the Agreement.</w:t>
      </w:r>
    </w:p>
    <w:p>
      <w:pPr>
        <w:sectPr>
          <w:pgSz w:w="11900" w:h="16838" w:orient="portrait"/>
          <w:cols w:equalWidth="0" w:num="1">
            <w:col w:w="11240"/>
          </w:cols>
          <w:pgMar w:left="320" w:top="324" w:right="339" w:bottom="1440" w:gutter="0" w:footer="0" w:header="0"/>
        </w:sectPr>
      </w:pPr>
    </w:p>
    <w:p>
      <w:pPr>
        <w:spacing w:after="0" w:line="18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Restricted Stock Units: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360"/>
        <w:spacing w:after="0" w:line="223" w:lineRule="auto"/>
        <w:rPr>
          <w:sz w:val="20"/>
          <w:szCs w:val="20"/>
          <w:color w:val="auto"/>
        </w:rPr>
      </w:pPr>
      <w:r>
        <w:rPr>
          <w:rFonts w:ascii="Arial" w:cs="Arial" w:eastAsia="Arial" w:hAnsi="Arial"/>
          <w:sz w:val="22"/>
          <w:szCs w:val="22"/>
          <w:color w:val="auto"/>
        </w:rPr>
        <w:t>You have been awarded a restricted stock unit award with respect to [_______] shares of Common Stock, par value $0.0001 per share (“Common Stock”), subject to adjustment as provided in the Plan.</w:t>
      </w:r>
    </w:p>
    <w:p>
      <w:pPr>
        <w:spacing w:after="0" w:line="186" w:lineRule="exact"/>
        <w:rPr>
          <w:sz w:val="20"/>
          <w:szCs w:val="20"/>
          <w:color w:val="auto"/>
        </w:rPr>
      </w:pPr>
    </w:p>
    <w:p>
      <w:pPr>
        <w:sectPr>
          <w:pgSz w:w="11900" w:h="16838" w:orient="portrait"/>
          <w:cols w:equalWidth="0" w:num="2">
            <w:col w:w="2740" w:space="720"/>
            <w:col w:w="7780"/>
          </w:cols>
          <w:pgMar w:left="320" w:top="324" w:right="339" w:bottom="1440" w:gutter="0" w:footer="0" w:header="0"/>
          <w:type w:val="continuous"/>
        </w:sectPr>
      </w:pPr>
    </w:p>
    <w:p>
      <w:pPr>
        <w:ind w:left="100"/>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 _____]</w:t>
      </w:r>
    </w:p>
    <w:p>
      <w:pPr>
        <w:spacing w:after="0" w:line="200" w:lineRule="exact"/>
        <w:rPr>
          <w:sz w:val="20"/>
          <w:szCs w:val="20"/>
          <w:color w:val="auto"/>
        </w:rPr>
      </w:pPr>
    </w:p>
    <w:p>
      <w:pPr>
        <w:sectPr>
          <w:pgSz w:w="11900" w:h="16838" w:orient="portrait"/>
          <w:cols w:equalWidth="0" w:num="2">
            <w:col w:w="2740" w:space="720"/>
            <w:col w:w="7780"/>
          </w:cols>
          <w:pgMar w:left="320" w:top="324" w:right="339" w:bottom="1440" w:gutter="0" w:footer="0" w:header="0"/>
          <w:type w:val="continuous"/>
        </w:sectPr>
      </w:pPr>
    </w:p>
    <w:p>
      <w:pPr>
        <w:spacing w:after="0" w:line="4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40"/>
        <w:spacing w:after="0" w:line="250" w:lineRule="auto"/>
        <w:rPr>
          <w:sz w:val="20"/>
          <w:szCs w:val="20"/>
          <w:color w:val="auto"/>
        </w:rPr>
      </w:pPr>
      <w:r>
        <w:rPr>
          <w:rFonts w:ascii="Arial" w:cs="Arial" w:eastAsia="Arial" w:hAnsi="Arial"/>
          <w:sz w:val="19"/>
          <w:szCs w:val="19"/>
          <w:color w:val="auto"/>
        </w:rPr>
        <w:t>Except as otherwise provided in the Plan, the Agreement or any other agreement between the Company or any of its Subsidiaries and Holder, the Award shall vest with respect to 100% of the shares of Common Stock subject to the Award on the _____-year anniversary of the Grant Date (the “Vesting Date”), if, and only if, you are, and have been, continuously employed by the Company or any of its Subsidiaries</w:t>
      </w:r>
    </w:p>
    <w:p>
      <w:pPr>
        <w:spacing w:after="0" w:line="1" w:lineRule="exact"/>
        <w:rPr>
          <w:sz w:val="20"/>
          <w:szCs w:val="20"/>
          <w:color w:val="auto"/>
        </w:rPr>
      </w:pPr>
    </w:p>
    <w:p>
      <w:pPr>
        <w:sectPr>
          <w:pgSz w:w="11900" w:h="16838" w:orient="portrait"/>
          <w:cols w:equalWidth="0" w:num="2">
            <w:col w:w="2740" w:space="720"/>
            <w:col w:w="7780"/>
          </w:cols>
          <w:pgMar w:left="320" w:top="324" w:right="339" w:bottom="1440" w:gutter="0" w:footer="0" w:header="0"/>
          <w:type w:val="continuous"/>
        </w:sectPr>
      </w:pPr>
    </w:p>
    <w:p>
      <w:pPr>
        <w:ind w:left="3460"/>
        <w:spacing w:after="0" w:line="237" w:lineRule="auto"/>
        <w:rPr>
          <w:sz w:val="20"/>
          <w:szCs w:val="20"/>
          <w:color w:val="auto"/>
        </w:rPr>
      </w:pPr>
      <w:r>
        <w:rPr>
          <w:rFonts w:ascii="Arial" w:cs="Arial" w:eastAsia="Arial" w:hAnsi="Arial"/>
          <w:sz w:val="19"/>
          <w:szCs w:val="19"/>
          <w:color w:val="auto"/>
        </w:rPr>
        <w:t>from the date of this Agreement through and including the Vesting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BURLINGTON STORES,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22"/>
          <w:szCs w:val="22"/>
          <w:u w:val="single" w:color="auto"/>
          <w:color w:val="auto"/>
        </w:rPr>
        <w:t>Acknowledgment, Acceptance and Agreement:</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By accepting this grant on the Company’s stock plan administrator’s website, I hereby accept the restricted stock units granted to me and acknowledge and agree to be bound by the terms and conditions of this Award Notice, the Agreement and the Plan.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Holder Name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color w:val="auto"/>
        </w:rPr>
        <w:t>__________________________________</w:t>
      </w:r>
      <w:r>
        <w:rPr>
          <w:sz w:val="20"/>
          <w:szCs w:val="20"/>
          <w:color w:val="auto"/>
        </w:rPr>
        <w:tab/>
      </w:r>
      <w:r>
        <w:rPr>
          <w:rFonts w:ascii="Arial" w:cs="Arial" w:eastAsia="Arial" w:hAnsi="Arial"/>
          <w:sz w:val="19"/>
          <w:szCs w:val="19"/>
          <w:color w:val="auto"/>
        </w:rPr>
        <w:t>Date_______________________________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1" w:right="4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BURLINGTON STORES,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OMNIBUS INCENTIVE PLAN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Burlington Stores,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individual (the “</w:t>
      </w:r>
      <w:r>
        <w:rPr>
          <w:rFonts w:ascii="Arial" w:cs="Arial" w:eastAsia="Arial" w:hAnsi="Arial"/>
          <w:sz w:val="19"/>
          <w:szCs w:val="19"/>
          <w:u w:val="single" w:color="auto"/>
          <w:color w:val="auto"/>
        </w:rPr>
        <w:t>Holder</w:t>
      </w:r>
      <w:r>
        <w:rPr>
          <w:rFonts w:ascii="Arial" w:cs="Arial" w:eastAsia="Arial" w:hAnsi="Arial"/>
          <w:sz w:val="19"/>
          <w:szCs w:val="19"/>
          <w:color w:val="auto"/>
        </w:rPr>
        <w:t>”) named in the award notice attached hereto (the “</w:t>
      </w:r>
      <w:r>
        <w:rPr>
          <w:rFonts w:ascii="Arial" w:cs="Arial" w:eastAsia="Arial" w:hAnsi="Arial"/>
          <w:sz w:val="19"/>
          <w:szCs w:val="19"/>
          <w:u w:val="single" w:color="auto"/>
          <w:color w:val="auto"/>
        </w:rPr>
        <w:t>Award Notice</w:t>
      </w:r>
      <w:r>
        <w:rPr>
          <w:rFonts w:ascii="Arial" w:cs="Arial" w:eastAsia="Arial" w:hAnsi="Arial"/>
          <w:sz w:val="19"/>
          <w:szCs w:val="19"/>
          <w:color w:val="auto"/>
        </w:rPr>
        <w:t>”) as of the date set forth in the Award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pursuant to the provisions of the Burlington Stores, Inc.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with respect to the number of shares of the Company’s Common Stock, par value $0.0001 per share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set forth in the Award Notice, upon and subject to the restrictions, terms and conditions set forth in the Award Notice, the Plan and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not defined herein shall have the meanings specified in the Plan.</w:t>
      </w:r>
    </w:p>
    <w:p>
      <w:pPr>
        <w:spacing w:after="0" w:line="150" w:lineRule="exact"/>
        <w:rPr>
          <w:sz w:val="20"/>
          <w:szCs w:val="20"/>
          <w:color w:val="auto"/>
        </w:rPr>
      </w:pPr>
    </w:p>
    <w:p>
      <w:pPr>
        <w:ind w:right="280" w:firstLine="757"/>
        <w:spacing w:after="0" w:line="287" w:lineRule="auto"/>
        <w:tabs>
          <w:tab w:leader="none" w:pos="149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Award Subject to Acceptance of Agreement</w:t>
      </w:r>
      <w:r>
        <w:rPr>
          <w:rFonts w:ascii="Arial" w:cs="Arial" w:eastAsia="Arial" w:hAnsi="Arial"/>
          <w:sz w:val="19"/>
          <w:szCs w:val="19"/>
          <w:color w:val="auto"/>
        </w:rPr>
        <w:t>. The Award shall be null and void unless Holder electronically accepts this Agreement within Holder’s stock plan account with the Company’s stock plan administrator according to the procedures then in effect (or, if permitted by the Company, accepts this Agreement by executing the Award Notice in the space provided therefor and returning an original execution copy of the Award Notice to the Company).</w:t>
      </w:r>
    </w:p>
    <w:p>
      <w:pPr>
        <w:spacing w:after="0" w:line="142" w:lineRule="exact"/>
        <w:rPr>
          <w:rFonts w:ascii="Arial" w:cs="Arial" w:eastAsia="Arial" w:hAnsi="Arial"/>
          <w:sz w:val="19"/>
          <w:szCs w:val="19"/>
          <w:color w:val="auto"/>
        </w:rPr>
      </w:pPr>
    </w:p>
    <w:p>
      <w:pPr>
        <w:ind w:right="20" w:firstLine="757"/>
        <w:spacing w:after="0"/>
        <w:tabs>
          <w:tab w:leader="none" w:pos="149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Holder shall not be entitled to any privileges of ownership with respect to the shares of Common Stock subject to the Award unless and until, and only to the extent, such shares become vested pursuant to Section 3 hereof and Holder becomes a stockholder of record with respect to such shares.</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Restriction Period and Vesting</w:t>
      </w:r>
      <w:r>
        <w:rPr>
          <w:rFonts w:ascii="Arial" w:cs="Arial" w:eastAsia="Arial" w:hAnsi="Arial"/>
          <w:sz w:val="22"/>
          <w:szCs w:val="22"/>
          <w:color w:val="auto"/>
        </w:rPr>
        <w:t>.</w:t>
      </w:r>
    </w:p>
    <w:p>
      <w:pPr>
        <w:spacing w:after="0" w:line="206" w:lineRule="exact"/>
        <w:rPr>
          <w:sz w:val="20"/>
          <w:szCs w:val="20"/>
          <w:color w:val="auto"/>
        </w:rPr>
      </w:pPr>
    </w:p>
    <w:p>
      <w:pPr>
        <w:jc w:val="both"/>
        <w:ind w:right="320" w:firstLine="1497"/>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Service-Based Vesting Conditions</w:t>
      </w:r>
      <w:r>
        <w:rPr>
          <w:rFonts w:ascii="Arial" w:cs="Arial" w:eastAsia="Arial" w:hAnsi="Arial"/>
          <w:sz w:val="19"/>
          <w:szCs w:val="19"/>
          <w:color w:val="auto"/>
        </w:rPr>
        <w:t>. Subject to the remainder of this Section 3, the Common Stock shall vest pursuant to the terms of this Agreement and the Plan in accordance with the Vesting Schedule set forth in the Award Notice. The period of time prior to the vesting of the Award shall be referred to herein as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w:t>
      </w:r>
    </w:p>
    <w:p>
      <w:pPr>
        <w:spacing w:after="0" w:line="13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w:t>
      </w:r>
    </w:p>
    <w:p>
      <w:pPr>
        <w:spacing w:after="0" w:line="206" w:lineRule="exact"/>
        <w:rPr>
          <w:sz w:val="20"/>
          <w:szCs w:val="20"/>
          <w:color w:val="auto"/>
        </w:rPr>
      </w:pPr>
    </w:p>
    <w:p>
      <w:pPr>
        <w:ind w:right="100" w:firstLine="1505"/>
        <w:spacing w:after="0" w:line="279" w:lineRule="auto"/>
        <w:tabs>
          <w:tab w:leader="none" w:pos="299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Holder’s employment with the Company and its Subsidiaries terminates prior to the end of the Restriction Period by reason of Holder’s death or termination by the Company or its Subsidiaries due to Disability, then in either such case, Holder shall become fully vested in the Award as of the date of termination of employment.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that the Holder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0" w:lineRule="exact"/>
        <w:rPr>
          <w:rFonts w:ascii="Arial" w:cs="Arial" w:eastAsia="Arial" w:hAnsi="Arial"/>
          <w:sz w:val="19"/>
          <w:szCs w:val="19"/>
          <w:color w:val="auto"/>
        </w:rPr>
      </w:pPr>
    </w:p>
    <w:p>
      <w:pPr>
        <w:ind w:right="60" w:firstLine="1505"/>
        <w:spacing w:after="0" w:line="238" w:lineRule="auto"/>
        <w:tabs>
          <w:tab w:leader="none" w:pos="299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Termination due to a Reduction in Force</w:t>
      </w:r>
      <w:r>
        <w:rPr>
          <w:rFonts w:ascii="Arial" w:cs="Arial" w:eastAsia="Arial" w:hAnsi="Arial"/>
          <w:sz w:val="22"/>
          <w:szCs w:val="22"/>
          <w:color w:val="auto"/>
        </w:rPr>
        <w:t>. Except as provided for in Section 3(c)¸ if Holder’s employment with the Company and its Subsidiaries is terminated prior to the end of the Restriction Period by the Company or its Subsidiaries due to a reduction in force, as determined by the Committee in its sole and absolute discretion (provided that Holder has not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30" w:name="page131"/>
    <w:bookmarkEnd w:id="130"/>
    <w:p>
      <w:pPr>
        <w:ind w:right="60"/>
        <w:spacing w:after="0" w:line="248" w:lineRule="auto"/>
        <w:rPr>
          <w:sz w:val="20"/>
          <w:szCs w:val="20"/>
          <w:color w:val="auto"/>
        </w:rPr>
      </w:pPr>
      <w:r>
        <w:rPr>
          <w:rFonts w:ascii="Arial" w:cs="Arial" w:eastAsia="Arial" w:hAnsi="Arial"/>
          <w:sz w:val="21"/>
          <w:szCs w:val="21"/>
          <w:color w:val="auto"/>
        </w:rPr>
        <w:t>committed an act constituting grounds for a termination for Cause), then the Award shall vest on a prorated basis, with such proration determined by multiplying the number of shares of Common Stock subject to the Award on the Grant Date by a fraction, the numerator of which is the number of days that have occurred since the Grant Date through the date of the Holder’s termination of employment in accordance with this Section 3.2(b) and the denominator of which is the total number of days between the Grant Date and the Vesting Date set forth on the Award Notice. The portion of the Award that does not vest pursuant to this Section 3.2(b) shall be forfeited by Holder and cancelled by the Company.</w:t>
      </w:r>
    </w:p>
    <w:p>
      <w:pPr>
        <w:spacing w:after="0" w:line="177" w:lineRule="exact"/>
        <w:rPr>
          <w:sz w:val="20"/>
          <w:szCs w:val="20"/>
          <w:color w:val="auto"/>
        </w:rPr>
      </w:pPr>
    </w:p>
    <w:p>
      <w:pPr>
        <w:ind w:firstLine="1505"/>
        <w:spacing w:after="0" w:line="271" w:lineRule="auto"/>
        <w:tabs>
          <w:tab w:leader="none" w:pos="2995"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Change in Control Qualifying Termination</w:t>
      </w:r>
      <w:r>
        <w:rPr>
          <w:rFonts w:ascii="Arial" w:cs="Arial" w:eastAsia="Arial" w:hAnsi="Arial"/>
          <w:sz w:val="19"/>
          <w:szCs w:val="19"/>
          <w:color w:val="auto"/>
        </w:rPr>
        <w:t>. If Holder’s employment with the Company and its Subsidiaries terminates due to a Change in Control Qualifying Termination prior to the end of the Restriction Period, then the Award shall become fully vested as of the date of termination of employment. Except as otherwise provided in any other agreement between the Company or any of its Subsidiaries and Holder, a Change in Control Qualifying Termination means (i) if Holder is a party to an employment agreement with the Company or one of its Subsidiaries or are subject to the Burlington Stores, Inc. Executive Severance Plan (Merchandising &amp; Planning) (the “Severance Plan”) on the Grant Date, then a termination of Holder’s employment by the Company or a Subsidiary without Cause or resignation by Holder for Good Reason within the two year period immediately following a Change in Control or (ii) if Holder is not a party to an employment agreement with the Company or one of its Subsidiaries or subject to the Severance Plan on the Grant Date, then a termination of Holder’s employment by the Company or a Subsidiary without Cause within the one year period immediately following a Change in Control. Notwithstanding anything in the Agreement or in the Plan to the contrary, for purposes of the Agreement, (x) in the case of clause (i) of the preceding sentence, if Holder is a party to an employment agreement with the Company or one of its Subsidiaries on the Grant Date, “Cause” and “Good Reason” shall have the meanings provided in the terms of such employment agreement and if Holder is not a party to an employment agreement with the Company or one of its Subsidiaries on the Grant Date, “Cause” and “Good Reason” shall have the meanings provided in the terms of the Severance Plan, as in effect on the Grant Date and (y) in the case of clause (ii) of the preceding sentence, “Cause” shall have the meaning provided in the Plan.</w:t>
      </w:r>
    </w:p>
    <w:p>
      <w:pPr>
        <w:spacing w:after="0" w:line="156" w:lineRule="exact"/>
        <w:rPr>
          <w:rFonts w:ascii="Arial" w:cs="Arial" w:eastAsia="Arial" w:hAnsi="Arial"/>
          <w:sz w:val="19"/>
          <w:szCs w:val="19"/>
          <w:color w:val="auto"/>
        </w:rPr>
      </w:pPr>
    </w:p>
    <w:p>
      <w:pPr>
        <w:ind w:right="260" w:firstLine="1505"/>
        <w:spacing w:after="0" w:line="276" w:lineRule="auto"/>
        <w:tabs>
          <w:tab w:leader="none" w:pos="2995"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w:t>
      </w:r>
      <w:r>
        <w:rPr>
          <w:rFonts w:ascii="Arial" w:cs="Arial" w:eastAsia="Arial" w:hAnsi="Arial"/>
          <w:sz w:val="19"/>
          <w:szCs w:val="19"/>
          <w:color w:val="auto"/>
        </w:rPr>
        <w:t>. If (i) Holder’s employment with the Company and its Subsidiaries terminates prior to the end of the Restriction Period for any reason other than as specified in Sections 3.2(a)-(c) or</w:t>
      </w:r>
    </w:p>
    <w:p>
      <w:pPr>
        <w:spacing w:after="0" w:line="1" w:lineRule="exact"/>
        <w:rPr>
          <w:rFonts w:ascii="Arial" w:cs="Arial" w:eastAsia="Arial" w:hAnsi="Arial"/>
          <w:sz w:val="19"/>
          <w:szCs w:val="19"/>
          <w:color w:val="auto"/>
        </w:rPr>
      </w:pPr>
    </w:p>
    <w:p>
      <w:pPr>
        <w:ind w:right="160" w:firstLine="8"/>
        <w:spacing w:after="0" w:line="236" w:lineRule="auto"/>
        <w:tabs>
          <w:tab w:leader="none" w:pos="318" w:val="left"/>
        </w:tabs>
        <w:numPr>
          <w:ilvl w:val="0"/>
          <w:numId w:val="72"/>
        </w:numPr>
        <w:rPr>
          <w:rFonts w:ascii="Arial" w:cs="Arial" w:eastAsia="Arial" w:hAnsi="Arial"/>
          <w:sz w:val="22"/>
          <w:szCs w:val="22"/>
          <w:color w:val="auto"/>
        </w:rPr>
      </w:pPr>
      <w:r>
        <w:rPr>
          <w:rFonts w:ascii="Arial" w:cs="Arial" w:eastAsia="Arial" w:hAnsi="Arial"/>
          <w:sz w:val="22"/>
          <w:szCs w:val="22"/>
          <w:color w:val="auto"/>
        </w:rPr>
        <w:t>Holder breaches any non-competition obligation Holder has to the Company or any of its Subsidiaries under any agreement, then the Award shall be immediately forfeited by Holder and cancelled by the Company.</w:t>
      </w:r>
    </w:p>
    <w:p>
      <w:pPr>
        <w:spacing w:after="0" w:line="186" w:lineRule="exact"/>
        <w:rPr>
          <w:rFonts w:ascii="Arial" w:cs="Arial" w:eastAsia="Arial" w:hAnsi="Arial"/>
          <w:sz w:val="22"/>
          <w:szCs w:val="22"/>
          <w:color w:val="auto"/>
        </w:rPr>
      </w:pPr>
    </w:p>
    <w:p>
      <w:pPr>
        <w:ind w:right="140" w:firstLine="757"/>
        <w:spacing w:after="0" w:line="234" w:lineRule="auto"/>
        <w:tabs>
          <w:tab w:leader="none" w:pos="1498"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Issuance or Delivery of Shares</w:t>
      </w:r>
      <w:r>
        <w:rPr>
          <w:rFonts w:ascii="Arial" w:cs="Arial" w:eastAsia="Arial" w:hAnsi="Arial"/>
          <w:sz w:val="22"/>
          <w:szCs w:val="22"/>
          <w:color w:val="auto"/>
        </w:rPr>
        <w:t>. Except as otherwise provided for herein, within 60 days after the Vesting Date (or, if earlier, Holder’s termination of employment in accordance with Sections 3.2(a)-(c)), the Company shall issue or deliver, subject to the conditions of this Agreement, the vested shares of Common Stock to Holder. Such issuance or delivery shall be evidenced by the appropriate entry on the books of the Company or of a duly authorized transfer agent of the Company. The Company shall pay all original issue or transfer taxes and all fees and expenses incident to such issuance or delivery, except as otherwise provided in Section 7. Prior to the issuance to Holder of the shares of Common Stock subject to the Award, Holder shall have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31" w:name="page132"/>
    <w:bookmarkEnd w:id="131"/>
    <w:p>
      <w:pPr>
        <w:spacing w:after="0" w:line="250" w:lineRule="auto"/>
        <w:rPr>
          <w:sz w:val="20"/>
          <w:szCs w:val="20"/>
          <w:color w:val="auto"/>
        </w:rPr>
      </w:pPr>
      <w:r>
        <w:rPr>
          <w:rFonts w:ascii="Arial" w:cs="Arial" w:eastAsia="Arial" w:hAnsi="Arial"/>
          <w:sz w:val="22"/>
          <w:szCs w:val="22"/>
          <w:color w:val="auto"/>
        </w:rPr>
        <w:t>no direct or secured claim in any specific assets of the Company or in such shares of Common Stock, and will have the status of a general unsecured creditor of the Company.</w:t>
      </w:r>
    </w:p>
    <w:p>
      <w:pPr>
        <w:spacing w:after="0" w:line="175" w:lineRule="exact"/>
        <w:rPr>
          <w:sz w:val="20"/>
          <w:szCs w:val="20"/>
          <w:color w:val="auto"/>
        </w:rPr>
      </w:pPr>
    </w:p>
    <w:p>
      <w:pPr>
        <w:ind w:left="1500" w:hanging="743"/>
        <w:spacing w:after="0"/>
        <w:tabs>
          <w:tab w:leader="none" w:pos="15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Non-Compete, Non-Solicitation; Confidentiality</w:t>
      </w:r>
      <w:r>
        <w:rPr>
          <w:rFonts w:ascii="Arial" w:cs="Arial" w:eastAsia="Arial" w:hAnsi="Arial"/>
          <w:sz w:val="22"/>
          <w:szCs w:val="22"/>
          <w:color w:val="auto"/>
        </w:rPr>
        <w:t>.</w:t>
      </w:r>
    </w:p>
    <w:p>
      <w:pPr>
        <w:spacing w:after="0" w:line="206" w:lineRule="exact"/>
        <w:rPr>
          <w:sz w:val="20"/>
          <w:szCs w:val="20"/>
          <w:color w:val="auto"/>
        </w:rPr>
      </w:pPr>
    </w:p>
    <w:p>
      <w:pPr>
        <w:ind w:right="20" w:firstLine="1497"/>
        <w:spacing w:after="0" w:line="271"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Non-Compete</w:t>
      </w:r>
      <w:r>
        <w:rPr>
          <w:rFonts w:ascii="Arial" w:cs="Arial" w:eastAsia="Arial" w:hAnsi="Arial"/>
          <w:sz w:val="19"/>
          <w:szCs w:val="19"/>
          <w:color w:val="auto"/>
        </w:rPr>
        <w:t>. In further consideration of the Award granted to Holder hereunder, Holder acknowledges and agrees that during the course of Holder’s employment with the Company and its Subsidiaries, Holder shall become familiar, and during Holder’s employment with the predecessors of the Company and its Subsidiaries, Holder has become familiar, with the Company’s and its Subsidiaries’ trade secrets and with other confidential information and that Holder’s services have been and shall be of special, unique and extraordinary value to the Company and its Subsidiaries, and therefore, Holder agrees that, during his or her employment with the Company and its Subsidiaries and, if Holder’s employment with the Company and its Subsidiaries terminates for any reason, for a period of two (2) years thereafter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Holder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of, or undertake any planning to engage in any of the foregoing activities in connection with, a Competing Business within any geographical area in which the Company or its Subsidiaries currently operates or plans to operate. Nothing herein shall prohibit Holder from being a passive owner of not more than 2% of the outstanding stock of any class of a corporation, which is publicly traded, so long as Holder has no active participation in the business of such corporation. For purposes of this Agreement, “Competing Business” means each of the following entities, together with their respective subsidiaries, affiliates, successors and assigns: Macy’s, Inc., the TJX Companies, Inc. and Ross Stores, Inc.</w:t>
      </w:r>
    </w:p>
    <w:p>
      <w:pPr>
        <w:spacing w:after="0" w:line="200" w:lineRule="exact"/>
        <w:rPr>
          <w:sz w:val="20"/>
          <w:szCs w:val="20"/>
          <w:color w:val="auto"/>
        </w:rPr>
      </w:pPr>
    </w:p>
    <w:p>
      <w:pPr>
        <w:spacing w:after="0" w:line="203"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Non-Compete Period, Holder shall not, directly or indirectly, and shall ensure that any person or entity controlled by Holder does not, (a) induce or attempt to induce any employee of the Company or any Subsidiary to leave the employ of the Company or such Subsidiary, or in any way interfere with the relationship between the Company or any Subsidiary and any employee thereof, (b) hire, directly or through another person, any person (whether or not solicited) who was an employee of the Company or any Subsidiary at any time within the one year period before Holder’s termination from employment, (c) induce or attempt to induce any customer, supplier, licensee, 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or (d)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86" w:lineRule="exact"/>
        <w:rPr>
          <w:sz w:val="20"/>
          <w:szCs w:val="20"/>
          <w:color w:val="auto"/>
        </w:rPr>
      </w:pPr>
    </w:p>
    <w:p>
      <w:pPr>
        <w:ind w:right="140" w:firstLine="1497"/>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Confidentiality</w:t>
      </w:r>
      <w:r>
        <w:rPr>
          <w:rFonts w:ascii="Arial" w:cs="Arial" w:eastAsia="Arial" w:hAnsi="Arial"/>
          <w:sz w:val="22"/>
          <w:szCs w:val="22"/>
          <w:color w:val="auto"/>
        </w:rPr>
        <w:t>. Holder acknowledges and agrees that the information, observations and data (including trade secrets) obtained by Holder while employed by the Company and its Subsidiaries concerning the business or affairs of the Company and 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32" w:name="page133"/>
    <w:bookmarkEnd w:id="132"/>
    <w:p>
      <w:pPr>
        <w:spacing w:after="0" w:line="270" w:lineRule="auto"/>
        <w:rPr>
          <w:sz w:val="20"/>
          <w:szCs w:val="20"/>
          <w:color w:val="auto"/>
        </w:rPr>
      </w:pPr>
      <w:r>
        <w:rPr>
          <w:rFonts w:ascii="Arial" w:cs="Arial" w:eastAsia="Arial" w:hAnsi="Arial"/>
          <w:sz w:val="19"/>
          <w:szCs w:val="19"/>
          <w:color w:val="auto"/>
        </w:rPr>
        <w:t>Subsidiaries are the confidential information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and the property, of the Company and/or its Subsidiaries. Without limiting the foregoing, the term “Confidential Information” shall be interpreted as broadly as possible to include all observations, data and other information of any sort that are (a) related to any past, current or potential business of the Company or any of its Subsidiaries or any of their respective predecessors, and any other business related to any of the foregoing, and (b) not generally known to and available for use by those within the line of business or industry of the Company or by the public (except to the extent such information has become generally known to and available for use by the public as a direct or indirect result of Holder’s acts or omissions) including all (i) work product; (ii) information concerning development, acquisition or investment opportunities in or reasonably related to the business or industry of the Company or any of its Subsidiaries of which Holder is aware or becomes aware during the term of his employment; (iii) information identifying or otherwise concerning any current, former or prospective suppliers, distributors, contractors, agents or customers of the Company or any of its Subsidiaries; (iv) development, transition, integration and transformation plans, methodologies, processes and methods of doing business; (v) strategic, marketing, promotional and financial information (including all financial statements), business and expansion plans, including plans and information regarding planned, projected and/or potential sales, pricing, discount and cost information; (vi) information identifying or otherwise concerning employees, independent contractors and consultants; (vii) information on new and existing programs and services, prices, terms, and related information; (viii) all information marked, or otherwise designated, as confidential by the Company or any of its Subsidiaries or which Holder should reasonably know is confidential or proprietary information of the Company or any of its Subsidiaries; (ix) all information or materials similar or related to any of the foregoing, in whatever form or medium, whether now existing or arising hereafter (and regardless of whether merely stored in the mind of Holder or employees or consultants of the Company or any of its Subsidiaries, or embodied in a tangible form or medium); and (x) all tangible embodiments of any of the foregoing.</w:t>
      </w:r>
    </w:p>
    <w:p>
      <w:pPr>
        <w:spacing w:after="0" w:line="200" w:lineRule="exact"/>
        <w:rPr>
          <w:sz w:val="20"/>
          <w:szCs w:val="20"/>
          <w:color w:val="auto"/>
        </w:rPr>
      </w:pPr>
    </w:p>
    <w:p>
      <w:pPr>
        <w:spacing w:after="0" w:line="206" w:lineRule="exact"/>
        <w:rPr>
          <w:sz w:val="20"/>
          <w:szCs w:val="20"/>
          <w:color w:val="auto"/>
        </w:rPr>
      </w:pPr>
    </w:p>
    <w:p>
      <w:pPr>
        <w:ind w:right="20" w:firstLine="1497"/>
        <w:spacing w:after="0" w:line="27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Disclosure</w:t>
      </w:r>
      <w:r>
        <w:rPr>
          <w:rFonts w:ascii="Arial" w:cs="Arial" w:eastAsia="Arial" w:hAnsi="Arial"/>
          <w:sz w:val="19"/>
          <w:szCs w:val="19"/>
          <w:color w:val="auto"/>
        </w:rPr>
        <w:t>. Holder agrees that, except as required by law or court order, including, without limitation, depositions, interrogatories, court testimony, and the like (and in such case provided that Holder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Holder shall not disclose to any unauthorized person or entity or use for Holder’s own purposes any Confidential Information without the prior written consent of the Board, unless and to the extent that the Confidential Information becomes generally known to and available for use by the public other than as a direct or indirect result of Holder’s acts or omissions. Holder shall deliver to the Company at the time Holder’s employment ceases, or at any other time the Company may request, all memoranda, notes, plans, records, reports, computer tapes, printouts and software and other documents and data (and copies thereof) embodying or relating to the Confidential Information (including any work product) or the business of the Company and its Subsidiaries which Holder may then possess or have under Holder’s control and if, at any time thereafter, any such materials are brought to Holder’s attention or Holder discovers them in his possession or control, Holder shall deliver such materials to the Company immediately upon such notice or discovery.</w:t>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p>
      <w:pPr>
        <w:ind w:firstLine="1497"/>
        <w:spacing w:after="0" w:line="271"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Protected Rights</w:t>
      </w:r>
      <w:r>
        <w:rPr>
          <w:rFonts w:ascii="Arial" w:cs="Arial" w:eastAsia="Arial" w:hAnsi="Arial"/>
          <w:sz w:val="19"/>
          <w:szCs w:val="19"/>
          <w:color w:val="auto"/>
        </w:rPr>
        <w:t>. Pursuant to 18 U.S.C. § 1833(b),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Holder has the right to disclose in confidence trade secrets to Federal, State, and local government officials, or to an attorney, for the sole purpose of reporting or investigating a suspected violation of law. Holder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Holder understands that nothing contained in this Agreement limits Holder’s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u w:val="single" w:color="auto"/>
          <w:color w:val="auto"/>
        </w:rPr>
        <w:t>Government Agencies</w:t>
      </w:r>
      <w:r>
        <w:rPr>
          <w:rFonts w:ascii="Arial" w:cs="Arial" w:eastAsia="Arial" w:hAnsi="Arial"/>
          <w:sz w:val="19"/>
          <w:szCs w:val="19"/>
          <w:color w:val="auto"/>
        </w:rPr>
        <w:t>”). Holder further understands that this Agreement does not limit Holder’s ability to communicate with any Government Agencies or otherwise participate in any investigation or proceeding that may be conducted by any Government Agency, including providing documents or other information, without notice to the Company. This Agreement does not limit Holder’s right to receive an award for information provided to any Government Agencies.</w:t>
      </w:r>
    </w:p>
    <w:p>
      <w:pPr>
        <w:spacing w:after="0" w:line="200" w:lineRule="exact"/>
        <w:rPr>
          <w:sz w:val="20"/>
          <w:szCs w:val="20"/>
          <w:color w:val="auto"/>
        </w:rPr>
      </w:pPr>
    </w:p>
    <w:p>
      <w:pPr>
        <w:spacing w:after="0" w:line="203" w:lineRule="exact"/>
        <w:rPr>
          <w:sz w:val="20"/>
          <w:szCs w:val="20"/>
          <w:color w:val="auto"/>
        </w:rPr>
      </w:pPr>
    </w:p>
    <w:p>
      <w:pPr>
        <w:ind w:right="120" w:firstLine="1497"/>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Other Agreements</w:t>
      </w:r>
      <w:r>
        <w:rPr>
          <w:rFonts w:ascii="Arial" w:cs="Arial" w:eastAsia="Arial" w:hAnsi="Arial"/>
          <w:sz w:val="22"/>
          <w:szCs w:val="22"/>
          <w:color w:val="auto"/>
        </w:rPr>
        <w:t>. Notwithstanding the foregoing and any other language in this Agreement, this Agreement does not supersede or preclude the enforceability of any restrictive covenant provision contained in any prior agreement entered into by Holder. Further, no prior restrictive covenant supersedes or precludes the enforceability of any provision contained in this Agreement.</w:t>
      </w:r>
    </w:p>
    <w:p>
      <w:pPr>
        <w:spacing w:after="0" w:line="185" w:lineRule="exact"/>
        <w:rPr>
          <w:sz w:val="20"/>
          <w:szCs w:val="20"/>
          <w:color w:val="auto"/>
        </w:rPr>
      </w:pPr>
    </w:p>
    <w:p>
      <w:pPr>
        <w:ind w:right="560" w:firstLine="1497"/>
        <w:spacing w:after="0" w:line="250"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Applicability</w:t>
      </w:r>
      <w:r>
        <w:rPr>
          <w:rFonts w:ascii="Arial" w:cs="Arial" w:eastAsia="Arial" w:hAnsi="Arial"/>
          <w:sz w:val="22"/>
          <w:szCs w:val="22"/>
          <w:color w:val="auto"/>
        </w:rPr>
        <w:t>. Notwithstanding the foregoing and any other language in this Agreement, Section 5.1 shall not apply to Holder if he or she is below the position of Director level as of the Grant Date.</w:t>
      </w:r>
    </w:p>
    <w:p>
      <w:pPr>
        <w:spacing w:after="0" w:line="175" w:lineRule="exact"/>
        <w:rPr>
          <w:sz w:val="20"/>
          <w:szCs w:val="20"/>
          <w:color w:val="auto"/>
        </w:rPr>
      </w:pPr>
    </w:p>
    <w:p>
      <w:pPr>
        <w:ind w:left="1500" w:hanging="743"/>
        <w:spacing w:after="0"/>
        <w:tabs>
          <w:tab w:leader="none" w:pos="15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206" w:lineRule="exact"/>
        <w:rPr>
          <w:sz w:val="20"/>
          <w:szCs w:val="20"/>
          <w:color w:val="auto"/>
        </w:rPr>
      </w:pPr>
    </w:p>
    <w:p>
      <w:pPr>
        <w:ind w:right="120" w:firstLine="1497"/>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Reliance</w:t>
      </w:r>
      <w:r>
        <w:rPr>
          <w:rFonts w:ascii="Arial" w:cs="Arial" w:eastAsia="Arial" w:hAnsi="Arial"/>
          <w:sz w:val="19"/>
          <w:szCs w:val="19"/>
          <w:color w:val="auto"/>
        </w:rPr>
        <w:t>. Holder acknowledges and agrees that the Company entered into this Agreement in reliance on the provisions of Section 5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Holder acknowledges and agrees that Holder has carefully read this Agreement and has given careful consideration to the restraints imposed upon Holder by this Agreement, and is in full accord as to their necessity for the reasonable protection of the Company’s and its Subsidiaries’ interests and the reasonable and proper protection of confidential and proprietary information of the Company and its Subsidiaries now existing or to be developed in the future. Holder expressly acknowledges and agrees that each and every restraint imposed by this Agreement is reasonable with respect to subject matter, time period and geographical area.</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4" w:name="page135"/>
    <w:bookmarkEnd w:id="134"/>
    <w:p>
      <w:pPr>
        <w:ind w:right="500" w:firstLine="1497"/>
        <w:spacing w:after="0" w:line="32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Enforcement</w:t>
      </w:r>
      <w:r>
        <w:rPr>
          <w:rFonts w:ascii="Arial" w:cs="Arial" w:eastAsia="Arial" w:hAnsi="Arial"/>
          <w:sz w:val="19"/>
          <w:szCs w:val="19"/>
          <w:color w:val="auto"/>
        </w:rPr>
        <w:t>. Notwithstanding any provision to the contrary herein, the Company or its Subsidiaries may pursue, at its discretion, enforcement of Section 5 in any court of competent jurisdiction (each, a “</w:t>
      </w:r>
      <w:r>
        <w:rPr>
          <w:rFonts w:ascii="Arial" w:cs="Arial" w:eastAsia="Arial" w:hAnsi="Arial"/>
          <w:sz w:val="19"/>
          <w:szCs w:val="19"/>
          <w:u w:val="single" w:color="auto"/>
          <w:color w:val="auto"/>
        </w:rPr>
        <w:t>Court</w:t>
      </w:r>
      <w:r>
        <w:rPr>
          <w:rFonts w:ascii="Arial" w:cs="Arial" w:eastAsia="Arial" w:hAnsi="Arial"/>
          <w:sz w:val="19"/>
          <w:szCs w:val="19"/>
          <w:color w:val="auto"/>
        </w:rPr>
        <w:t>”).</w:t>
      </w:r>
    </w:p>
    <w:p>
      <w:pPr>
        <w:spacing w:after="0" w:line="105" w:lineRule="exact"/>
        <w:rPr>
          <w:sz w:val="20"/>
          <w:szCs w:val="20"/>
          <w:color w:val="auto"/>
        </w:rPr>
      </w:pPr>
    </w:p>
    <w:p>
      <w:pPr>
        <w:ind w:right="20" w:firstLine="1497"/>
        <w:spacing w:after="0" w:line="275"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Section 5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57"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Equitable Relief.</w:t>
      </w:r>
      <w:r>
        <w:rPr>
          <w:rFonts w:ascii="Arial" w:cs="Arial" w:eastAsia="Arial" w:hAnsi="Arial"/>
          <w:sz w:val="19"/>
          <w:szCs w:val="19"/>
          <w:color w:val="auto"/>
        </w:rPr>
        <w:t xml:space="preserve"> Because Holder’s services are unique and because Holder has intimate knowledge of and access to confidential information and work product, the parties hereto agree that money damages would not be an adequate remedy for any breach of Section 5, and any breach of the terms of Section 5 would result in irreparable injury and damage to the Company and its Subsidiaries for which the Company and its Subsidiaries would have no adequate remedy at law. Therefore, in the event of a breach or threatened breach of Section 5, the 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Section 6 shall not prevent the Company or any of its Subsidiaries from pursuing any other available remedies for any breach or threatened breach of this Agreement, including the recovery of damages from Holder.</w:t>
      </w:r>
    </w:p>
    <w:p>
      <w:pPr>
        <w:spacing w:after="0" w:line="200" w:lineRule="exact"/>
        <w:rPr>
          <w:sz w:val="20"/>
          <w:szCs w:val="20"/>
          <w:color w:val="auto"/>
        </w:rPr>
      </w:pPr>
    </w:p>
    <w:p>
      <w:pPr>
        <w:spacing w:after="0" w:line="201" w:lineRule="exact"/>
        <w:rPr>
          <w:sz w:val="20"/>
          <w:szCs w:val="20"/>
          <w:color w:val="auto"/>
        </w:rPr>
      </w:pPr>
    </w:p>
    <w:p>
      <w:pPr>
        <w:ind w:left="1500" w:hanging="7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Transfer Restrictions and Investment Representation</w:t>
      </w:r>
      <w:r>
        <w:rPr>
          <w:rFonts w:ascii="Arial" w:cs="Arial" w:eastAsia="Arial" w:hAnsi="Arial"/>
          <w:sz w:val="22"/>
          <w:szCs w:val="22"/>
          <w:color w:val="auto"/>
        </w:rPr>
        <w:t>.</w:t>
      </w:r>
    </w:p>
    <w:p>
      <w:pPr>
        <w:spacing w:after="0" w:line="206" w:lineRule="exact"/>
        <w:rPr>
          <w:sz w:val="20"/>
          <w:szCs w:val="20"/>
          <w:color w:val="auto"/>
        </w:rPr>
      </w:pPr>
    </w:p>
    <w:p>
      <w:pPr>
        <w:ind w:right="160" w:firstLine="1497"/>
        <w:spacing w:after="0" w:line="279"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may not be transferred by Holder other than by will or the laws of descent and distribution or pursuant to the designation of one or more beneficiaries on the form prescribed by the Company.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50" w:lineRule="exact"/>
        <w:rPr>
          <w:sz w:val="20"/>
          <w:szCs w:val="20"/>
          <w:color w:val="auto"/>
        </w:rPr>
      </w:pPr>
    </w:p>
    <w:p>
      <w:pPr>
        <w:ind w:right="280" w:firstLine="1497"/>
        <w:spacing w:after="0" w:line="24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Investment Representation</w:t>
      </w:r>
      <w:r>
        <w:rPr>
          <w:rFonts w:ascii="Arial" w:cs="Arial" w:eastAsia="Arial" w:hAnsi="Arial"/>
          <w:sz w:val="21"/>
          <w:szCs w:val="21"/>
          <w:color w:val="auto"/>
        </w:rPr>
        <w:t>. Holder hereby represents and covenants that (a) any sale of any share of Common Stock acquired upon the vesting of the Award shall be made either pursuant to an effective registration statement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any applicable state securities laws, or pursuant to an exemption from registration under the Securities Act and such state securities laws and (b) if requested by the Company, Holder shall submit a written statement, in a form satisfactory to the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ind w:right="280"/>
        <w:spacing w:after="0" w:line="236" w:lineRule="auto"/>
        <w:rPr>
          <w:sz w:val="20"/>
          <w:szCs w:val="20"/>
          <w:color w:val="auto"/>
        </w:rPr>
      </w:pPr>
      <w:r>
        <w:rPr>
          <w:rFonts w:ascii="Arial" w:cs="Arial" w:eastAsia="Arial" w:hAnsi="Arial"/>
          <w:sz w:val="22"/>
          <w:szCs w:val="22"/>
          <w:color w:val="auto"/>
        </w:rPr>
        <w:t>Company, to the effect that such representation is true and correct as of the date of any sale of any such shares. As a further condition precedent to the vesting of the Award and subject to Section 409A of the Code, Holder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187" w:lineRule="exact"/>
        <w:rPr>
          <w:sz w:val="20"/>
          <w:szCs w:val="20"/>
          <w:color w:val="auto"/>
        </w:rPr>
      </w:pPr>
    </w:p>
    <w:p>
      <w:pPr>
        <w:ind w:left="1500" w:hanging="743"/>
        <w:spacing w:after="0"/>
        <w:tabs>
          <w:tab w:leader="none" w:pos="15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Additional Terms and Conditions of Award</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Withholding Taxes</w:t>
      </w:r>
      <w:r>
        <w:rPr>
          <w:rFonts w:ascii="Arial" w:cs="Arial" w:eastAsia="Arial" w:hAnsi="Arial"/>
          <w:sz w:val="19"/>
          <w:szCs w:val="19"/>
          <w:color w:val="auto"/>
        </w:rPr>
        <w:t>. As a condition precedent to the delivery to Holder of any shares of Common Stock upon vesting of the Award, Holder shall, upon request by the Company, pay to the Company such amount of cash as the Company may be required, under all applicable federal, state, local or other laws or regulations, to withhold and pay over as income or other withholding taxes (the “</w:t>
      </w:r>
      <w:r>
        <w:rPr>
          <w:rFonts w:ascii="Arial" w:cs="Arial" w:eastAsia="Arial" w:hAnsi="Arial"/>
          <w:sz w:val="19"/>
          <w:szCs w:val="19"/>
          <w:u w:val="single" w:color="auto"/>
          <w:color w:val="auto"/>
        </w:rPr>
        <w:t>Required Tax Payments</w:t>
      </w:r>
      <w:r>
        <w:rPr>
          <w:rFonts w:ascii="Arial" w:cs="Arial" w:eastAsia="Arial" w:hAnsi="Arial"/>
          <w:sz w:val="19"/>
          <w:szCs w:val="19"/>
          <w:color w:val="auto"/>
        </w:rPr>
        <w:t>”) with respect to the Award. If Holder shall fail to advance the Required Tax Payments after request by the Company, the Company may, in its discretion, deduct any Required Tax Payments from any amount then or thereafter payable by the Company to Holder or withhold shares of Common Stock. Holder may elect to satisfy his or her obligation to advance the Required Tax Payments by any of the following means: (i) a cash payment to the Company; (ii) authorizing the Company to withhold from the shares of Common Stock otherwise to be delivered to Holder pursuant to the Award, a number of whole shares of Common Stock having an aggregate Fair Market Value, determined as of the date the obligation to withhold or pay taxes first arises in connection with the Award, equal to the Required Tax Payments; or (iii) any combination of (i) and (ii). Shares to be delivered or withheld may be withheld up to the maximum statutory tax rates in the applicable jurisdictions. Any fraction of a share of Common Stock which would be required to satisfy any such obligation shall be disregarded and the remaining amount due shall be paid in cash by Holder. No shares of Common Stock shall be issued or delivered until the Required Tax Payments have been satisfied in full.</w:t>
      </w:r>
    </w:p>
    <w:p>
      <w:pPr>
        <w:spacing w:after="0" w:line="16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Adjustment</w:t>
      </w:r>
      <w:r>
        <w:rPr>
          <w:rFonts w:ascii="Arial" w:cs="Arial" w:eastAsia="Arial" w:hAnsi="Arial"/>
          <w:sz w:val="19"/>
          <w:szCs w:val="19"/>
          <w:color w:val="auto"/>
        </w:rPr>
        <w:t>. In the event of a Section 4.2 Event, the adjustments provided for in 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4.2(b) of the Plan shall be made to the number of shares of Common Stock subject to the Award hereunder.</w:t>
      </w:r>
    </w:p>
    <w:p>
      <w:pPr>
        <w:spacing w:after="0" w:line="188" w:lineRule="exact"/>
        <w:rPr>
          <w:sz w:val="20"/>
          <w:szCs w:val="20"/>
          <w:color w:val="auto"/>
        </w:rPr>
      </w:pPr>
    </w:p>
    <w:p>
      <w:pPr>
        <w:ind w:right="60" w:firstLine="1497"/>
        <w:spacing w:after="0" w:line="246"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Compliance with Applicable Law</w:t>
      </w:r>
      <w:r>
        <w:rPr>
          <w:rFonts w:ascii="Arial" w:cs="Arial" w:eastAsia="Arial" w:hAnsi="Arial"/>
          <w:sz w:val="21"/>
          <w:szCs w:val="21"/>
          <w:color w:val="auto"/>
        </w:rPr>
        <w:t>. The Award is subject to the condition that if the listing, registration or qualification of the shares of Common Stock subject to the Award upon any securities exchange or under any law, or the consent or approval of any governmental body, or the taking of any other action is necessary or desirable as a condition of, or in connection with, the delivery of shares hereunder, the shares of Common Stock subject to the Award shall not be delivered, in whole or in part, unless such listing, registration, qualification, consent, approval or other action shall have been effected or obtained, free of any conditions not acceptable to the Company. The Company agrees to use reasonable efforts to effect or obtain any such listing, registration, qualification, consent, approval or other action.</w:t>
      </w:r>
    </w:p>
    <w:p>
      <w:pPr>
        <w:spacing w:after="0" w:line="184" w:lineRule="exact"/>
        <w:rPr>
          <w:sz w:val="20"/>
          <w:szCs w:val="20"/>
          <w:color w:val="auto"/>
        </w:rPr>
      </w:pPr>
    </w:p>
    <w:p>
      <w:pPr>
        <w:ind w:right="100" w:firstLine="1497"/>
        <w:spacing w:after="0" w:line="23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Award Confers No Rights to Continued Employment</w:t>
      </w:r>
      <w:r>
        <w:rPr>
          <w:rFonts w:ascii="Arial" w:cs="Arial" w:eastAsia="Arial" w:hAnsi="Arial"/>
          <w:sz w:val="22"/>
          <w:szCs w:val="22"/>
          <w:color w:val="auto"/>
        </w:rPr>
        <w:t>. In no event shall the granting of the Award or its acceptance by Holder, or any provision of the Agreement or the Plan, give or be deemed to give Holder any right to continued employment by the Company, any Subsidiary or any affiliate of the Company or affect in any manner the right of the Company, 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Subsidiary or any affiliate of the Company to terminate the employment of any person at any time.</w:t>
      </w:r>
    </w:p>
    <w:p>
      <w:pPr>
        <w:spacing w:after="0" w:line="206" w:lineRule="exact"/>
        <w:rPr>
          <w:sz w:val="20"/>
          <w:szCs w:val="20"/>
          <w:color w:val="auto"/>
        </w:rPr>
      </w:pPr>
    </w:p>
    <w:p>
      <w:pPr>
        <w:ind w:right="300" w:firstLine="1497"/>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Decisions of Committee</w:t>
      </w:r>
      <w:r>
        <w:rPr>
          <w:rFonts w:ascii="Arial" w:cs="Arial" w:eastAsia="Arial" w:hAnsi="Arial"/>
          <w:sz w:val="22"/>
          <w:szCs w:val="22"/>
          <w:color w:val="auto"/>
        </w:rPr>
        <w:t>. The Committee shall have the right to resolve all questions which may arise in connection with the Award. Any interpretation, determination or other action made or taken by the Committee regarding the Plan or this Agreement shall be final, binding and conclusive.</w:t>
      </w:r>
    </w:p>
    <w:p>
      <w:pPr>
        <w:spacing w:after="0" w:line="186"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any successor or successors of the Company and any person or persons who shall, upon the death of Holder, acquire any rights hereunder in accordance with this Agreement or the Plan.</w:t>
      </w:r>
    </w:p>
    <w:p>
      <w:pPr>
        <w:spacing w:after="0" w:line="186" w:lineRule="exact"/>
        <w:rPr>
          <w:sz w:val="20"/>
          <w:szCs w:val="20"/>
          <w:color w:val="auto"/>
        </w:rPr>
      </w:pPr>
    </w:p>
    <w:p>
      <w:pPr>
        <w:ind w:right="60" w:firstLine="1497"/>
        <w:spacing w:after="0" w:line="274"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other communications provided for in this Agreement shall be made, if to the Company, to Burlington Stores, Inc., 2006 Route 130 North, Burlington, NJ 08016, Attention: General Counsel, and if to Holder, to the last known mailing address of Holder contained in the records of the Company. All notices, requests or other communications provided for in this Agreement shall be made in writing either (a) by personal delivery, (b) 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provided, however, that if a notice, request or other communication sent to the Company is not received during regular business hours, it shall be deemed to be received on the next succeeding business day of the Company.</w:t>
      </w:r>
    </w:p>
    <w:p>
      <w:pPr>
        <w:spacing w:after="0" w:line="158" w:lineRule="exact"/>
        <w:rPr>
          <w:sz w:val="20"/>
          <w:szCs w:val="20"/>
          <w:color w:val="auto"/>
        </w:rPr>
      </w:pPr>
    </w:p>
    <w:p>
      <w:pPr>
        <w:ind w:right="280" w:firstLine="1497"/>
        <w:spacing w:after="0" w:line="297"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Award and all determinations made and actions taken pursuant hereto and thereto, to the extent not governed by the Code or the laws of the United States, shall be governed by the laws of the State of Delaware and construed in accordance therewith without giving effect to principles of conflicts of laws.</w:t>
      </w:r>
    </w:p>
    <w:p>
      <w:pPr>
        <w:spacing w:after="0" w:line="134" w:lineRule="exact"/>
        <w:rPr>
          <w:sz w:val="20"/>
          <w:szCs w:val="20"/>
          <w:color w:val="auto"/>
        </w:rPr>
      </w:pPr>
    </w:p>
    <w:p>
      <w:pPr>
        <w:jc w:val="both"/>
        <w:ind w:right="320" w:firstLine="1497"/>
        <w:spacing w:after="0"/>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Agreement Subject to the Plan</w:t>
      </w:r>
      <w:r>
        <w:rPr>
          <w:rFonts w:ascii="Arial" w:cs="Arial" w:eastAsia="Arial" w:hAnsi="Arial"/>
          <w:sz w:val="22"/>
          <w:szCs w:val="22"/>
          <w:color w:val="auto"/>
        </w:rPr>
        <w:t>. This Agreement is subject to the provisions of the Plan and shall be interpreted in accordance therewith. In the event that the provisions of this Agreement and the Plan conflict, the Plan shall control. Holder hereby acknowledges receipt of a copy of the Plan.</w:t>
      </w:r>
    </w:p>
    <w:p>
      <w:pPr>
        <w:spacing w:after="0" w:line="186" w:lineRule="exact"/>
        <w:rPr>
          <w:sz w:val="20"/>
          <w:szCs w:val="20"/>
          <w:color w:val="auto"/>
        </w:rPr>
      </w:pPr>
    </w:p>
    <w:p>
      <w:pPr>
        <w:ind w:right="220" w:firstLine="1497"/>
        <w:spacing w:after="0" w:line="282"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provided for in Section 5.6, this Agreement and the Plan constitute the entire agreement of the parties with respect to the subject matter hereof and supersede in their entirety all prior undertakings and agreements of the Company and Holder with respect to the subject matter hereof, and may not be modified adversely to Holder’s interest except by means of a writing signed by the Company and Holder. Notwithstanding the foregoing, Holder acknowledges that Holder is subject to Company policies relating to trading in the Company’s securities.</w:t>
      </w:r>
    </w:p>
    <w:p>
      <w:pPr>
        <w:spacing w:after="0" w:line="147"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The Company may amend the provisions of this Agreement at any time; provided that an amendment that would adversely affect Holder’s rights under this Agreement shall be subject to the written consent of Holder. No course of conduct or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ind w:right="400"/>
        <w:spacing w:after="0" w:line="250" w:lineRule="auto"/>
        <w:rPr>
          <w:sz w:val="20"/>
          <w:szCs w:val="20"/>
          <w:color w:val="auto"/>
        </w:rPr>
      </w:pPr>
      <w:r>
        <w:rPr>
          <w:rFonts w:ascii="Arial" w:cs="Arial" w:eastAsia="Arial" w:hAnsi="Arial"/>
          <w:sz w:val="22"/>
          <w:szCs w:val="22"/>
          <w:color w:val="auto"/>
        </w:rPr>
        <w:t>failure or delay in enforcing the provisions of this Agreement shall affect the validity, binding effect or enforceability of this Agreement.</w:t>
      </w:r>
    </w:p>
    <w:p>
      <w:pPr>
        <w:spacing w:after="0" w:line="175"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u w:val="single" w:color="auto"/>
          <w:color w:val="auto"/>
        </w:rPr>
        <w:t>Counterparts</w:t>
      </w:r>
      <w:r>
        <w:rPr>
          <w:rFonts w:ascii="Arial" w:cs="Arial" w:eastAsia="Arial" w:hAnsi="Arial"/>
          <w:sz w:val="22"/>
          <w:szCs w:val="22"/>
          <w:color w:val="auto"/>
        </w:rPr>
        <w:t>. The Award Notice may be executed in two counterparts, each of which shall be deemed an original and both of which together shall constitute one and the same instrument.</w:t>
      </w:r>
    </w:p>
    <w:p>
      <w:pPr>
        <w:spacing w:after="0" w:line="175" w:lineRule="exact"/>
        <w:rPr>
          <w:sz w:val="20"/>
          <w:szCs w:val="20"/>
          <w:color w:val="auto"/>
        </w:rPr>
      </w:pPr>
    </w:p>
    <w:p>
      <w:pPr>
        <w:ind w:right="40" w:firstLine="1497"/>
        <w:spacing w:after="0" w:line="245" w:lineRule="auto"/>
        <w:rPr>
          <w:sz w:val="20"/>
          <w:szCs w:val="20"/>
          <w:color w:val="auto"/>
        </w:rPr>
      </w:pPr>
      <w:r>
        <w:rPr>
          <w:rFonts w:ascii="Arial" w:cs="Arial" w:eastAsia="Arial" w:hAnsi="Arial"/>
          <w:sz w:val="21"/>
          <w:szCs w:val="21"/>
          <w:color w:val="auto"/>
        </w:rPr>
        <w:t xml:space="preserve">8.13. </w:t>
      </w:r>
      <w:r>
        <w:rPr>
          <w:rFonts w:ascii="Arial" w:cs="Arial" w:eastAsia="Arial" w:hAnsi="Arial"/>
          <w:sz w:val="21"/>
          <w:szCs w:val="21"/>
          <w:u w:val="single" w:color="auto"/>
          <w:color w:val="auto"/>
        </w:rPr>
        <w:t>Compliance With Section 409A of the Code</w:t>
      </w:r>
      <w:r>
        <w:rPr>
          <w:rFonts w:ascii="Arial" w:cs="Arial" w:eastAsia="Arial" w:hAnsi="Arial"/>
          <w:sz w:val="21"/>
          <w:szCs w:val="21"/>
          <w:color w:val="auto"/>
        </w:rPr>
        <w:t>. This Award is intended to be exempt from or comply with Section 409A of the Code, and shall be interpreted and construed accordingly and each payment hereunder shall be considered a separate payment. To the extent this Agreement provides for the Award to become vested and be settled upon the Holder’s termination of employment, the applicable shares of Common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Common Stock shall be transferred to the Holder or his or her beneficiary upon the earlier to occur of (a) the six-month anniversary of such separation from service and (b) the date of the Holder’s death.</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10.62</w:t>
      </w:r>
    </w:p>
    <w:p>
      <w:pPr>
        <w:jc w:val="center"/>
        <w:spacing w:after="0"/>
        <w:rPr>
          <w:sz w:val="20"/>
          <w:szCs w:val="20"/>
          <w:color w:val="auto"/>
        </w:rPr>
      </w:pPr>
      <w:r>
        <w:rPr>
          <w:rFonts w:ascii="Arial" w:cs="Arial" w:eastAsia="Arial" w:hAnsi="Arial"/>
          <w:sz w:val="22"/>
          <w:szCs w:val="22"/>
          <w:b w:val="1"/>
          <w:bCs w:val="1"/>
          <w:color w:val="auto"/>
        </w:rPr>
        <w:t>BURLINGTON STORES, INC.</w:t>
      </w:r>
    </w:p>
    <w:p>
      <w:pPr>
        <w:jc w:val="center"/>
        <w:spacing w:after="0"/>
        <w:rPr>
          <w:sz w:val="20"/>
          <w:szCs w:val="20"/>
          <w:color w:val="auto"/>
        </w:rPr>
      </w:pPr>
      <w:r>
        <w:rPr>
          <w:rFonts w:ascii="Arial" w:cs="Arial" w:eastAsia="Arial" w:hAnsi="Arial"/>
          <w:sz w:val="22"/>
          <w:szCs w:val="22"/>
          <w:b w:val="1"/>
          <w:bCs w:val="1"/>
          <w:color w:val="auto"/>
        </w:rPr>
        <w:t>2013 OMNIBUS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NOTICE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You have been awarded a stock option to purchase shares of common stock of Burlington Stores,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the terms and conditions of the Burlington Stores, Inc.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the Stock Option Agreement (together with this Award Notice, the “</w:t>
      </w:r>
      <w:r>
        <w:rPr>
          <w:rFonts w:ascii="Arial" w:cs="Arial" w:eastAsia="Arial" w:hAnsi="Arial"/>
          <w:sz w:val="19"/>
          <w:szCs w:val="19"/>
          <w:u w:val="single" w:color="auto"/>
          <w:color w:val="auto"/>
        </w:rPr>
        <w:t>Agreement</w:t>
      </w:r>
      <w:r>
        <w:rPr>
          <w:rFonts w:ascii="Arial" w:cs="Arial" w:eastAsia="Arial" w:hAnsi="Arial"/>
          <w:sz w:val="19"/>
          <w:szCs w:val="19"/>
          <w:color w:val="auto"/>
        </w:rPr>
        <w:t>”). The Stock Option Agreement is attached hereto. Capitalized terms not defined herein shall have the meanings specified in the Plan or the Agreement.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ind w:left="100"/>
              <w:spacing w:after="0"/>
              <w:rPr>
                <w:sz w:val="20"/>
                <w:szCs w:val="20"/>
                <w:color w:val="auto"/>
              </w:rPr>
            </w:pPr>
            <w:r>
              <w:rPr>
                <w:rFonts w:ascii="Arial" w:cs="Arial" w:eastAsia="Arial" w:hAnsi="Arial"/>
                <w:sz w:val="22"/>
                <w:szCs w:val="22"/>
                <w:color w:val="auto"/>
              </w:rPr>
              <w:t>Option:</w:t>
            </w: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w w:val="90"/>
              </w:rPr>
              <w:t xml:space="preserve">You have been awarded a Non-Qualified Stock Option to purchase from the Company </w:t>
            </w:r>
            <w:r>
              <w:rPr>
                <w:rFonts w:ascii="Arial" w:cs="Arial" w:eastAsia="Arial" w:hAnsi="Arial"/>
                <w:sz w:val="22"/>
                <w:szCs w:val="22"/>
                <w:b w:val="1"/>
                <w:bCs w:val="1"/>
                <w:color w:val="auto"/>
                <w:w w:val="90"/>
              </w:rPr>
              <w:t>[insert</w:t>
            </w:r>
          </w:p>
        </w:tc>
      </w:tr>
      <w:tr>
        <w:trPr>
          <w:trHeight w:val="229"/>
        </w:trPr>
        <w:tc>
          <w:tcPr>
            <w:tcW w:w="2320" w:type="dxa"/>
            <w:vAlign w:val="bottom"/>
          </w:tcPr>
          <w:p>
            <w:pPr>
              <w:spacing w:after="0"/>
              <w:rPr>
                <w:sz w:val="19"/>
                <w:szCs w:val="19"/>
                <w:color w:val="auto"/>
              </w:rPr>
            </w:pPr>
          </w:p>
        </w:tc>
        <w:tc>
          <w:tcPr>
            <w:tcW w:w="8920" w:type="dxa"/>
            <w:vAlign w:val="bottom"/>
            <w:gridSpan w:val="5"/>
          </w:tcPr>
          <w:p>
            <w:pPr>
              <w:ind w:left="680"/>
              <w:spacing w:after="0" w:line="229" w:lineRule="exact"/>
              <w:rPr>
                <w:sz w:val="20"/>
                <w:szCs w:val="20"/>
                <w:color w:val="auto"/>
              </w:rPr>
            </w:pPr>
            <w:r>
              <w:rPr>
                <w:rFonts w:ascii="Arial" w:cs="Arial" w:eastAsia="Arial" w:hAnsi="Arial"/>
                <w:sz w:val="22"/>
                <w:szCs w:val="22"/>
                <w:b w:val="1"/>
                <w:bCs w:val="1"/>
                <w:color w:val="auto"/>
                <w:w w:val="95"/>
              </w:rPr>
              <w:t xml:space="preserve">number] </w:t>
            </w:r>
            <w:r>
              <w:rPr>
                <w:rFonts w:ascii="Arial" w:cs="Arial" w:eastAsia="Arial" w:hAnsi="Arial"/>
                <w:sz w:val="22"/>
                <w:szCs w:val="22"/>
                <w:color w:val="auto"/>
                <w:w w:val="95"/>
              </w:rPr>
              <w:t>shares of Common Stock, par value $0.0001 per share (the “Common Stock”),</w:t>
            </w:r>
          </w:p>
        </w:tc>
      </w:tr>
      <w:tr>
        <w:trPr>
          <w:trHeight w:val="254"/>
        </w:trPr>
        <w:tc>
          <w:tcPr>
            <w:tcW w:w="2320" w:type="dxa"/>
            <w:vAlign w:val="bottom"/>
          </w:tcPr>
          <w:p>
            <w:pPr>
              <w:spacing w:after="0"/>
              <w:rPr>
                <w:sz w:val="22"/>
                <w:szCs w:val="22"/>
                <w:color w:val="auto"/>
              </w:rPr>
            </w:pPr>
          </w:p>
        </w:tc>
        <w:tc>
          <w:tcPr>
            <w:tcW w:w="6760" w:type="dxa"/>
            <w:vAlign w:val="bottom"/>
            <w:gridSpan w:val="3"/>
          </w:tcPr>
          <w:p>
            <w:pPr>
              <w:ind w:left="680"/>
              <w:spacing w:after="0"/>
              <w:rPr>
                <w:sz w:val="20"/>
                <w:szCs w:val="20"/>
                <w:color w:val="auto"/>
              </w:rPr>
            </w:pPr>
            <w:r>
              <w:rPr>
                <w:rFonts w:ascii="Arial" w:cs="Arial" w:eastAsia="Arial" w:hAnsi="Arial"/>
                <w:sz w:val="22"/>
                <w:szCs w:val="22"/>
                <w:color w:val="auto"/>
                <w:w w:val="93"/>
              </w:rPr>
              <w:t>subject to adjustment as provided in Section 6.2 of the Agreement.</w:t>
            </w:r>
          </w:p>
        </w:tc>
        <w:tc>
          <w:tcPr>
            <w:tcW w:w="134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r>
      <w:tr>
        <w:trPr>
          <w:trHeight w:val="451"/>
        </w:trPr>
        <w:tc>
          <w:tcPr>
            <w:tcW w:w="2320" w:type="dxa"/>
            <w:vAlign w:val="bottom"/>
          </w:tcPr>
          <w:p>
            <w:pPr>
              <w:ind w:left="100"/>
              <w:spacing w:after="0"/>
              <w:rPr>
                <w:sz w:val="20"/>
                <w:szCs w:val="20"/>
                <w:color w:val="auto"/>
              </w:rPr>
            </w:pPr>
            <w:r>
              <w:rPr>
                <w:rFonts w:ascii="Arial" w:cs="Arial" w:eastAsia="Arial" w:hAnsi="Arial"/>
                <w:sz w:val="22"/>
                <w:szCs w:val="22"/>
                <w:color w:val="auto"/>
              </w:rPr>
              <w:t>Option Date:</w:t>
            </w:r>
          </w:p>
        </w:tc>
        <w:tc>
          <w:tcPr>
            <w:tcW w:w="4320" w:type="dxa"/>
            <w:vAlign w:val="bottom"/>
          </w:tcPr>
          <w:p>
            <w:pPr>
              <w:ind w:left="680"/>
              <w:spacing w:after="0"/>
              <w:rPr>
                <w:sz w:val="20"/>
                <w:szCs w:val="20"/>
                <w:color w:val="auto"/>
              </w:rPr>
            </w:pPr>
            <w:r>
              <w:rPr>
                <w:rFonts w:ascii="Arial" w:cs="Arial" w:eastAsia="Arial" w:hAnsi="Arial"/>
                <w:sz w:val="22"/>
                <w:szCs w:val="22"/>
                <w:b w:val="1"/>
                <w:bCs w:val="1"/>
                <w:color w:val="auto"/>
              </w:rPr>
              <w:t>[____________________, _____]</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1"/>
        </w:trPr>
        <w:tc>
          <w:tcPr>
            <w:tcW w:w="2320" w:type="dxa"/>
            <w:vAlign w:val="bottom"/>
          </w:tcPr>
          <w:p>
            <w:pPr>
              <w:ind w:left="100"/>
              <w:spacing w:after="0"/>
              <w:rPr>
                <w:sz w:val="20"/>
                <w:szCs w:val="20"/>
                <w:color w:val="auto"/>
              </w:rPr>
            </w:pPr>
            <w:r>
              <w:rPr>
                <w:rFonts w:ascii="Arial" w:cs="Arial" w:eastAsia="Arial" w:hAnsi="Arial"/>
                <w:sz w:val="22"/>
                <w:szCs w:val="22"/>
                <w:color w:val="auto"/>
              </w:rPr>
              <w:t>Exercise Price:</w:t>
            </w: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w w:val="98"/>
              </w:rPr>
              <w:t>$[______________] per share, subject to adjustment as provided in Section 6.2 of the</w:t>
            </w:r>
          </w:p>
        </w:tc>
      </w:tr>
      <w:tr>
        <w:trPr>
          <w:trHeight w:val="274"/>
        </w:trPr>
        <w:tc>
          <w:tcPr>
            <w:tcW w:w="2320" w:type="dxa"/>
            <w:vAlign w:val="bottom"/>
          </w:tcPr>
          <w:p>
            <w:pPr>
              <w:spacing w:after="0"/>
              <w:rPr>
                <w:sz w:val="23"/>
                <w:szCs w:val="23"/>
                <w:color w:val="auto"/>
              </w:rPr>
            </w:pP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rPr>
              <w:t>Agreement.</w:t>
            </w:r>
          </w:p>
        </w:tc>
      </w:tr>
      <w:tr>
        <w:trPr>
          <w:trHeight w:val="401"/>
        </w:trPr>
        <w:tc>
          <w:tcPr>
            <w:tcW w:w="2320" w:type="dxa"/>
            <w:vAlign w:val="bottom"/>
          </w:tcPr>
          <w:p>
            <w:pPr>
              <w:ind w:left="100"/>
              <w:spacing w:after="0"/>
              <w:rPr>
                <w:sz w:val="20"/>
                <w:szCs w:val="20"/>
                <w:color w:val="auto"/>
              </w:rPr>
            </w:pPr>
            <w:r>
              <w:rPr>
                <w:rFonts w:ascii="Arial" w:cs="Arial" w:eastAsia="Arial" w:hAnsi="Arial"/>
                <w:sz w:val="22"/>
                <w:szCs w:val="22"/>
                <w:color w:val="auto"/>
              </w:rPr>
              <w:t>Vesting Schedule:</w:t>
            </w: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w w:val="89"/>
              </w:rPr>
              <w:t>Except as otherwise provided in the Plan, the Agreement or any other agreement between the</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680"/>
              <w:spacing w:after="0" w:line="216" w:lineRule="exact"/>
              <w:rPr>
                <w:sz w:val="20"/>
                <w:szCs w:val="20"/>
                <w:color w:val="auto"/>
              </w:rPr>
            </w:pPr>
            <w:r>
              <w:rPr>
                <w:rFonts w:ascii="Arial" w:cs="Arial" w:eastAsia="Arial" w:hAnsi="Arial"/>
                <w:sz w:val="22"/>
                <w:szCs w:val="22"/>
                <w:color w:val="auto"/>
                <w:w w:val="93"/>
              </w:rPr>
              <w:t>Company or any of its Subsidiaries and Optionee, the Option shall vest 100% on the ____-</w:t>
            </w:r>
          </w:p>
        </w:tc>
      </w:tr>
      <w:tr>
        <w:trPr>
          <w:trHeight w:val="224"/>
        </w:trPr>
        <w:tc>
          <w:tcPr>
            <w:tcW w:w="2320" w:type="dxa"/>
            <w:vAlign w:val="bottom"/>
          </w:tcPr>
          <w:p>
            <w:pPr>
              <w:spacing w:after="0"/>
              <w:rPr>
                <w:sz w:val="19"/>
                <w:szCs w:val="19"/>
                <w:color w:val="auto"/>
              </w:rPr>
            </w:pPr>
          </w:p>
        </w:tc>
        <w:tc>
          <w:tcPr>
            <w:tcW w:w="8920" w:type="dxa"/>
            <w:vAlign w:val="bottom"/>
            <w:gridSpan w:val="5"/>
          </w:tcPr>
          <w:p>
            <w:pPr>
              <w:ind w:left="680"/>
              <w:spacing w:after="0" w:line="224" w:lineRule="exact"/>
              <w:rPr>
                <w:sz w:val="20"/>
                <w:szCs w:val="20"/>
                <w:color w:val="auto"/>
              </w:rPr>
            </w:pPr>
            <w:r>
              <w:rPr>
                <w:rFonts w:ascii="Arial" w:cs="Arial" w:eastAsia="Arial" w:hAnsi="Arial"/>
                <w:sz w:val="22"/>
                <w:szCs w:val="22"/>
                <w:color w:val="auto"/>
                <w:w w:val="94"/>
              </w:rPr>
              <w:t>year anniversary of the Option Date (the “Vesting Date”), if, and only if, you are, and have</w:t>
            </w:r>
          </w:p>
        </w:tc>
      </w:tr>
      <w:tr>
        <w:trPr>
          <w:trHeight w:val="20"/>
        </w:trPr>
        <w:tc>
          <w:tcPr>
            <w:tcW w:w="2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188"/>
        </w:trPr>
        <w:tc>
          <w:tcPr>
            <w:tcW w:w="2320" w:type="dxa"/>
            <w:vAlign w:val="bottom"/>
          </w:tcPr>
          <w:p>
            <w:pPr>
              <w:spacing w:after="0"/>
              <w:rPr>
                <w:sz w:val="16"/>
                <w:szCs w:val="16"/>
                <w:color w:val="auto"/>
              </w:rPr>
            </w:pPr>
          </w:p>
        </w:tc>
        <w:tc>
          <w:tcPr>
            <w:tcW w:w="8920" w:type="dxa"/>
            <w:vAlign w:val="bottom"/>
            <w:gridSpan w:val="5"/>
          </w:tcPr>
          <w:p>
            <w:pPr>
              <w:ind w:left="680"/>
              <w:spacing w:after="0" w:line="188" w:lineRule="exact"/>
              <w:rPr>
                <w:sz w:val="20"/>
                <w:szCs w:val="20"/>
                <w:color w:val="auto"/>
              </w:rPr>
            </w:pPr>
            <w:r>
              <w:rPr>
                <w:rFonts w:ascii="Arial" w:cs="Arial" w:eastAsia="Arial" w:hAnsi="Arial"/>
                <w:sz w:val="21"/>
                <w:szCs w:val="21"/>
                <w:color w:val="auto"/>
                <w:w w:val="95"/>
              </w:rPr>
              <w:t>been, continuously employed by the Company or any of its Subsidiaries from the date of this</w:t>
            </w:r>
          </w:p>
        </w:tc>
      </w:tr>
      <w:tr>
        <w:trPr>
          <w:trHeight w:val="274"/>
        </w:trPr>
        <w:tc>
          <w:tcPr>
            <w:tcW w:w="2320" w:type="dxa"/>
            <w:vAlign w:val="bottom"/>
          </w:tcPr>
          <w:p>
            <w:pPr>
              <w:spacing w:after="0"/>
              <w:rPr>
                <w:sz w:val="23"/>
                <w:szCs w:val="23"/>
                <w:color w:val="auto"/>
              </w:rPr>
            </w:pP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rPr>
              <w:t>Agreement through and including the Vesting Date.</w:t>
            </w:r>
          </w:p>
        </w:tc>
      </w:tr>
      <w:tr>
        <w:trPr>
          <w:trHeight w:val="401"/>
        </w:trPr>
        <w:tc>
          <w:tcPr>
            <w:tcW w:w="2320" w:type="dxa"/>
            <w:vAlign w:val="bottom"/>
          </w:tcPr>
          <w:p>
            <w:pPr>
              <w:ind w:left="100"/>
              <w:spacing w:after="0"/>
              <w:rPr>
                <w:sz w:val="20"/>
                <w:szCs w:val="20"/>
                <w:color w:val="auto"/>
              </w:rPr>
            </w:pPr>
            <w:r>
              <w:rPr>
                <w:rFonts w:ascii="Arial" w:cs="Arial" w:eastAsia="Arial" w:hAnsi="Arial"/>
                <w:sz w:val="22"/>
                <w:szCs w:val="22"/>
                <w:color w:val="auto"/>
              </w:rPr>
              <w:t>Expiration Date:</w:t>
            </w: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w w:val="94"/>
              </w:rPr>
              <w:t>Except to the extent earlier terminated pursuant to Section 2.2 of the Agreement or earlier</w:t>
            </w:r>
          </w:p>
        </w:tc>
      </w:tr>
      <w:tr>
        <w:trPr>
          <w:trHeight w:val="216"/>
        </w:trPr>
        <w:tc>
          <w:tcPr>
            <w:tcW w:w="2320" w:type="dxa"/>
            <w:vAlign w:val="bottom"/>
          </w:tcPr>
          <w:p>
            <w:pPr>
              <w:spacing w:after="0"/>
              <w:rPr>
                <w:sz w:val="18"/>
                <w:szCs w:val="18"/>
                <w:color w:val="auto"/>
              </w:rPr>
            </w:pPr>
          </w:p>
        </w:tc>
        <w:tc>
          <w:tcPr>
            <w:tcW w:w="8920" w:type="dxa"/>
            <w:vAlign w:val="bottom"/>
            <w:gridSpan w:val="5"/>
          </w:tcPr>
          <w:p>
            <w:pPr>
              <w:ind w:left="680"/>
              <w:spacing w:after="0" w:line="216" w:lineRule="exact"/>
              <w:rPr>
                <w:sz w:val="20"/>
                <w:szCs w:val="20"/>
                <w:color w:val="auto"/>
              </w:rPr>
            </w:pPr>
            <w:r>
              <w:rPr>
                <w:rFonts w:ascii="Arial" w:cs="Arial" w:eastAsia="Arial" w:hAnsi="Arial"/>
                <w:sz w:val="22"/>
                <w:szCs w:val="22"/>
                <w:color w:val="auto"/>
                <w:w w:val="92"/>
              </w:rPr>
              <w:t>exercised pursuant to Section 2.3 of the Agreement, the Option shall terminate at 5:00 p.m.,</w:t>
            </w:r>
          </w:p>
        </w:tc>
      </w:tr>
      <w:tr>
        <w:trPr>
          <w:trHeight w:val="274"/>
        </w:trPr>
        <w:tc>
          <w:tcPr>
            <w:tcW w:w="2320" w:type="dxa"/>
            <w:vAlign w:val="bottom"/>
          </w:tcPr>
          <w:p>
            <w:pPr>
              <w:spacing w:after="0"/>
              <w:rPr>
                <w:sz w:val="23"/>
                <w:szCs w:val="23"/>
                <w:color w:val="auto"/>
              </w:rPr>
            </w:pPr>
          </w:p>
        </w:tc>
        <w:tc>
          <w:tcPr>
            <w:tcW w:w="8920" w:type="dxa"/>
            <w:vAlign w:val="bottom"/>
            <w:gridSpan w:val="5"/>
          </w:tcPr>
          <w:p>
            <w:pPr>
              <w:ind w:left="680"/>
              <w:spacing w:after="0"/>
              <w:rPr>
                <w:sz w:val="20"/>
                <w:szCs w:val="20"/>
                <w:color w:val="auto"/>
              </w:rPr>
            </w:pPr>
            <w:r>
              <w:rPr>
                <w:rFonts w:ascii="Arial" w:cs="Arial" w:eastAsia="Arial" w:hAnsi="Arial"/>
                <w:sz w:val="22"/>
                <w:szCs w:val="22"/>
                <w:color w:val="auto"/>
              </w:rPr>
              <w:t>U.S. Eastern time, on the tenth anniversary of the Option Date.</w:t>
            </w:r>
          </w:p>
        </w:tc>
      </w:tr>
      <w:tr>
        <w:trPr>
          <w:trHeight w:val="459"/>
        </w:trPr>
        <w:tc>
          <w:tcPr>
            <w:tcW w:w="2320" w:type="dxa"/>
            <w:vAlign w:val="bottom"/>
          </w:tcPr>
          <w:p>
            <w:pPr>
              <w:spacing w:after="0"/>
              <w:rPr>
                <w:sz w:val="24"/>
                <w:szCs w:val="24"/>
                <w:color w:val="auto"/>
              </w:rPr>
            </w:pPr>
          </w:p>
        </w:tc>
        <w:tc>
          <w:tcPr>
            <w:tcW w:w="4320" w:type="dxa"/>
            <w:vAlign w:val="bottom"/>
          </w:tcPr>
          <w:p>
            <w:pPr>
              <w:ind w:left="308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9"/>
        </w:trPr>
        <w:tc>
          <w:tcPr>
            <w:tcW w:w="2320" w:type="dxa"/>
            <w:vAlign w:val="bottom"/>
          </w:tcPr>
          <w:p>
            <w:pPr>
              <w:spacing w:after="0"/>
              <w:rPr>
                <w:sz w:val="24"/>
                <w:szCs w:val="24"/>
                <w:color w:val="auto"/>
              </w:rPr>
            </w:pPr>
          </w:p>
        </w:tc>
        <w:tc>
          <w:tcPr>
            <w:tcW w:w="8920" w:type="dxa"/>
            <w:vAlign w:val="bottom"/>
            <w:gridSpan w:val="5"/>
          </w:tcPr>
          <w:p>
            <w:pPr>
              <w:ind w:left="720"/>
              <w:spacing w:after="0"/>
              <w:rPr>
                <w:sz w:val="20"/>
                <w:szCs w:val="20"/>
                <w:color w:val="auto"/>
              </w:rPr>
            </w:pPr>
            <w:r>
              <w:rPr>
                <w:rFonts w:ascii="Arial" w:cs="Arial" w:eastAsia="Arial" w:hAnsi="Arial"/>
                <w:sz w:val="22"/>
                <w:szCs w:val="22"/>
                <w:color w:val="auto"/>
              </w:rPr>
              <w:t>BURLINGTON STORES, INC.</w:t>
            </w:r>
          </w:p>
        </w:tc>
      </w:tr>
      <w:tr>
        <w:trPr>
          <w:trHeight w:val="428"/>
        </w:trPr>
        <w:tc>
          <w:tcPr>
            <w:tcW w:w="2320" w:type="dxa"/>
            <w:vAlign w:val="bottom"/>
          </w:tcPr>
          <w:p>
            <w:pPr>
              <w:spacing w:after="0"/>
              <w:rPr>
                <w:sz w:val="24"/>
                <w:szCs w:val="24"/>
                <w:color w:val="auto"/>
              </w:rPr>
            </w:pPr>
          </w:p>
        </w:tc>
        <w:tc>
          <w:tcPr>
            <w:tcW w:w="8920" w:type="dxa"/>
            <w:vAlign w:val="bottom"/>
            <w:gridSpan w:val="5"/>
          </w:tcPr>
          <w:p>
            <w:pPr>
              <w:ind w:left="720"/>
              <w:spacing w:after="0"/>
              <w:rPr>
                <w:sz w:val="20"/>
                <w:szCs w:val="20"/>
                <w:color w:val="auto"/>
              </w:rPr>
            </w:pPr>
            <w:r>
              <w:rPr>
                <w:rFonts w:ascii="Arial" w:cs="Arial" w:eastAsia="Arial" w:hAnsi="Arial"/>
                <w:sz w:val="22"/>
                <w:szCs w:val="22"/>
                <w:color w:val="auto"/>
              </w:rPr>
              <w:t>By: _____________________________</w:t>
            </w:r>
          </w:p>
        </w:tc>
      </w:tr>
      <w:tr>
        <w:trPr>
          <w:trHeight w:val="243"/>
        </w:trPr>
        <w:tc>
          <w:tcPr>
            <w:tcW w:w="2320" w:type="dxa"/>
            <w:vAlign w:val="bottom"/>
          </w:tcPr>
          <w:p>
            <w:pPr>
              <w:spacing w:after="0"/>
              <w:rPr>
                <w:sz w:val="21"/>
                <w:szCs w:val="21"/>
                <w:color w:val="auto"/>
              </w:rPr>
            </w:pPr>
          </w:p>
        </w:tc>
        <w:tc>
          <w:tcPr>
            <w:tcW w:w="8920" w:type="dxa"/>
            <w:vAlign w:val="bottom"/>
            <w:gridSpan w:val="5"/>
          </w:tcPr>
          <w:p>
            <w:pPr>
              <w:ind w:left="720"/>
              <w:spacing w:after="0" w:line="243" w:lineRule="exact"/>
              <w:rPr>
                <w:sz w:val="20"/>
                <w:szCs w:val="20"/>
                <w:color w:val="auto"/>
              </w:rPr>
            </w:pPr>
            <w:r>
              <w:rPr>
                <w:rFonts w:ascii="Arial" w:cs="Arial" w:eastAsia="Arial" w:hAnsi="Arial"/>
                <w:sz w:val="22"/>
                <w:szCs w:val="22"/>
                <w:color w:val="auto"/>
              </w:rPr>
              <w:t>Name:</w:t>
            </w:r>
          </w:p>
        </w:tc>
      </w:tr>
      <w:tr>
        <w:trPr>
          <w:trHeight w:val="274"/>
        </w:trPr>
        <w:tc>
          <w:tcPr>
            <w:tcW w:w="2320" w:type="dxa"/>
            <w:vAlign w:val="bottom"/>
          </w:tcPr>
          <w:p>
            <w:pPr>
              <w:spacing w:after="0"/>
              <w:rPr>
                <w:sz w:val="23"/>
                <w:szCs w:val="23"/>
                <w:color w:val="auto"/>
              </w:rPr>
            </w:pPr>
          </w:p>
        </w:tc>
        <w:tc>
          <w:tcPr>
            <w:tcW w:w="8920" w:type="dxa"/>
            <w:vAlign w:val="bottom"/>
            <w:gridSpan w:val="5"/>
          </w:tcPr>
          <w:p>
            <w:pPr>
              <w:ind w:left="720"/>
              <w:spacing w:after="0"/>
              <w:rPr>
                <w:sz w:val="20"/>
                <w:szCs w:val="20"/>
                <w:color w:val="auto"/>
              </w:rPr>
            </w:pPr>
            <w:r>
              <w:rPr>
                <w:rFonts w:ascii="Arial" w:cs="Arial" w:eastAsia="Arial" w:hAnsi="Arial"/>
                <w:sz w:val="22"/>
                <w:szCs w:val="22"/>
                <w:color w:val="auto"/>
              </w:rPr>
              <w:t>Title:</w:t>
            </w:r>
          </w:p>
        </w:tc>
      </w:tr>
      <w:tr>
        <w:trPr>
          <w:trHeight w:val="878"/>
        </w:trPr>
        <w:tc>
          <w:tcPr>
            <w:tcW w:w="2320" w:type="dxa"/>
            <w:vAlign w:val="bottom"/>
          </w:tcPr>
          <w:p>
            <w:pPr>
              <w:ind w:left="440"/>
              <w:spacing w:after="0"/>
              <w:rPr>
                <w:sz w:val="20"/>
                <w:szCs w:val="20"/>
                <w:color w:val="auto"/>
              </w:rPr>
            </w:pPr>
            <w:r>
              <w:rPr>
                <w:rFonts w:ascii="Arial" w:cs="Arial" w:eastAsia="Arial" w:hAnsi="Arial"/>
                <w:sz w:val="22"/>
                <w:szCs w:val="22"/>
                <w:color w:val="auto"/>
              </w:rPr>
              <w:t>1</w:t>
            </w:r>
          </w:p>
        </w:tc>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5"/>
        </w:trPr>
        <w:tc>
          <w:tcPr>
            <w:tcW w:w="23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u w:val="single" w:color="auto"/>
          <w:color w:val="auto"/>
        </w:rPr>
        <w:t>Acknowledgment, Acceptance and Agreement:</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By accepting this grant on the Company’s stock plan administrator’s website, I hereby accept the Option granted to me and acknowledge and agree to be bound by the terms and conditions of this Award Notice, the Agreement and the Plan.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color w:val="auto"/>
        </w:rPr>
        <w:t>__________________________________</w:t>
      </w:r>
      <w:r>
        <w:rPr>
          <w:sz w:val="20"/>
          <w:szCs w:val="20"/>
          <w:color w:val="auto"/>
        </w:rPr>
        <w:tab/>
      </w:r>
      <w:r>
        <w:rPr>
          <w:rFonts w:ascii="Arial" w:cs="Arial" w:eastAsia="Arial" w:hAnsi="Arial"/>
          <w:sz w:val="19"/>
          <w:szCs w:val="19"/>
          <w:color w:val="auto"/>
        </w:rPr>
        <w:t>Date_______________________________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779" w:right="9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22"/>
          <w:szCs w:val="22"/>
          <w:b w:val="1"/>
          <w:bCs w:val="1"/>
          <w:color w:val="auto"/>
        </w:rPr>
        <w:t>BURLINGTON STORES,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2013 OMNIBUS INCENTIVE PLAN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Stock Option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Burlington Stores, Inc., a Delaware corporation (the “Company”), hereby grants to the individual (the “</w:t>
      </w:r>
      <w:r>
        <w:rPr>
          <w:rFonts w:ascii="Arial" w:cs="Arial" w:eastAsia="Arial" w:hAnsi="Arial"/>
          <w:sz w:val="21"/>
          <w:szCs w:val="21"/>
          <w:u w:val="single" w:color="auto"/>
          <w:color w:val="auto"/>
        </w:rPr>
        <w:t>Optionee</w:t>
      </w:r>
      <w:r>
        <w:rPr>
          <w:rFonts w:ascii="Arial" w:cs="Arial" w:eastAsia="Arial" w:hAnsi="Arial"/>
          <w:sz w:val="21"/>
          <w:szCs w:val="2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named in the stock option award notice attached hereto (the “Award Notice”) as of the date set forth in the Award Notice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Date</w:t>
      </w:r>
      <w:r>
        <w:rPr>
          <w:rFonts w:ascii="Arial" w:cs="Arial" w:eastAsia="Arial" w:hAnsi="Arial"/>
          <w:sz w:val="19"/>
          <w:szCs w:val="19"/>
          <w:color w:val="auto"/>
        </w:rPr>
        <w:t>”), pursuant to the provisions of the Burlington Stores, Inc. 2013 Omnibus Incentive Plan (the “Plan”), an option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from the Company the number of shares of the Company’s Common Stock, par value $0.0001 per share (“</w:t>
      </w:r>
      <w:r>
        <w:rPr>
          <w:rFonts w:ascii="Arial" w:cs="Arial" w:eastAsia="Arial" w:hAnsi="Arial"/>
          <w:sz w:val="19"/>
          <w:szCs w:val="19"/>
          <w:u w:val="single" w:color="auto"/>
          <w:color w:val="auto"/>
        </w:rPr>
        <w:t>Common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Stock</w:t>
      </w:r>
      <w:r>
        <w:rPr>
          <w:rFonts w:ascii="Arial" w:cs="Arial" w:eastAsia="Arial" w:hAnsi="Arial"/>
          <w:sz w:val="19"/>
          <w:szCs w:val="19"/>
          <w:color w:val="auto"/>
        </w:rPr>
        <w:t>”), set forth in the Award Notice at the price per share set forth in the Award Notice (the “</w:t>
      </w:r>
      <w:r>
        <w:rPr>
          <w:rFonts w:ascii="Arial" w:cs="Arial" w:eastAsia="Arial" w:hAnsi="Arial"/>
          <w:sz w:val="19"/>
          <w:szCs w:val="19"/>
          <w:u w:val="single" w:color="auto"/>
          <w:color w:val="auto"/>
        </w:rPr>
        <w:t>Exercise Price</w:t>
      </w:r>
      <w:r>
        <w:rPr>
          <w:rFonts w:ascii="Arial" w:cs="Arial" w:eastAsia="Arial" w:hAnsi="Arial"/>
          <w:sz w:val="19"/>
          <w:szCs w:val="19"/>
          <w:color w:val="auto"/>
        </w:rPr>
        <w:t>”) (the “</w:t>
      </w:r>
      <w:r>
        <w:rPr>
          <w:rFonts w:ascii="Arial" w:cs="Arial" w:eastAsia="Arial" w:hAnsi="Arial"/>
          <w:sz w:val="19"/>
          <w:szCs w:val="19"/>
          <w:u w:val="single" w:color="auto"/>
          <w:color w:val="auto"/>
        </w:rPr>
        <w:t>Option</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upon and subject to the restrictions, terms and conditions set forth in the Award Notice, the Plan and this agreement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not defined herein shall have the meanings specified in the Plan.</w:t>
      </w:r>
    </w:p>
    <w:p>
      <w:pPr>
        <w:spacing w:after="0" w:line="188" w:lineRule="exact"/>
        <w:rPr>
          <w:sz w:val="20"/>
          <w:szCs w:val="20"/>
          <w:color w:val="auto"/>
        </w:rPr>
      </w:pPr>
    </w:p>
    <w:p>
      <w:pPr>
        <w:ind w:right="100" w:firstLine="757"/>
        <w:spacing w:after="0" w:line="287" w:lineRule="auto"/>
        <w:tabs>
          <w:tab w:leader="none" w:pos="149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Option Subject to Acceptance of Agreement</w:t>
      </w:r>
      <w:r>
        <w:rPr>
          <w:rFonts w:ascii="Arial" w:cs="Arial" w:eastAsia="Arial" w:hAnsi="Arial"/>
          <w:sz w:val="19"/>
          <w:szCs w:val="19"/>
          <w:color w:val="auto"/>
        </w:rPr>
        <w:t>. The Option shall be null and void unless Optionee electronically accepts this Agreement within Optionee’s stock plan account with the Company’s stock plan administrator according to the procedures then in effect (or, if permitted by the Company, accepts this Agreement by executing the Award Notice in the space provided therefor and returning an original execution copy of the Award Notice to the Company).</w:t>
      </w:r>
    </w:p>
    <w:p>
      <w:pPr>
        <w:spacing w:after="0" w:line="142" w:lineRule="exact"/>
        <w:rPr>
          <w:rFonts w:ascii="Arial" w:cs="Arial" w:eastAsia="Arial" w:hAnsi="Arial"/>
          <w:sz w:val="19"/>
          <w:szCs w:val="19"/>
          <w:color w:val="auto"/>
        </w:rPr>
      </w:pPr>
    </w:p>
    <w:p>
      <w:pPr>
        <w:ind w:left="1500" w:hanging="743"/>
        <w:spacing w:after="0"/>
        <w:tabs>
          <w:tab w:leader="none" w:pos="15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Time and Manner of Exercise of Option</w:t>
      </w:r>
      <w:r>
        <w:rPr>
          <w:rFonts w:ascii="Arial" w:cs="Arial" w:eastAsia="Arial" w:hAnsi="Arial"/>
          <w:sz w:val="22"/>
          <w:szCs w:val="22"/>
          <w:color w:val="auto"/>
        </w:rPr>
        <w:t>.</w:t>
      </w:r>
    </w:p>
    <w:p>
      <w:pPr>
        <w:spacing w:after="0" w:line="206"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Maximum Term of Option</w:t>
      </w:r>
      <w:r>
        <w:rPr>
          <w:rFonts w:ascii="Arial" w:cs="Arial" w:eastAsia="Arial" w:hAnsi="Arial"/>
          <w:sz w:val="22"/>
          <w:szCs w:val="22"/>
          <w:color w:val="auto"/>
        </w:rPr>
        <w:t>. In no event may the Option be exercised, in whole or in part, after the expiration date set forth in the Award Notice (the “</w:t>
      </w:r>
      <w:r>
        <w:rPr>
          <w:rFonts w:ascii="Arial" w:cs="Arial" w:eastAsia="Arial" w:hAnsi="Arial"/>
          <w:sz w:val="22"/>
          <w:szCs w:val="22"/>
          <w:u w:val="single" w:color="auto"/>
          <w:color w:val="auto"/>
        </w:rPr>
        <w:t>Expiration Date</w:t>
      </w:r>
      <w:r>
        <w:rPr>
          <w:rFonts w:ascii="Arial" w:cs="Arial" w:eastAsia="Arial" w:hAnsi="Arial"/>
          <w:sz w:val="22"/>
          <w:szCs w:val="22"/>
          <w:color w:val="auto"/>
        </w:rPr>
        <w:t>”).</w:t>
      </w:r>
    </w:p>
    <w:p>
      <w:pPr>
        <w:spacing w:after="0" w:line="175" w:lineRule="exact"/>
        <w:rPr>
          <w:sz w:val="20"/>
          <w:szCs w:val="20"/>
          <w:color w:val="auto"/>
        </w:rPr>
      </w:pPr>
    </w:p>
    <w:p>
      <w:pPr>
        <w:ind w:right="480" w:firstLine="1497"/>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Vesting and Exercise of Option</w:t>
      </w:r>
      <w:r>
        <w:rPr>
          <w:rFonts w:ascii="Arial" w:cs="Arial" w:eastAsia="Arial" w:hAnsi="Arial"/>
          <w:sz w:val="22"/>
          <w:szCs w:val="22"/>
          <w:color w:val="auto"/>
        </w:rPr>
        <w:t>. The Option shall become vested and exercisable in accordance with the Vesting Schedule set forth in the Award Notice. The Option shall be vested and exercisable following a termination of Optionee’s employment according to the following terms and conditions:</w:t>
      </w:r>
    </w:p>
    <w:p>
      <w:pPr>
        <w:spacing w:after="0" w:line="186" w:lineRule="exact"/>
        <w:rPr>
          <w:sz w:val="20"/>
          <w:szCs w:val="20"/>
          <w:color w:val="auto"/>
        </w:rPr>
      </w:pPr>
    </w:p>
    <w:p>
      <w:pPr>
        <w:ind w:firstLine="1505"/>
        <w:spacing w:after="0" w:line="274" w:lineRule="auto"/>
        <w:tabs>
          <w:tab w:leader="none" w:pos="299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due to Death or Disability</w:t>
      </w:r>
      <w:r>
        <w:rPr>
          <w:rFonts w:ascii="Arial" w:cs="Arial" w:eastAsia="Arial" w:hAnsi="Arial"/>
          <w:sz w:val="19"/>
          <w:szCs w:val="19"/>
          <w:color w:val="auto"/>
        </w:rPr>
        <w:t>. If Optionee’s employment with the Company and its Subsidiaries terminates prior to the Vesting Date set forth on the Award Notice by reason of Optionee’s death or Disability, then in either such case the Option shall become fully vested as of the date of termination and the vested Option may thereafter be exercised by Optionee or Optionee’s executor, administrator, or the person or persons to whom the Option is transferred by will or the applicable laws of descent and distribution (the “</w:t>
      </w:r>
      <w:r>
        <w:rPr>
          <w:rFonts w:ascii="Arial" w:cs="Arial" w:eastAsia="Arial" w:hAnsi="Arial"/>
          <w:sz w:val="19"/>
          <w:szCs w:val="19"/>
          <w:u w:val="single" w:color="auto"/>
          <w:color w:val="auto"/>
        </w:rPr>
        <w:t>Legal Representative</w:t>
      </w:r>
      <w:r>
        <w:rPr>
          <w:rFonts w:ascii="Arial" w:cs="Arial" w:eastAsia="Arial" w:hAnsi="Arial"/>
          <w:sz w:val="19"/>
          <w:szCs w:val="19"/>
          <w:color w:val="auto"/>
        </w:rPr>
        <w:t>”) until and including the earlier to occur of (i) the date which is 180 days after the date of termination of employment and (ii) the Expiration Date. For purposes of this Agreement, “Disability” shall mean that the Optionee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8" w:lineRule="exact"/>
        <w:rPr>
          <w:rFonts w:ascii="Arial" w:cs="Arial" w:eastAsia="Arial" w:hAnsi="Arial"/>
          <w:sz w:val="19"/>
          <w:szCs w:val="19"/>
          <w:color w:val="auto"/>
        </w:rPr>
      </w:pPr>
    </w:p>
    <w:p>
      <w:pPr>
        <w:ind w:right="440" w:firstLine="1505"/>
        <w:spacing w:after="0"/>
        <w:tabs>
          <w:tab w:leader="none" w:pos="2995"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Termination due to a Reduction in Force</w:t>
      </w:r>
      <w:r>
        <w:rPr>
          <w:rFonts w:ascii="Arial" w:cs="Arial" w:eastAsia="Arial" w:hAnsi="Arial"/>
          <w:sz w:val="22"/>
          <w:szCs w:val="22"/>
          <w:color w:val="auto"/>
        </w:rPr>
        <w:t>. Except as provided for in Section 2.2(c)¸ if Optionee’s employment with the Company and its Subsidiaries is terminated by the Company or its Subsidiaries prior to the Vesting Date set forth on the Award Notice due to a</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141" w:name="page142"/>
    <w:bookmarkEnd w:id="141"/>
    <w:p>
      <w:pPr>
        <w:spacing w:after="0" w:line="274" w:lineRule="auto"/>
        <w:rPr>
          <w:sz w:val="20"/>
          <w:szCs w:val="20"/>
          <w:color w:val="auto"/>
        </w:rPr>
      </w:pPr>
      <w:r>
        <w:rPr>
          <w:rFonts w:ascii="Arial" w:cs="Arial" w:eastAsia="Arial" w:hAnsi="Arial"/>
          <w:sz w:val="19"/>
          <w:szCs w:val="19"/>
          <w:color w:val="auto"/>
        </w:rPr>
        <w:t>reduction in force, as determined by the Committee in its sole and absolute discretion (provided that Optionee has not committed an act constituting grounds for a termination for Cause), then the Option shall vest on a prorated basis, with such proration determined by multiplying the number of shares of Common Stock subject to the Option on the Option Date by a fraction, the numerator of which is the number of days that have occurred since the Option Date through the date of the Optionee’s termination of employment in accordance with this Section 2.2(b) and the denominator of which is the total number of days between the Option Date and the Vesting Date set forth on the Award Notice, and the vested Option may thereafter be exercised by Optionee or Optionee’s Legal Representative until and including the earlier to occur of (A) the date which is 180 days after the date of termination of employment and (B) the Expiration Date. The portion of the Option that does not become vested in accordance with this Section 2.2(b) shall terminate immediately upon such termination of employment.</w:t>
      </w:r>
    </w:p>
    <w:p>
      <w:pPr>
        <w:spacing w:after="0" w:line="158" w:lineRule="exact"/>
        <w:rPr>
          <w:sz w:val="20"/>
          <w:szCs w:val="20"/>
          <w:color w:val="auto"/>
        </w:rPr>
      </w:pPr>
    </w:p>
    <w:p>
      <w:pPr>
        <w:ind w:right="40" w:firstLine="1505"/>
        <w:spacing w:after="0" w:line="268" w:lineRule="auto"/>
        <w:tabs>
          <w:tab w:leader="none" w:pos="2995"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Change in Control Qualifying Termination</w:t>
      </w:r>
      <w:r>
        <w:rPr>
          <w:rFonts w:ascii="Arial" w:cs="Arial" w:eastAsia="Arial" w:hAnsi="Arial"/>
          <w:sz w:val="19"/>
          <w:szCs w:val="19"/>
          <w:color w:val="auto"/>
        </w:rPr>
        <w:t>. If Optionee’s employment with the Company and its Subsidiaries terminates prior to the Vesting Date set forth on the Award Notice due to a Change in Control Qualifying Termination, then the Option shall become fully vested as of the date of termination of employment, and the vested Option may thereafter be exercised by Optionee or Optionee’s Legal Representative until and including the earlier to occur of (i) the date which is 180 days after the date of termination of employment and (ii) the Expiration Date. Except as otherwise provided in any other agreement between the Company or any of its Subsidiaries and Optionee, a Change in Control Qualifying Termination means (x) if Optionee is a party to an employment agreement with the Company or one of its Subsidiaries or are subject to the Burlington Stores, Inc. Executive Severance Plan (Merchandising &amp; Planning) (the “</w:t>
      </w:r>
      <w:r>
        <w:rPr>
          <w:rFonts w:ascii="Arial" w:cs="Arial" w:eastAsia="Arial" w:hAnsi="Arial"/>
          <w:sz w:val="19"/>
          <w:szCs w:val="19"/>
          <w:u w:val="single" w:color="auto"/>
          <w:color w:val="auto"/>
        </w:rPr>
        <w:t>Severance Plan</w:t>
      </w:r>
      <w:r>
        <w:rPr>
          <w:rFonts w:ascii="Arial" w:cs="Arial" w:eastAsia="Arial" w:hAnsi="Arial"/>
          <w:sz w:val="19"/>
          <w:szCs w:val="19"/>
          <w:color w:val="auto"/>
        </w:rPr>
        <w:t>”) on the Option Date, then a termination of Optionee’s employment by the Company or a Subsidiary without Cause or resignation by Optionee for Good Reason within the two year period immediately following a Change in Control or (y) if Optionee is not a party to an employment agreement with the Company or one of its Subsidiaries or subject to the Severance Plan on the Option Date, then a termination of Optionee’s employment by the Company or a Subsidiary without Cause within the one year period immediately following a Change in Control. Notwithstanding anything in this Agreement or in the Plan to the contrary, for purposes of this Agreement,</w:t>
      </w:r>
    </w:p>
    <w:p>
      <w:pPr>
        <w:spacing w:after="0" w:line="5" w:lineRule="exact"/>
        <w:rPr>
          <w:rFonts w:ascii="Arial" w:cs="Arial" w:eastAsia="Arial" w:hAnsi="Arial"/>
          <w:sz w:val="19"/>
          <w:szCs w:val="19"/>
          <w:color w:val="auto"/>
        </w:rPr>
      </w:pPr>
    </w:p>
    <w:p>
      <w:pPr>
        <w:ind w:right="60" w:firstLine="8"/>
        <w:spacing w:after="0" w:line="232" w:lineRule="auto"/>
        <w:tabs>
          <w:tab w:leader="none" w:pos="35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the case of clause (x) of the preceding sentence, if Optionee is a party to an employment agreement with the Company or one of its Subsidiaries on the Option Date, “Cause” and “Good Reason” shall have the meanings provided in the terms of such employment agreement and if Optionee is not a party to an employment agreement with the Company or one of its Subsidiaries on the Option Date, “Cause” and “Good Reason” shall have the meanings provided in the terms of the Severance Plan, as in effect on the Option Date and (B) in the case of clause (y) of the preceding sentence, “Cause” shall have the meaning provided in the Plan.</w:t>
      </w:r>
    </w:p>
    <w:p>
      <w:pPr>
        <w:spacing w:after="0" w:line="188" w:lineRule="exact"/>
        <w:rPr>
          <w:rFonts w:ascii="Arial" w:cs="Arial" w:eastAsia="Arial" w:hAnsi="Arial"/>
          <w:sz w:val="22"/>
          <w:szCs w:val="22"/>
          <w:color w:val="auto"/>
        </w:rPr>
      </w:pPr>
    </w:p>
    <w:p>
      <w:pPr>
        <w:ind w:right="120" w:firstLine="1505"/>
        <w:spacing w:after="0" w:line="287" w:lineRule="auto"/>
        <w:tabs>
          <w:tab w:leader="none" w:pos="2995"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(i) Optionee’s employment with the Company and its Subsidiaries terminates by reason of the termination of Optionee’s employment by the Company or its Subsidiaries for Cause or (ii) Optionee breaches any non-competition obligation Optionee has to the Company or any of its Subsidiaries under any agreement, then the Option, whether or not vested, shall terminate immediately upon such termination of employment.</w:t>
      </w:r>
    </w:p>
    <w:p>
      <w:pPr>
        <w:spacing w:after="0" w:line="142" w:lineRule="exact"/>
        <w:rPr>
          <w:rFonts w:ascii="Arial" w:cs="Arial" w:eastAsia="Arial" w:hAnsi="Arial"/>
          <w:sz w:val="19"/>
          <w:szCs w:val="19"/>
          <w:color w:val="auto"/>
        </w:rPr>
      </w:pPr>
    </w:p>
    <w:p>
      <w:pPr>
        <w:ind w:right="420" w:firstLine="1505"/>
        <w:spacing w:after="0"/>
        <w:tabs>
          <w:tab w:leader="none" w:pos="2995"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Optionee’s employment with the Company and its Subsidiaries is terminated by the Company or Optionee for any reason other than as specified in Sections 2.2(a)–(d), then the Option, to the extent vested on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2" w:name="page143"/>
    <w:bookmarkEnd w:id="142"/>
    <w:p>
      <w:pPr>
        <w:jc w:val="both"/>
        <w:ind w:right="620"/>
        <w:spacing w:after="0"/>
        <w:rPr>
          <w:sz w:val="20"/>
          <w:szCs w:val="20"/>
          <w:color w:val="auto"/>
        </w:rPr>
      </w:pPr>
      <w:r>
        <w:rPr>
          <w:rFonts w:ascii="Arial" w:cs="Arial" w:eastAsia="Arial" w:hAnsi="Arial"/>
          <w:sz w:val="22"/>
          <w:szCs w:val="22"/>
          <w:color w:val="auto"/>
        </w:rPr>
        <w:t>of such termination of employment, may thereafter be exercised by Optionee or Optionee’s Legal Representative until and including the earlier to occur of (i) the date which is 180 days after the date of such termination of employment and (ii) the Expiration Date.</w:t>
      </w:r>
    </w:p>
    <w:p>
      <w:pPr>
        <w:spacing w:after="0" w:line="186" w:lineRule="exact"/>
        <w:rPr>
          <w:sz w:val="20"/>
          <w:szCs w:val="20"/>
          <w:color w:val="auto"/>
        </w:rPr>
      </w:pPr>
    </w:p>
    <w:p>
      <w:pPr>
        <w:ind w:right="20" w:firstLine="1497"/>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Method of Exercise</w:t>
      </w:r>
      <w:r>
        <w:rPr>
          <w:rFonts w:ascii="Arial" w:cs="Arial" w:eastAsia="Arial" w:hAnsi="Arial"/>
          <w:sz w:val="19"/>
          <w:szCs w:val="19"/>
          <w:color w:val="auto"/>
        </w:rPr>
        <w:t>. Subject to the limitations set forth in this Agreement, the Option, to the extent vested, may be exercised by Optionee (a) by delivering to the Company an exercise notice in the form prescribed by the Company specifying the number of whole shares of Common Stock to be purchased and by accompanying such notice with payment therefor in full (or by arranging for such payment to the Company’s satisfaction) either (i) in cash, (ii) by authorizing the Company to withhold whole shares of Common Stock which would otherwise be delivered having an aggregate Fair Market Value, determined as of the date of exercise, equal to the amount necessary to satisfy such obligation, (iii) except as may be prohibited by applicable law, in cash by a broker-dealer acceptable to the Company to whom Optionee has submitted an irrevocable notice of exercise or (iv) by a combination of (i) and (ii), and (b) by executing such documents as the Company may reasonably request. Any fraction of a share of Common Stock which would be required to pay such purchase price shall be disregarded and the remaining amount due shall be paid in cash by Optionee. No share of Common Stock shall be issued or delivered until the full purchase price therefor and any withholding taxes thereon, as described in Section 6.1, have been paid.</w:t>
      </w:r>
    </w:p>
    <w:p>
      <w:pPr>
        <w:spacing w:after="0" w:line="155" w:lineRule="exact"/>
        <w:rPr>
          <w:sz w:val="20"/>
          <w:szCs w:val="20"/>
          <w:color w:val="auto"/>
        </w:rPr>
      </w:pPr>
    </w:p>
    <w:p>
      <w:pPr>
        <w:ind w:right="60" w:firstLine="1497"/>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Option</w:t>
      </w:r>
      <w:r>
        <w:rPr>
          <w:rFonts w:ascii="Arial" w:cs="Arial" w:eastAsia="Arial" w:hAnsi="Arial"/>
          <w:sz w:val="22"/>
          <w:szCs w:val="22"/>
          <w:color w:val="auto"/>
        </w:rPr>
        <w:t>. In no event may the Option be exercised after it terminates as set forth in this Section 2.4. The Option shall terminate, to the extent not earlier terminated pursuant to Section 2.2 or exercised pursuant to Section 2.3, on the Expiration Date. Upon the termination of the Option, the Option and all rights hereunder shall immediately become null and void.</w:t>
      </w:r>
    </w:p>
    <w:p>
      <w:pPr>
        <w:spacing w:after="0" w:line="185" w:lineRule="exact"/>
        <w:rPr>
          <w:sz w:val="20"/>
          <w:szCs w:val="20"/>
          <w:color w:val="auto"/>
        </w:rPr>
      </w:pPr>
    </w:p>
    <w:p>
      <w:pPr>
        <w:ind w:left="1500" w:hanging="743"/>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Non-Compete, Non-Solicitation; Confidentiality</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Non-Compete</w:t>
      </w:r>
      <w:r>
        <w:rPr>
          <w:rFonts w:ascii="Arial" w:cs="Arial" w:eastAsia="Arial" w:hAnsi="Arial"/>
          <w:sz w:val="19"/>
          <w:szCs w:val="19"/>
          <w:color w:val="auto"/>
        </w:rPr>
        <w:t>. In further consideration of the Option granted to Optionee hereunder, Optionee acknowledges and agrees that during the course of Optionee’s employment with the Company and its Subsidiaries, Optionee shall become familiar, and during Optionee’s employment with the predecessors of the Company and its Subsidiaries, Optionee has become familiar, with the Company’s and its Subsidiaries’ trade secrets and with other confidential information and that Optionee’s services have been and shall be of special, unique and extraordinary value to the Company and its Subsidiaries, and therefore, Optionee agrees that, during his or her employment with the Company and its Subsidiaries and, if Optionee’s employment with the Company and its Subsidiaries terminates for any reason, for a period of two (2) years thereafter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Optionee shall not directly or indirectly (whether as an owner, partner, shareholder, agent, officer, director, employee, independent contractor, consultant or otherwise) own any interest in, operate, invest in, manage, control, participate in, consult with, render services for (alone or in association with any person or entity), in any manner engage in any business activity on behalf, or undertake any planning to engage in any of the foregoing activities in connection with, of a Competing Business within any geographical area in which the Company or its Subsidiaries currently operates or plans to operate. Nothing herein shall prohibit Optionee from being a passive owner of not more than 2% of the outstanding stock of any class of a corporation which is publicly traded, so long as Optionee has no active participation in the business of such corporation. For purposes of this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p>
      <w:pPr>
        <w:ind w:right="380"/>
        <w:spacing w:after="0" w:line="250" w:lineRule="auto"/>
        <w:rPr>
          <w:sz w:val="20"/>
          <w:szCs w:val="20"/>
          <w:color w:val="auto"/>
        </w:rPr>
      </w:pPr>
      <w:r>
        <w:rPr>
          <w:rFonts w:ascii="Arial" w:cs="Arial" w:eastAsia="Arial" w:hAnsi="Arial"/>
          <w:sz w:val="22"/>
          <w:szCs w:val="22"/>
          <w:color w:val="auto"/>
        </w:rPr>
        <w:t>Agreement, “Competing Business” means each of the following entities, together with their respective subsidiaries, affiliates, successors and assigns: Macy’s, Inc., the TJX Companies, Inc. and Ross Stores, Inc.</w:t>
      </w:r>
    </w:p>
    <w:p>
      <w:pPr>
        <w:spacing w:after="0" w:line="175"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Non-Compete Period, Optionee shall not, directly or indirectly, and shall ensure that any person or entity controlled by Optionee does not, (a) induce or attempt to induce any employee of the Company or any Subsidiary to leave the employ of the Company or such Subsidiary, or in any way interfere with the relationship between the Company or any Subsidiary and any employee thereof, (b) hire, directly or through another person, any person (whether or not solicited) who was an employee of the Company or any Subsidiary at any time within the one year period before Optionee’s termination from employment, (c) induce or attempt to induce any customer, supplier, licensee, licensor, franchisee or other business relation of the Company or any Subsidiary to cease doing business with the Company or such Subsidiary, assist any Competing Business or in any way interfere with the relationship between any such customer, supplier, licensee or business relation and the Company or any Subsidiary or (d) make or solicit or encourage others to make or solicit directly or indirectly any defamatory statement or communication about the Company or any of its Subsidiaries or any of their respective businesses, products, services or activities (it being understood that such restriction shall not prohibit truthful testimony compelled by valid legal process).</w:t>
      </w:r>
    </w:p>
    <w:p>
      <w:pPr>
        <w:spacing w:after="0" w:line="186" w:lineRule="exact"/>
        <w:rPr>
          <w:sz w:val="20"/>
          <w:szCs w:val="20"/>
          <w:color w:val="auto"/>
        </w:rPr>
      </w:pPr>
    </w:p>
    <w:p>
      <w:pPr>
        <w:ind w:firstLine="1497"/>
        <w:spacing w:after="0" w:line="27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Confidentiality</w:t>
      </w:r>
      <w:r>
        <w:rPr>
          <w:rFonts w:ascii="Arial" w:cs="Arial" w:eastAsia="Arial" w:hAnsi="Arial"/>
          <w:sz w:val="19"/>
          <w:szCs w:val="19"/>
          <w:color w:val="auto"/>
        </w:rPr>
        <w:t>. Optionee acknowledges and agrees that the information, observations and data (including trade secrets) obtained by Optionee while employed by the Company and its Subsidiaries concerning the business or affairs of the Company and its Subsidiaries are the confidential information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and the property, of the Company and/or its Subsidiaries. Without limiting the foregoing, the term “Confidential Information” shall be interpreted as broadly as possible to include all observations, data and other information of any sort that are (a) related to any past, current or potential business of the Company or any of its Subsidiaries or any of their respective predecessors, and any other business related to any of the foregoing, and (b) not generally known to and available for use by those within the line of business or industry of the Company or by the public (except to the extent such information has become generally known to and available for use by the public as a direct or indirect result of Optionee’s acts or omissions) including all (i) work product; (ii) information concerning development, acquisition or investment opportunities in or reasonably related to the business or industry of the Company or any of its Subsidiaries of which Optionee is aware or becomes aware during the term of his employment; (iii) information identifying or otherwise concerning any current, former or prospective suppliers, distributors, contractors, agents or customers of the Company or any of its Subsidiaries; (iv) development, transition, integration and transformation plans, methodologies, processes and methods of doing business; (v) strategic, marketing, promotional and financial information (including all financial statements), business and expansion plans, including plans and information regarding planned, projected and/or potential sales, pricing, discount and cost information; (vi) information identifying or otherwise concerning employees, independent contractors and consultants; (vii) information on new and existing programs and services, prices, terms, and related information; (viii) all information marked, or otherwise designated, as confidential by the Company or any of its Subsidiaries or which Optionee should reasonably know is confidential or proprietary information of the Company or any of its Subsidiaries; (ix) all information or materials similar or</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44" w:name="page145"/>
    <w:bookmarkEnd w:id="144"/>
    <w:p>
      <w:pPr>
        <w:spacing w:after="0" w:line="257" w:lineRule="auto"/>
        <w:rPr>
          <w:sz w:val="20"/>
          <w:szCs w:val="20"/>
          <w:color w:val="auto"/>
        </w:rPr>
      </w:pPr>
      <w:r>
        <w:rPr>
          <w:rFonts w:ascii="Arial" w:cs="Arial" w:eastAsia="Arial" w:hAnsi="Arial"/>
          <w:sz w:val="21"/>
          <w:szCs w:val="21"/>
          <w:color w:val="auto"/>
        </w:rPr>
        <w:t>related to any of the foregoing, in whatever form or medium, whether now existing or arising hereafter (and regardless of whether merely stored in the mind of Optionee or employees or consultants of the Company or any of its Subsidiaries, or embodied in a tangible form or medium); and (x) all tangible embodiments of any of the foregoing.</w:t>
      </w:r>
    </w:p>
    <w:p>
      <w:pPr>
        <w:spacing w:after="0" w:line="169" w:lineRule="exact"/>
        <w:rPr>
          <w:sz w:val="20"/>
          <w:szCs w:val="20"/>
          <w:color w:val="auto"/>
        </w:rPr>
      </w:pPr>
    </w:p>
    <w:p>
      <w:pPr>
        <w:ind w:right="20" w:firstLine="1497"/>
        <w:spacing w:after="0" w:line="27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Disclosure</w:t>
      </w:r>
      <w:r>
        <w:rPr>
          <w:rFonts w:ascii="Arial" w:cs="Arial" w:eastAsia="Arial" w:hAnsi="Arial"/>
          <w:sz w:val="19"/>
          <w:szCs w:val="19"/>
          <w:color w:val="auto"/>
        </w:rPr>
        <w:t>. Optionee agrees that, except as required by law or court order, including, without limitation, depositions, interrogatories, court testimony, and the like (and in such case provided that Optionee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Optionee shall not disclose to any unauthorized person or entity or use for Optionee’s own purposes any Confidential Information without the prior written consent of the Board, unless and to the extent that the Confidential Information becomes generally known to and available for use by the public other than as a direct or indirect result of Optionee’s acts or omissions. Optionee shall deliver to the Company at the time Optionee’s employment ceases, or at any other time the Company may request, all memoranda, notes, plans, records, reports, computer tapes, printouts and software and other documents and data (and copies thereof) embodying or relating to the Confidential Information (including any work product) or the business of the Company and its Subsidiaries which Optionee may then possess or have under Optionee’s control and if, at any time thereafter, any such materials are brought to Optionee’s attention or Optionee discovers them in his possession or control, Optionee shall deliver such materials to the Company immediately upon such notice or discovery.</w:t>
      </w:r>
    </w:p>
    <w:p>
      <w:pPr>
        <w:spacing w:after="0" w:line="164"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Protected Rights</w:t>
      </w:r>
      <w:r>
        <w:rPr>
          <w:rFonts w:ascii="Arial" w:cs="Arial" w:eastAsia="Arial" w:hAnsi="Arial"/>
          <w:sz w:val="19"/>
          <w:szCs w:val="19"/>
          <w:color w:val="auto"/>
        </w:rPr>
        <w:t>. Pursuant to 18 U.S.C. § 1833(b),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Optionee has the right to disclose in confidence trade secrets to Federal, State, and local government officials, or to an attorney, for the sole purpose of reporting or investigating a suspected violation of law. Optionee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Optionee understands that nothing contained in this Agreement limits Optionee’s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u w:val="single" w:color="auto"/>
          <w:color w:val="auto"/>
        </w:rPr>
        <w:t>Government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Agencies</w:t>
      </w:r>
      <w:r>
        <w:rPr>
          <w:rFonts w:ascii="Arial" w:cs="Arial" w:eastAsia="Arial" w:hAnsi="Arial"/>
          <w:sz w:val="19"/>
          <w:szCs w:val="19"/>
          <w:color w:val="auto"/>
        </w:rPr>
        <w:t>”). Optionee further understands that this Agreement does not limit Optionee’s ability to communicate with any Government Agencies or otherwise participate in any investigation or proceeding that may be conducted by any Government Agency, including providing documents or other information, without notice to the Company. This Agreement does not limit Optionee’s right to receive an award for information provided to any Government Agencies.</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5" w:name="page146"/>
    <w:bookmarkEnd w:id="145"/>
    <w:p>
      <w:pPr>
        <w:ind w:right="120" w:firstLine="1497"/>
        <w:spacing w:after="0" w:line="23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Other Agreements</w:t>
      </w:r>
      <w:r>
        <w:rPr>
          <w:rFonts w:ascii="Arial" w:cs="Arial" w:eastAsia="Arial" w:hAnsi="Arial"/>
          <w:sz w:val="22"/>
          <w:szCs w:val="22"/>
          <w:color w:val="auto"/>
        </w:rPr>
        <w:t>. Notwithstanding the foregoing and any other language in this Agreement, this Agreement does not supersede or preclude the enforceability of any restrictive covenant provision contained in any prior agreement entered into by Optionee. Further, no prior restrictive covenant supersedes or precludes the enforceability of any provision contained in this Agreement.</w:t>
      </w:r>
    </w:p>
    <w:p>
      <w:pPr>
        <w:spacing w:after="0" w:line="185" w:lineRule="exact"/>
        <w:rPr>
          <w:sz w:val="20"/>
          <w:szCs w:val="20"/>
          <w:color w:val="auto"/>
        </w:rPr>
      </w:pPr>
    </w:p>
    <w:p>
      <w:pPr>
        <w:ind w:right="560" w:firstLine="1497"/>
        <w:spacing w:after="0" w:line="274"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Applicability</w:t>
      </w:r>
      <w:r>
        <w:rPr>
          <w:rFonts w:ascii="Arial" w:cs="Arial" w:eastAsia="Arial" w:hAnsi="Arial"/>
          <w:sz w:val="21"/>
          <w:szCs w:val="21"/>
          <w:color w:val="auto"/>
        </w:rPr>
        <w:t>. Notwithstanding the foregoing and any other language in this Agreement, Section 3.1 shall not apply to Optionee if he or she is below the position of Director level as of the Option Date.</w:t>
      </w:r>
    </w:p>
    <w:p>
      <w:pPr>
        <w:spacing w:after="0" w:line="151" w:lineRule="exact"/>
        <w:rPr>
          <w:sz w:val="20"/>
          <w:szCs w:val="20"/>
          <w:color w:val="auto"/>
        </w:rPr>
      </w:pPr>
    </w:p>
    <w:p>
      <w:pPr>
        <w:ind w:left="1500" w:hanging="743"/>
        <w:spacing w:after="0"/>
        <w:tabs>
          <w:tab w:leader="none" w:pos="15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Reliance</w:t>
      </w:r>
      <w:r>
        <w:rPr>
          <w:rFonts w:ascii="Arial" w:cs="Arial" w:eastAsia="Arial" w:hAnsi="Arial"/>
          <w:sz w:val="19"/>
          <w:szCs w:val="19"/>
          <w:color w:val="auto"/>
        </w:rPr>
        <w:t>. Optionee acknowledges and agrees that the Company entered into this Agreement in reliance on the provisions of Section 3 and the enforcement of this Agreement is necessary to ensure the preservation, protection and continuity of the business of the Company and its Subsidiaries and other Confidential Information and goodwill of the Company and its Subsidiaries to the extent and for the periods of time expressly agreed to herein. Optionee acknowledges and agrees that Optionee has carefully read this Agreement and has given careful consideration to the restraints imposed upon Optionee by this Agreement, and is in full accord as to their necessity for the reasonable protection of the Company’s and its Subsidiaries’ interests and the reasonable and proper protection of confidential and proprietary information of the Company and its Subsidiaries now existing or to be developed in the future. Optionee expressly acknowledges and agrees that each and every restraint imposed by this Agreement is reasonable with respect to subject matter, time period and geographical area.</w:t>
      </w:r>
    </w:p>
    <w:p>
      <w:pPr>
        <w:spacing w:after="0" w:line="158" w:lineRule="exact"/>
        <w:rPr>
          <w:sz w:val="20"/>
          <w:szCs w:val="20"/>
          <w:color w:val="auto"/>
        </w:rPr>
      </w:pPr>
    </w:p>
    <w:p>
      <w:pPr>
        <w:ind w:right="500" w:firstLine="1497"/>
        <w:spacing w:after="0" w:line="32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Enforcement</w:t>
      </w:r>
      <w:r>
        <w:rPr>
          <w:rFonts w:ascii="Arial" w:cs="Arial" w:eastAsia="Arial" w:hAnsi="Arial"/>
          <w:sz w:val="19"/>
          <w:szCs w:val="19"/>
          <w:color w:val="auto"/>
        </w:rPr>
        <w:t>. Notwithstanding any provision to the contrary herein, the Company or its Subsidiaries may pursue, at its discretion, enforcement of Section 3 in any court of competent jurisdiction (each, a “</w:t>
      </w:r>
      <w:r>
        <w:rPr>
          <w:rFonts w:ascii="Arial" w:cs="Arial" w:eastAsia="Arial" w:hAnsi="Arial"/>
          <w:sz w:val="19"/>
          <w:szCs w:val="19"/>
          <w:u w:val="single" w:color="auto"/>
          <w:color w:val="auto"/>
        </w:rPr>
        <w:t>Court</w:t>
      </w:r>
      <w:r>
        <w:rPr>
          <w:rFonts w:ascii="Arial" w:cs="Arial" w:eastAsia="Arial" w:hAnsi="Arial"/>
          <w:sz w:val="19"/>
          <w:szCs w:val="19"/>
          <w:color w:val="auto"/>
        </w:rPr>
        <w:t>”).</w:t>
      </w:r>
    </w:p>
    <w:p>
      <w:pPr>
        <w:spacing w:after="0" w:line="105" w:lineRule="exact"/>
        <w:rPr>
          <w:sz w:val="20"/>
          <w:szCs w:val="20"/>
          <w:color w:val="auto"/>
        </w:rPr>
      </w:pPr>
    </w:p>
    <w:p>
      <w:pPr>
        <w:ind w:right="20" w:firstLine="1497"/>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 More specifically, if any Court determines that any of the covenants set forth in Section 3 are overbroad or unreasonable under applicable law in duration, geographical area or scope, the parties to this Agreement specifically agree and authorize such Court to rewrite this Agreement to reflect the maximum duration, geographical area and/or scope permitted under applicable law.</w:t>
      </w:r>
    </w:p>
    <w:p>
      <w:pPr>
        <w:spacing w:after="0" w:line="157" w:lineRule="exact"/>
        <w:rPr>
          <w:sz w:val="20"/>
          <w:szCs w:val="20"/>
          <w:color w:val="auto"/>
        </w:rPr>
      </w:pPr>
    </w:p>
    <w:p>
      <w:pPr>
        <w:ind w:right="140" w:firstLine="1497"/>
        <w:spacing w:after="0" w:line="24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Equitable Relief</w:t>
      </w:r>
      <w:r>
        <w:rPr>
          <w:rFonts w:ascii="Arial" w:cs="Arial" w:eastAsia="Arial" w:hAnsi="Arial"/>
          <w:sz w:val="21"/>
          <w:szCs w:val="21"/>
          <w:color w:val="auto"/>
        </w:rPr>
        <w:t>. Because Optionee’s services are unique and because Optionee has intimate knowledge of and access to confidential information and work product, the parties hereto agree that money damages would not be an adequate remedy for any breach of Section 3, and any breach of the terms of Section 3 would result in irreparable injury and damage to the Company and its Subsidiaries for which the Company and its Subsidiaries would have no adequate remedy at law. Therefore, in the event of a breach or threatened breach of Section 3, the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6" w:name="page147"/>
    <w:bookmarkEnd w:id="146"/>
    <w:p>
      <w:pPr>
        <w:ind w:right="20"/>
        <w:spacing w:after="0" w:line="282" w:lineRule="auto"/>
        <w:rPr>
          <w:sz w:val="20"/>
          <w:szCs w:val="20"/>
          <w:color w:val="auto"/>
        </w:rPr>
      </w:pPr>
      <w:r>
        <w:rPr>
          <w:rFonts w:ascii="Arial" w:cs="Arial" w:eastAsia="Arial" w:hAnsi="Arial"/>
          <w:sz w:val="19"/>
          <w:szCs w:val="19"/>
          <w:color w:val="auto"/>
        </w:rPr>
        <w:t>Company or its successors or assigns, in addition to any other rights and remedies existing in their favor at law or in equity, shall be entitled to specific performance and/or immediate injunctive or other equitable relief from a Court in order to enforce, or prevent any violations of, the provisions hereof (without posting a bond or other security), without having to prove damages. The terms of this Section 4.4 shall not prevent the Company or any of its Subsidiaries from pursuing any other available remedies for any breach or threatened breach of this Agreement, including the recovery of damages from Optionee.</w:t>
      </w:r>
    </w:p>
    <w:p>
      <w:pPr>
        <w:spacing w:after="0" w:line="147" w:lineRule="exact"/>
        <w:rPr>
          <w:sz w:val="20"/>
          <w:szCs w:val="20"/>
          <w:color w:val="auto"/>
        </w:rPr>
      </w:pPr>
    </w:p>
    <w:p>
      <w:pPr>
        <w:ind w:left="1500" w:hanging="7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Transfer Restrictions and Investment Representations</w:t>
      </w:r>
      <w:r>
        <w:rPr>
          <w:rFonts w:ascii="Arial" w:cs="Arial" w:eastAsia="Arial" w:hAnsi="Arial"/>
          <w:sz w:val="22"/>
          <w:szCs w:val="22"/>
          <w:color w:val="auto"/>
        </w:rPr>
        <w:t>.</w:t>
      </w:r>
    </w:p>
    <w:p>
      <w:pPr>
        <w:spacing w:after="0" w:line="206" w:lineRule="exact"/>
        <w:rPr>
          <w:sz w:val="20"/>
          <w:szCs w:val="20"/>
          <w:color w:val="auto"/>
        </w:rPr>
      </w:pPr>
    </w:p>
    <w:p>
      <w:pPr>
        <w:ind w:right="100" w:firstLine="1497"/>
        <w:spacing w:after="0" w:line="27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may not be transferred by Optionee other than by will or the laws of descent and distribution or pursuant to the designation of one or more beneficiaries on the form prescribed by the Company. Except to the extent permitted by the foregoing sentence, (a) during Optionee’s lifetime the Option is exercisable only by Optionee or Optionee’s Legal Representative and (b)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hereunder shall immediately become null and void.</w:t>
      </w:r>
    </w:p>
    <w:p>
      <w:pPr>
        <w:spacing w:after="0" w:line="152" w:lineRule="exact"/>
        <w:rPr>
          <w:sz w:val="20"/>
          <w:szCs w:val="20"/>
          <w:color w:val="auto"/>
        </w:rPr>
      </w:pPr>
    </w:p>
    <w:p>
      <w:pPr>
        <w:ind w:right="60" w:firstLine="1497"/>
        <w:spacing w:after="0" w:line="26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Investment Representation</w:t>
      </w:r>
      <w:r>
        <w:rPr>
          <w:rFonts w:ascii="Arial" w:cs="Arial" w:eastAsia="Arial" w:hAnsi="Arial"/>
          <w:sz w:val="19"/>
          <w:szCs w:val="19"/>
          <w:color w:val="auto"/>
        </w:rPr>
        <w:t>. Optionee hereby represents and covenants that (a) any shares of Common Stock purchased upon exercise of the Option will be purchased for investment and not with a view to the distribution thereof within the meaning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unless such purchase has been registered under the Securities Act and any applicable state securities laws;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Optionee shall submit a written statement, in a form satisfactory to the Company, to the effect that such representation</w:t>
      </w:r>
    </w:p>
    <w:p>
      <w:pPr>
        <w:spacing w:after="0" w:line="5" w:lineRule="exact"/>
        <w:rPr>
          <w:sz w:val="20"/>
          <w:szCs w:val="20"/>
          <w:color w:val="auto"/>
        </w:rPr>
      </w:pPr>
    </w:p>
    <w:p>
      <w:pPr>
        <w:ind w:right="60" w:firstLine="8"/>
        <w:spacing w:after="0" w:line="233" w:lineRule="auto"/>
        <w:tabs>
          <w:tab w:leader="none" w:pos="258" w:val="left"/>
        </w:tabs>
        <w:numPr>
          <w:ilvl w:val="0"/>
          <w:numId w:val="84"/>
        </w:numPr>
        <w:rPr>
          <w:rFonts w:ascii="Arial" w:cs="Arial" w:eastAsia="Arial" w:hAnsi="Arial"/>
          <w:sz w:val="22"/>
          <w:szCs w:val="22"/>
          <w:color w:val="auto"/>
        </w:rPr>
      </w:pPr>
      <w:r>
        <w:rPr>
          <w:rFonts w:ascii="Arial" w:cs="Arial" w:eastAsia="Arial" w:hAnsi="Arial"/>
          <w:sz w:val="22"/>
          <w:szCs w:val="22"/>
          <w:color w:val="auto"/>
        </w:rPr>
        <w:t>is true and correct as of the date of any purchase of any shares hereunder or (ii) is true and correct as of the date of any sale of any such shares, as applicable. As a further condition precedent to any exercise of the Option, Optionee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185" w:lineRule="exact"/>
        <w:rPr>
          <w:rFonts w:ascii="Arial" w:cs="Arial" w:eastAsia="Arial" w:hAnsi="Arial"/>
          <w:sz w:val="22"/>
          <w:szCs w:val="22"/>
          <w:color w:val="auto"/>
        </w:rPr>
      </w:pPr>
    </w:p>
    <w:p>
      <w:pPr>
        <w:ind w:left="1500" w:hanging="743"/>
        <w:spacing w:after="0"/>
        <w:tabs>
          <w:tab w:leader="none" w:pos="150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Additional Terms and Conditions</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7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Withholding Taxes</w:t>
      </w:r>
      <w:r>
        <w:rPr>
          <w:rFonts w:ascii="Arial" w:cs="Arial" w:eastAsia="Arial" w:hAnsi="Arial"/>
          <w:sz w:val="19"/>
          <w:szCs w:val="19"/>
          <w:color w:val="auto"/>
        </w:rPr>
        <w:t>. As a condition precedent to the issuance of Common Stock following the exercise of the Option, Optionee shall, upon request by the Company, pay to the Company in addition to the purchase price of the shares, such amount of cash as the Company may be required, under all applicable federal, state, local or other laws or regulations, to withhold and pay over as income or other withholding taxes (the “Required Tax Payments”) with respect to such exercise of the Option. If Optionee shall fail to advance the Required Tax Payments after request by the Company, the Company may, in its discretion, deduct any Required Tax Payments from any amount then or thereafter payable by the Company to Optionee or withhold shares of Common Stock. Optionee may elect to satisfy his or her</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47" w:name="page148"/>
    <w:bookmarkEnd w:id="147"/>
    <w:p>
      <w:pPr>
        <w:ind w:right="60"/>
        <w:spacing w:after="0" w:line="274" w:lineRule="auto"/>
        <w:rPr>
          <w:sz w:val="20"/>
          <w:szCs w:val="20"/>
          <w:color w:val="auto"/>
        </w:rPr>
      </w:pPr>
      <w:r>
        <w:rPr>
          <w:rFonts w:ascii="Arial" w:cs="Arial" w:eastAsia="Arial" w:hAnsi="Arial"/>
          <w:sz w:val="19"/>
          <w:szCs w:val="19"/>
          <w:color w:val="auto"/>
        </w:rPr>
        <w:t>obligation to advance the Required Tax Payments by any of the following means: (i) a cash payment to the Company; (ii) authorizing the Company to withhold whole shares of Common Stock which would otherwise be delivered to Optionee upon exercise of the Option having an aggregate Fair Market Value, determined as of the date the obligation to withhold or pay taxes first arises in connection with the Option, equal to the Required Tax Payments; (iii) except as may be prohibited by applicable law, a cash payment by a broker-dealer acceptable to the Company to whom Optionee has submitted an irrevocable notice of exercise or (iv) any combination of (i) and (ii). Shares to be delivered or withheld may be withheld up to the maximum statutory tax rates in the applicable jurisdictions. Any fraction of a share of Common Stock which would be required to satisfy any such obligation shall be disregarded and the remaining amount due shall be paid in cash by Optionee. No shares of Common Stock shall be issued or delivered until the Required Tax Payments have been satisfied in full.</w:t>
      </w:r>
    </w:p>
    <w:p>
      <w:pPr>
        <w:spacing w:after="0" w:line="158"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Adjustment</w:t>
      </w:r>
      <w:r>
        <w:rPr>
          <w:rFonts w:ascii="Arial" w:cs="Arial" w:eastAsia="Arial" w:hAnsi="Arial"/>
          <w:sz w:val="19"/>
          <w:szCs w:val="19"/>
          <w:color w:val="auto"/>
        </w:rPr>
        <w:t>. In the event of a Section 4.2 Event, the adjustments provided for in Section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4.2(b) of the Plan shall be made to the number of shares of Common Stock subject to the Option and the related Exercise Price,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subject to Section 409A of the Code.</w:t>
      </w:r>
    </w:p>
    <w:p>
      <w:pPr>
        <w:spacing w:after="0" w:line="188" w:lineRule="exact"/>
        <w:rPr>
          <w:sz w:val="20"/>
          <w:szCs w:val="20"/>
          <w:color w:val="auto"/>
        </w:rPr>
      </w:pPr>
    </w:p>
    <w:p>
      <w:pPr>
        <w:ind w:firstLine="1497"/>
        <w:spacing w:after="0" w:line="27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Compliance with Applicable Law</w:t>
      </w:r>
      <w:r>
        <w:rPr>
          <w:rFonts w:ascii="Arial" w:cs="Arial" w:eastAsia="Arial" w:hAnsi="Arial"/>
          <w:sz w:val="19"/>
          <w:szCs w:val="19"/>
          <w:color w:val="auto"/>
        </w:rPr>
        <w:t>. The Option is subject to the condition that if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purchase or issuance of shares hereunder, the Option may not be exercised, in whole or in part, and such shares may not be issued, unless such listing, registration, qualification, consent, approval or other action shall have been effected or obtained, free of any conditions not acceptable to the Company. The Company agrees to use reasonable efforts to effect or obtain any such listing, registration, qualification, consent, approval or other action.</w:t>
      </w:r>
    </w:p>
    <w:p>
      <w:pPr>
        <w:spacing w:after="0" w:line="152" w:lineRule="exact"/>
        <w:rPr>
          <w:sz w:val="20"/>
          <w:szCs w:val="20"/>
          <w:color w:val="auto"/>
        </w:rPr>
      </w:pPr>
    </w:p>
    <w:p>
      <w:pPr>
        <w:ind w:right="180" w:firstLine="1497"/>
        <w:spacing w:after="0" w:line="249"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Issuance or Delivery of Shares</w:t>
      </w:r>
      <w:r>
        <w:rPr>
          <w:rFonts w:ascii="Arial" w:cs="Arial" w:eastAsia="Arial" w:hAnsi="Arial"/>
          <w:sz w:val="21"/>
          <w:szCs w:val="21"/>
          <w:color w:val="auto"/>
        </w:rPr>
        <w:t>. Upon the exercise of the Option, in whole or in part, the Company shall issue or deliver, subject to the conditions of this Agreement, the number of shares of Common Stock purchased against full payment therefor.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Section 6.1.</w:t>
      </w:r>
    </w:p>
    <w:p>
      <w:pPr>
        <w:spacing w:after="0" w:line="178" w:lineRule="exact"/>
        <w:rPr>
          <w:sz w:val="20"/>
          <w:szCs w:val="20"/>
          <w:color w:val="auto"/>
        </w:rPr>
      </w:pPr>
    </w:p>
    <w:p>
      <w:pPr>
        <w:ind w:right="120" w:firstLine="1497"/>
        <w:spacing w:after="0" w:line="23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Option Confers No Rights as Stockholder</w:t>
      </w:r>
      <w:r>
        <w:rPr>
          <w:rFonts w:ascii="Arial" w:cs="Arial" w:eastAsia="Arial" w:hAnsi="Arial"/>
          <w:sz w:val="22"/>
          <w:szCs w:val="22"/>
          <w:color w:val="auto"/>
        </w:rPr>
        <w:t>. Optionee shall not be entitled to any privileges of ownership with respect to shares of Common Stock subject to the Option unless and until such shares are purchased and issued upon the exercise of the Option, in whole or in part, and Optionee becomes a stockholder of record with respect to such issued shares. Optionee shall not be considered a stockholder of the Company with respect to any such shares not so purchased and issued.</w:t>
      </w:r>
    </w:p>
    <w:p>
      <w:pPr>
        <w:spacing w:after="0" w:line="187"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Option Confers No Rights to Continued Employment</w:t>
      </w:r>
      <w:r>
        <w:rPr>
          <w:rFonts w:ascii="Arial" w:cs="Arial" w:eastAsia="Arial" w:hAnsi="Arial"/>
          <w:sz w:val="22"/>
          <w:szCs w:val="22"/>
          <w:color w:val="auto"/>
        </w:rPr>
        <w:t>. In no event shall the granting of the Option or its acceptance by Optionee, or any provision of the Agreement or the Plan, give or be deemed to give Optionee any right to continued employment by the Company, any Subsidiary or any affiliate of the Company or affect in any manner the right of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any Subsidiary or any affiliate of the Company to terminate the employment of any person at any time.</w:t>
      </w:r>
    </w:p>
    <w:p>
      <w:pPr>
        <w:spacing w:after="0" w:line="206" w:lineRule="exact"/>
        <w:rPr>
          <w:sz w:val="20"/>
          <w:szCs w:val="20"/>
          <w:color w:val="auto"/>
        </w:rPr>
      </w:pPr>
    </w:p>
    <w:p>
      <w:pPr>
        <w:jc w:val="both"/>
        <w:ind w:right="260" w:firstLine="1497"/>
        <w:spacing w:after="0"/>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Decisions of Committee</w:t>
      </w:r>
      <w:r>
        <w:rPr>
          <w:rFonts w:ascii="Arial" w:cs="Arial" w:eastAsia="Arial" w:hAnsi="Arial"/>
          <w:sz w:val="22"/>
          <w:szCs w:val="22"/>
          <w:color w:val="auto"/>
        </w:rPr>
        <w:t>. The Committee shall have the right to resolve all questions which may arise in connection with the Option or its exercise. Any interpretation, determination or other action made or taken by the Committee regarding the Plan or this Agreement shall be final, binding and conclusive.</w:t>
      </w:r>
    </w:p>
    <w:p>
      <w:pPr>
        <w:spacing w:after="0" w:line="186"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any successor or successors of the Company and any person or persons who shall, upon the death of Optionee, acquire any rights hereunder in accordance with this Agreement or the Plan.</w:t>
      </w:r>
    </w:p>
    <w:p>
      <w:pPr>
        <w:spacing w:after="0" w:line="186" w:lineRule="exact"/>
        <w:rPr>
          <w:sz w:val="20"/>
          <w:szCs w:val="20"/>
          <w:color w:val="auto"/>
        </w:rPr>
      </w:pPr>
    </w:p>
    <w:p>
      <w:pPr>
        <w:ind w:right="20" w:firstLine="1497"/>
        <w:spacing w:after="0" w:line="27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other communications provided for in this Agreement shall be made, if to the Company, to Burlington Stores, Inc., 2006 Route 130 North, Burlington, NJ 08016, Attention: General Counsel, and if to Optionee, to the last known mailing address of Optionee contained in the records of the Company. All notices, requests or other communications provided for in this Agreement shall be made in writing either (a) by personal delivery, (b) 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provided, however, that if a notice, request or other communication sent to the Company is not received during regular business hours, it shall be deemed to be received on the next succeeding business day of the Company.</w:t>
      </w:r>
    </w:p>
    <w:p>
      <w:pPr>
        <w:spacing w:after="0" w:line="158" w:lineRule="exact"/>
        <w:rPr>
          <w:sz w:val="20"/>
          <w:szCs w:val="20"/>
          <w:color w:val="auto"/>
        </w:rPr>
      </w:pPr>
    </w:p>
    <w:p>
      <w:pPr>
        <w:ind w:right="200" w:firstLine="1497"/>
        <w:spacing w:after="0" w:line="297"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Option and all determinations made and actions taken pursuant hereto and thereto, to the extent not governed by the Code or the laws of the United States, shall be governed by the laws of the State of Delaware and construed in accordance therewith without giving effect to principles of conflicts of laws.</w:t>
      </w:r>
    </w:p>
    <w:p>
      <w:pPr>
        <w:spacing w:after="0" w:line="134" w:lineRule="exact"/>
        <w:rPr>
          <w:sz w:val="20"/>
          <w:szCs w:val="20"/>
          <w:color w:val="auto"/>
        </w:rPr>
      </w:pPr>
    </w:p>
    <w:p>
      <w:pPr>
        <w:jc w:val="both"/>
        <w:ind w:right="280" w:firstLine="1497"/>
        <w:spacing w:after="0"/>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Agreement Subject to the Plan</w:t>
      </w:r>
      <w:r>
        <w:rPr>
          <w:rFonts w:ascii="Arial" w:cs="Arial" w:eastAsia="Arial" w:hAnsi="Arial"/>
          <w:sz w:val="22"/>
          <w:szCs w:val="22"/>
          <w:color w:val="auto"/>
        </w:rPr>
        <w:t>. This Agreement is subject to the provisions of the Plan and shall be interpreted in accordance therewith. In the event that the provisions of this Agreement and the Plan conflict, the Plan shall control. Optionee hereby acknowledges receipt of a copy of the Plan.</w:t>
      </w:r>
    </w:p>
    <w:p>
      <w:pPr>
        <w:spacing w:after="0" w:line="186" w:lineRule="exact"/>
        <w:rPr>
          <w:sz w:val="20"/>
          <w:szCs w:val="20"/>
          <w:color w:val="auto"/>
        </w:rPr>
      </w:pPr>
    </w:p>
    <w:p>
      <w:pPr>
        <w:ind w:right="140" w:firstLine="1497"/>
        <w:spacing w:after="0" w:line="282"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provided for in Section 3.6, this Agreement and the Plan constitute the entire agreement of the parties with respect to the subject matter hereof and supersede in their entirety all prior undertakings and agreements of the Company and Optionee with respect to the subject matter hereof, and may not be modified adversely to Optionee’s interest except by means of a writing signed by the Company and Optionee. Notwithstanding the foregoing, Optionee acknowledges that Optionee is subject to Company policies relating to trading in the Company’s securities.</w:t>
      </w:r>
    </w:p>
    <w:p>
      <w:pPr>
        <w:spacing w:after="0" w:line="147" w:lineRule="exact"/>
        <w:rPr>
          <w:sz w:val="20"/>
          <w:szCs w:val="20"/>
          <w:color w:val="auto"/>
        </w:rPr>
      </w:pPr>
    </w:p>
    <w:p>
      <w:pPr>
        <w:ind w:right="180" w:firstLine="1497"/>
        <w:spacing w:after="0"/>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The Company may amend the provisions of this Agreement at any time; provided that an amendment that would adversely affect Optionee’s rights under this Agreement shall be subject to the written consent of Optionee. No course of</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49" w:name="page150"/>
    <w:bookmarkEnd w:id="149"/>
    <w:p>
      <w:pPr>
        <w:ind w:right="40"/>
        <w:spacing w:after="0" w:line="250" w:lineRule="auto"/>
        <w:rPr>
          <w:sz w:val="20"/>
          <w:szCs w:val="20"/>
          <w:color w:val="auto"/>
        </w:rPr>
      </w:pPr>
      <w:r>
        <w:rPr>
          <w:rFonts w:ascii="Arial" w:cs="Arial" w:eastAsia="Arial" w:hAnsi="Arial"/>
          <w:sz w:val="22"/>
          <w:szCs w:val="22"/>
          <w:color w:val="auto"/>
        </w:rPr>
        <w:t>conduct or failure or delay in enforcing the provisions of this Agreement shall affect the validity, binding effect or enforceability of this Agreement.</w:t>
      </w:r>
    </w:p>
    <w:p>
      <w:pPr>
        <w:spacing w:after="0" w:line="175"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u w:val="single" w:color="auto"/>
          <w:color w:val="auto"/>
        </w:rPr>
        <w:t>Counterparts</w:t>
      </w:r>
      <w:r>
        <w:rPr>
          <w:rFonts w:ascii="Arial" w:cs="Arial" w:eastAsia="Arial" w:hAnsi="Arial"/>
          <w:sz w:val="22"/>
          <w:szCs w:val="22"/>
          <w:color w:val="auto"/>
        </w:rPr>
        <w:t>. The Award Notice may be executed in two counterparts, each of which shall be deemed an original and both of which together shall constitute one and the same instrument.</w:t>
      </w: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b w:val="1"/>
                <w:bCs w:val="1"/>
                <w:color w:val="auto"/>
                <w:w w:val="91"/>
              </w:rPr>
              <w:t>Exhibit 21.1</w:t>
            </w:r>
          </w:p>
        </w:tc>
      </w:tr>
      <w:tr>
        <w:trPr>
          <w:trHeight w:val="418"/>
        </w:trPr>
        <w:tc>
          <w:tcPr>
            <w:tcW w:w="20" w:type="dxa"/>
            <w:vAlign w:val="bottom"/>
          </w:tcPr>
          <w:p>
            <w:pPr>
              <w:spacing w:after="0"/>
              <w:rPr>
                <w:sz w:val="24"/>
                <w:szCs w:val="24"/>
                <w:color w:val="auto"/>
              </w:rPr>
            </w:pPr>
          </w:p>
        </w:tc>
        <w:tc>
          <w:tcPr>
            <w:tcW w:w="8840" w:type="dxa"/>
            <w:vAlign w:val="bottom"/>
          </w:tcPr>
          <w:p>
            <w:pPr>
              <w:ind w:left="4140"/>
              <w:spacing w:after="0"/>
              <w:rPr>
                <w:sz w:val="20"/>
                <w:szCs w:val="20"/>
                <w:color w:val="auto"/>
              </w:rPr>
            </w:pPr>
            <w:r>
              <w:rPr>
                <w:rFonts w:ascii="Arial" w:cs="Arial" w:eastAsia="Arial" w:hAnsi="Arial"/>
                <w:sz w:val="18"/>
                <w:szCs w:val="18"/>
                <w:b w:val="1"/>
                <w:bCs w:val="1"/>
                <w:color w:val="auto"/>
              </w:rPr>
              <w:t>Subsidiaries of Burlington Stores, Inc.</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1"/>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State or Other Jurisdiction of</w:t>
            </w:r>
          </w:p>
        </w:tc>
      </w:tr>
      <w:tr>
        <w:trPr>
          <w:trHeight w:val="218"/>
        </w:trPr>
        <w:tc>
          <w:tcPr>
            <w:tcW w:w="20" w:type="dxa"/>
            <w:vAlign w:val="bottom"/>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Exact Name of Subsidiaries of Registrant as Specified in their Charter</w:t>
            </w:r>
          </w:p>
        </w:tc>
        <w:tc>
          <w:tcPr>
            <w:tcW w:w="2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r>
      <w:tr>
        <w:trPr>
          <w:trHeight w:val="175"/>
        </w:trPr>
        <w:tc>
          <w:tcPr>
            <w:tcW w:w="20" w:type="dxa"/>
            <w:vAlign w:val="bottom"/>
          </w:tcPr>
          <w:p>
            <w:pPr>
              <w:spacing w:after="0"/>
              <w:rPr>
                <w:sz w:val="15"/>
                <w:szCs w:val="15"/>
                <w:color w:val="auto"/>
              </w:rPr>
            </w:pPr>
          </w:p>
        </w:tc>
        <w:tc>
          <w:tcPr>
            <w:tcW w:w="8840" w:type="dxa"/>
            <w:vAlign w:val="bottom"/>
          </w:tcPr>
          <w:p>
            <w:pPr>
              <w:spacing w:after="0" w:line="176" w:lineRule="exact"/>
              <w:rPr>
                <w:sz w:val="20"/>
                <w:szCs w:val="20"/>
                <w:color w:val="auto"/>
              </w:rPr>
            </w:pPr>
            <w:r>
              <w:rPr>
                <w:rFonts w:ascii="Arial" w:cs="Arial" w:eastAsia="Arial" w:hAnsi="Arial"/>
                <w:sz w:val="18"/>
                <w:szCs w:val="18"/>
                <w:color w:val="auto"/>
              </w:rPr>
              <w:t>Burlington Holdings, LLC</w:t>
            </w:r>
          </w:p>
        </w:tc>
        <w:tc>
          <w:tcPr>
            <w:tcW w:w="200" w:type="dxa"/>
            <w:vAlign w:val="bottom"/>
          </w:tcPr>
          <w:p>
            <w:pPr>
              <w:spacing w:after="0"/>
              <w:rPr>
                <w:sz w:val="15"/>
                <w:szCs w:val="15"/>
                <w:color w:val="auto"/>
              </w:rPr>
            </w:pPr>
          </w:p>
        </w:tc>
        <w:tc>
          <w:tcPr>
            <w:tcW w:w="2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Holdings Finance, Inc.</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Delaware</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Holdings, LLC</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Delaware</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Investments Holdings, Inc.</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2"/>
              </w:rPr>
              <w:t>Delaware</w:t>
            </w:r>
          </w:p>
        </w:tc>
      </w:tr>
      <w:tr>
        <w:trPr>
          <w:trHeight w:val="176"/>
        </w:trPr>
        <w:tc>
          <w:tcPr>
            <w:tcW w:w="20" w:type="dxa"/>
            <w:vAlign w:val="bottom"/>
          </w:tcPr>
          <w:p>
            <w:pPr>
              <w:spacing w:after="0"/>
              <w:rPr>
                <w:sz w:val="15"/>
                <w:szCs w:val="15"/>
                <w:color w:val="auto"/>
              </w:rPr>
            </w:pPr>
          </w:p>
        </w:tc>
        <w:tc>
          <w:tcPr>
            <w:tcW w:w="8840" w:type="dxa"/>
            <w:vAlign w:val="bottom"/>
          </w:tcPr>
          <w:p>
            <w:pPr>
              <w:spacing w:after="0" w:line="176" w:lineRule="exact"/>
              <w:rPr>
                <w:sz w:val="20"/>
                <w:szCs w:val="20"/>
                <w:color w:val="auto"/>
              </w:rPr>
            </w:pPr>
            <w:r>
              <w:rPr>
                <w:rFonts w:ascii="Arial" w:cs="Arial" w:eastAsia="Arial" w:hAnsi="Arial"/>
                <w:sz w:val="18"/>
                <w:szCs w:val="18"/>
                <w:color w:val="auto"/>
              </w:rPr>
              <w:t>Burlington Coat Factory Warehouse Corporation</w:t>
            </w:r>
          </w:p>
        </w:tc>
        <w:tc>
          <w:tcPr>
            <w:tcW w:w="200" w:type="dxa"/>
            <w:vAlign w:val="bottom"/>
          </w:tcPr>
          <w:p>
            <w:pPr>
              <w:spacing w:after="0"/>
              <w:rPr>
                <w:sz w:val="15"/>
                <w:szCs w:val="15"/>
                <w:color w:val="auto"/>
              </w:rPr>
            </w:pPr>
          </w:p>
        </w:tc>
        <w:tc>
          <w:tcPr>
            <w:tcW w:w="220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4"/>
              </w:rPr>
              <w:t>Florida</w:t>
            </w:r>
          </w:p>
        </w:tc>
      </w:tr>
      <w:tr>
        <w:trPr>
          <w:trHeight w:val="202"/>
        </w:trPr>
        <w:tc>
          <w:tcPr>
            <w:tcW w:w="20" w:type="dxa"/>
            <w:vAlign w:val="bottom"/>
          </w:tcPr>
          <w:p>
            <w:pPr>
              <w:spacing w:after="0"/>
              <w:rPr>
                <w:sz w:val="17"/>
                <w:szCs w:val="17"/>
                <w:color w:val="auto"/>
              </w:rPr>
            </w:pPr>
          </w:p>
        </w:tc>
        <w:tc>
          <w:tcPr>
            <w:tcW w:w="8840" w:type="dxa"/>
            <w:vAlign w:val="bottom"/>
          </w:tcPr>
          <w:p>
            <w:pPr>
              <w:spacing w:after="0" w:line="201" w:lineRule="exact"/>
              <w:rPr>
                <w:sz w:val="20"/>
                <w:szCs w:val="20"/>
                <w:color w:val="auto"/>
              </w:rPr>
            </w:pPr>
            <w:r>
              <w:rPr>
                <w:rFonts w:ascii="Arial" w:cs="Arial" w:eastAsia="Arial" w:hAnsi="Arial"/>
                <w:sz w:val="18"/>
                <w:szCs w:val="18"/>
                <w:color w:val="auto"/>
              </w:rPr>
              <w:t>Burlington Merchandising Corporation</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2"/>
              </w:rPr>
              <w:t>Delaware</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of Texas, Inc.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4"/>
              </w:rPr>
              <w:t>Florida</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of Texas, L.P.</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4"/>
              </w:rPr>
              <w:t>Florida</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of Kentucky, Inc.</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4"/>
              </w:rPr>
              <w:t>Kentucky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Realty of Edgewater Park, Inc.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Realty of Pinebrook, Inc.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Warehouse of Edgewater Park, Inc.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Warehouse of Edgewater Park Urban Renewal Corp.</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Warehouse of New Jersey, Inc.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BCF Florence Urban Renewal, LLC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BCF Florence Urban Renewal II, LLC</w:t>
            </w:r>
          </w:p>
        </w:tc>
        <w:tc>
          <w:tcPr>
            <w:tcW w:w="200" w:type="dxa"/>
            <w:vAlign w:val="bottom"/>
          </w:tcPr>
          <w:p>
            <w:pPr>
              <w:spacing w:after="0"/>
              <w:rPr>
                <w:sz w:val="17"/>
                <w:szCs w:val="17"/>
                <w:color w:val="auto"/>
              </w:rPr>
            </w:pPr>
          </w:p>
        </w:tc>
        <w:tc>
          <w:tcPr>
            <w:tcW w:w="22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of Puerto Rico, LLC</w:t>
            </w:r>
          </w:p>
        </w:tc>
        <w:tc>
          <w:tcPr>
            <w:tcW w:w="200" w:type="dxa"/>
            <w:vAlign w:val="bottom"/>
          </w:tcPr>
          <w:p>
            <w:pPr>
              <w:spacing w:after="0"/>
              <w:rPr>
                <w:sz w:val="17"/>
                <w:szCs w:val="17"/>
                <w:color w:val="auto"/>
              </w:rPr>
            </w:pPr>
          </w:p>
        </w:tc>
        <w:tc>
          <w:tcPr>
            <w:tcW w:w="22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1"/>
              </w:rPr>
              <w:t>Puerto Rico</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Cohoes Fashions of Cranston, Inc.</w:t>
            </w:r>
          </w:p>
        </w:tc>
        <w:tc>
          <w:tcPr>
            <w:tcW w:w="200" w:type="dxa"/>
            <w:vAlign w:val="bottom"/>
          </w:tcPr>
          <w:p>
            <w:pPr>
              <w:spacing w:after="0"/>
              <w:rPr>
                <w:sz w:val="17"/>
                <w:szCs w:val="17"/>
                <w:color w:val="auto"/>
              </w:rPr>
            </w:pPr>
          </w:p>
        </w:tc>
        <w:tc>
          <w:tcPr>
            <w:tcW w:w="2200" w:type="dxa"/>
            <w:vAlign w:val="bottom"/>
            <w:gridSpan w:val="2"/>
          </w:tcPr>
          <w:p>
            <w:pPr>
              <w:jc w:val="center"/>
              <w:ind w:left="111"/>
              <w:spacing w:after="0" w:line="202" w:lineRule="exact"/>
              <w:rPr>
                <w:sz w:val="20"/>
                <w:szCs w:val="20"/>
                <w:color w:val="auto"/>
              </w:rPr>
            </w:pPr>
            <w:r>
              <w:rPr>
                <w:rFonts w:ascii="Arial" w:cs="Arial" w:eastAsia="Arial" w:hAnsi="Arial"/>
                <w:sz w:val="18"/>
                <w:szCs w:val="18"/>
                <w:color w:val="auto"/>
                <w:w w:val="90"/>
              </w:rPr>
              <w:t>Rhode Island</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Coat Factory Warehouse of Baytown, Inc.</w:t>
            </w:r>
          </w:p>
        </w:tc>
        <w:tc>
          <w:tcPr>
            <w:tcW w:w="200" w:type="dxa"/>
            <w:vAlign w:val="bottom"/>
          </w:tcPr>
          <w:p>
            <w:pPr>
              <w:spacing w:after="0"/>
              <w:rPr>
                <w:sz w:val="17"/>
                <w:szCs w:val="17"/>
                <w:color w:val="auto"/>
              </w:rPr>
            </w:pPr>
          </w:p>
        </w:tc>
        <w:tc>
          <w:tcPr>
            <w:tcW w:w="2200" w:type="dxa"/>
            <w:vAlign w:val="bottom"/>
            <w:gridSpan w:val="2"/>
          </w:tcPr>
          <w:p>
            <w:pPr>
              <w:jc w:val="center"/>
              <w:ind w:left="91"/>
              <w:spacing w:after="0" w:line="202" w:lineRule="exact"/>
              <w:rPr>
                <w:sz w:val="20"/>
                <w:szCs w:val="20"/>
                <w:color w:val="auto"/>
              </w:rPr>
            </w:pPr>
            <w:r>
              <w:rPr>
                <w:rFonts w:ascii="Arial" w:cs="Arial" w:eastAsia="Arial" w:hAnsi="Arial"/>
                <w:sz w:val="18"/>
                <w:szCs w:val="18"/>
                <w:color w:val="auto"/>
                <w:w w:val="85"/>
              </w:rPr>
              <w:t>Texas</w:t>
            </w:r>
          </w:p>
        </w:tc>
      </w:tr>
      <w:tr>
        <w:trPr>
          <w:trHeight w:val="176"/>
        </w:trPr>
        <w:tc>
          <w:tcPr>
            <w:tcW w:w="20" w:type="dxa"/>
            <w:vAlign w:val="bottom"/>
          </w:tcPr>
          <w:p>
            <w:pPr>
              <w:spacing w:after="0"/>
              <w:rPr>
                <w:sz w:val="15"/>
                <w:szCs w:val="15"/>
                <w:color w:val="auto"/>
              </w:rPr>
            </w:pPr>
          </w:p>
        </w:tc>
        <w:tc>
          <w:tcPr>
            <w:tcW w:w="8840" w:type="dxa"/>
            <w:vAlign w:val="bottom"/>
          </w:tcPr>
          <w:p>
            <w:pPr>
              <w:spacing w:after="0" w:line="176" w:lineRule="exact"/>
              <w:rPr>
                <w:sz w:val="20"/>
                <w:szCs w:val="20"/>
                <w:color w:val="auto"/>
              </w:rPr>
            </w:pPr>
            <w:r>
              <w:rPr>
                <w:rFonts w:ascii="Arial" w:cs="Arial" w:eastAsia="Arial" w:hAnsi="Arial"/>
                <w:sz w:val="18"/>
                <w:szCs w:val="18"/>
                <w:color w:val="auto"/>
              </w:rPr>
              <w:t>Burlington Coat Factory of Pocono Crossing, LLC</w:t>
            </w:r>
          </w:p>
        </w:tc>
        <w:tc>
          <w:tcPr>
            <w:tcW w:w="200" w:type="dxa"/>
            <w:vAlign w:val="bottom"/>
          </w:tcPr>
          <w:p>
            <w:pPr>
              <w:spacing w:after="0"/>
              <w:rPr>
                <w:sz w:val="15"/>
                <w:szCs w:val="15"/>
                <w:color w:val="auto"/>
              </w:rPr>
            </w:pPr>
          </w:p>
        </w:tc>
        <w:tc>
          <w:tcPr>
            <w:tcW w:w="2200" w:type="dxa"/>
            <w:vAlign w:val="bottom"/>
            <w:gridSpan w:val="2"/>
          </w:tcPr>
          <w:p>
            <w:pPr>
              <w:jc w:val="center"/>
              <w:ind w:left="91"/>
              <w:spacing w:after="0" w:line="176" w:lineRule="exact"/>
              <w:rPr>
                <w:sz w:val="20"/>
                <w:szCs w:val="20"/>
                <w:color w:val="auto"/>
              </w:rPr>
            </w:pPr>
            <w:r>
              <w:rPr>
                <w:rFonts w:ascii="Arial" w:cs="Arial" w:eastAsia="Arial" w:hAnsi="Arial"/>
                <w:sz w:val="18"/>
                <w:szCs w:val="18"/>
                <w:color w:val="auto"/>
                <w:w w:val="96"/>
              </w:rPr>
              <w:t>Virginia</w:t>
            </w:r>
          </w:p>
        </w:tc>
      </w:tr>
      <w:tr>
        <w:trPr>
          <w:trHeight w:val="202"/>
        </w:trPr>
        <w:tc>
          <w:tcPr>
            <w:tcW w:w="20" w:type="dxa"/>
            <w:vAlign w:val="bottom"/>
          </w:tcPr>
          <w:p>
            <w:pPr>
              <w:spacing w:after="0"/>
              <w:rPr>
                <w:sz w:val="17"/>
                <w:szCs w:val="17"/>
                <w:color w:val="auto"/>
              </w:rPr>
            </w:pPr>
          </w:p>
        </w:tc>
        <w:tc>
          <w:tcPr>
            <w:tcW w:w="8840" w:type="dxa"/>
            <w:vAlign w:val="bottom"/>
          </w:tcPr>
          <w:p>
            <w:pPr>
              <w:spacing w:after="0" w:line="201" w:lineRule="exact"/>
              <w:rPr>
                <w:sz w:val="20"/>
                <w:szCs w:val="20"/>
                <w:color w:val="auto"/>
              </w:rPr>
            </w:pPr>
            <w:r>
              <w:rPr>
                <w:rFonts w:ascii="Arial" w:cs="Arial" w:eastAsia="Arial" w:hAnsi="Arial"/>
                <w:sz w:val="18"/>
                <w:szCs w:val="18"/>
                <w:color w:val="auto"/>
              </w:rPr>
              <w:t>Florence Insurance Company, Inc.</w:t>
            </w:r>
          </w:p>
        </w:tc>
        <w:tc>
          <w:tcPr>
            <w:tcW w:w="200" w:type="dxa"/>
            <w:vAlign w:val="bottom"/>
          </w:tcPr>
          <w:p>
            <w:pPr>
              <w:spacing w:after="0"/>
              <w:rPr>
                <w:sz w:val="17"/>
                <w:szCs w:val="17"/>
                <w:color w:val="auto"/>
              </w:rPr>
            </w:pPr>
          </w:p>
        </w:tc>
        <w:tc>
          <w:tcPr>
            <w:tcW w:w="2200" w:type="dxa"/>
            <w:vAlign w:val="bottom"/>
            <w:gridSpan w:val="2"/>
          </w:tcPr>
          <w:p>
            <w:pPr>
              <w:jc w:val="center"/>
              <w:ind w:left="111"/>
              <w:spacing w:after="0" w:line="201" w:lineRule="exact"/>
              <w:rPr>
                <w:sz w:val="20"/>
                <w:szCs w:val="20"/>
                <w:color w:val="auto"/>
              </w:rPr>
            </w:pPr>
            <w:r>
              <w:rPr>
                <w:rFonts w:ascii="Arial" w:cs="Arial" w:eastAsia="Arial" w:hAnsi="Arial"/>
                <w:sz w:val="18"/>
                <w:szCs w:val="18"/>
                <w:color w:val="auto"/>
                <w:w w:val="89"/>
              </w:rPr>
              <w:t>New Jersey</w:t>
            </w: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Burlington Distribution Corp.</w:t>
            </w:r>
          </w:p>
        </w:tc>
        <w:tc>
          <w:tcPr>
            <w:tcW w:w="200" w:type="dxa"/>
            <w:vAlign w:val="bottom"/>
          </w:tcPr>
          <w:p>
            <w:pPr>
              <w:spacing w:after="0"/>
              <w:rPr>
                <w:sz w:val="17"/>
                <w:szCs w:val="17"/>
                <w:color w:val="auto"/>
              </w:rPr>
            </w:pPr>
          </w:p>
        </w:tc>
        <w:tc>
          <w:tcPr>
            <w:tcW w:w="2200" w:type="dxa"/>
            <w:vAlign w:val="bottom"/>
            <w:gridSpan w:val="2"/>
          </w:tcPr>
          <w:p>
            <w:pPr>
              <w:jc w:val="center"/>
              <w:ind w:left="111"/>
              <w:spacing w:after="0" w:line="202" w:lineRule="exact"/>
              <w:rPr>
                <w:sz w:val="20"/>
                <w:szCs w:val="20"/>
                <w:color w:val="auto"/>
              </w:rPr>
            </w:pPr>
            <w:r>
              <w:rPr>
                <w:rFonts w:ascii="Arial" w:cs="Arial" w:eastAsia="Arial" w:hAnsi="Arial"/>
                <w:sz w:val="18"/>
                <w:szCs w:val="18"/>
                <w:color w:val="auto"/>
                <w:w w:val="89"/>
              </w:rPr>
              <w:t>Delaware</w:t>
            </w: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Burlington Stores Charitable Foundation</w:t>
            </w:r>
          </w:p>
        </w:tc>
        <w:tc>
          <w:tcPr>
            <w:tcW w:w="200" w:type="dxa"/>
            <w:vAlign w:val="bottom"/>
          </w:tcPr>
          <w:p>
            <w:pPr>
              <w:spacing w:after="0"/>
              <w:rPr>
                <w:sz w:val="20"/>
                <w:szCs w:val="20"/>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Delaware</w:t>
            </w:r>
          </w:p>
        </w:tc>
      </w:tr>
      <w:tr>
        <w:trPr>
          <w:trHeight w:val="925"/>
        </w:trPr>
        <w:tc>
          <w:tcPr>
            <w:tcW w:w="2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We consent to the incorporation by reference in Registration Statement No. 333-191637 on Form S-8 of our reports dated March 16, 2022, relating to the financial statements of Burlington Stores, Inc. and subsidiaries, and the effectiveness of Burlington Stores, Inc.’s internal control over financial reporting appearing in this Annual Report on Form 10-K for the year ended January 29, 2022.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8" w:lineRule="auto"/>
        <w:rPr>
          <w:sz w:val="20"/>
          <w:szCs w:val="20"/>
          <w:color w:val="auto"/>
        </w:rPr>
      </w:pPr>
      <w:r>
        <w:rPr>
          <w:rFonts w:ascii="Arial" w:cs="Arial" w:eastAsia="Arial" w:hAnsi="Arial"/>
          <w:sz w:val="22"/>
          <w:szCs w:val="22"/>
          <w:color w:val="auto"/>
        </w:rPr>
        <w:t>Parsippany, New Jersey</w:t>
      </w:r>
    </w:p>
    <w:p>
      <w:pPr>
        <w:spacing w:after="0"/>
        <w:rPr>
          <w:sz w:val="20"/>
          <w:szCs w:val="20"/>
          <w:color w:val="auto"/>
        </w:rPr>
      </w:pPr>
      <w:r>
        <w:rPr>
          <w:rFonts w:ascii="Arial" w:cs="Arial" w:eastAsia="Arial" w:hAnsi="Arial"/>
          <w:sz w:val="22"/>
          <w:szCs w:val="22"/>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Michael O’Sullivan, certify that:</w:t>
      </w:r>
    </w:p>
    <w:p>
      <w:pPr>
        <w:spacing w:after="0" w:line="212"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11" w:lineRule="exact"/>
        <w:rPr>
          <w:rFonts w:ascii="Arial" w:cs="Arial" w:eastAsia="Arial" w:hAnsi="Arial"/>
          <w:sz w:val="18"/>
          <w:szCs w:val="18"/>
          <w:color w:val="auto"/>
        </w:rPr>
      </w:pPr>
    </w:p>
    <w:p>
      <w:pPr>
        <w:ind w:right="240" w:firstLine="8"/>
        <w:spacing w:after="0" w:line="324"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20" w:firstLine="8"/>
        <w:spacing w:after="0" w:line="291" w:lineRule="auto"/>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48" w:lineRule="auto"/>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320" w:firstLine="517"/>
        <w:spacing w:after="0" w:line="248" w:lineRule="auto"/>
        <w:tabs>
          <w:tab w:leader="none" w:pos="6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hanging="183"/>
        <w:spacing w:after="0"/>
        <w:tabs>
          <w:tab w:leader="none" w:pos="7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23" w:lineRule="exact"/>
        <w:rPr>
          <w:rFonts w:ascii="Arial" w:cs="Arial" w:eastAsia="Arial" w:hAnsi="Arial"/>
          <w:sz w:val="17"/>
          <w:szCs w:val="17"/>
          <w:color w:val="auto"/>
        </w:rPr>
      </w:pPr>
    </w:p>
    <w:p>
      <w:pPr>
        <w:ind w:right="20"/>
        <w:spacing w:after="0" w:line="243"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840" w:firstLine="517"/>
        <w:spacing w:after="0" w:line="324" w:lineRule="auto"/>
        <w:tabs>
          <w:tab w:leader="none" w:pos="679"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right="220" w:firstLine="517"/>
        <w:spacing w:after="0" w:line="248" w:lineRule="auto"/>
        <w:tabs>
          <w:tab w:leader="none" w:pos="6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291" w:lineRule="auto"/>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20" w:firstLine="517"/>
        <w:spacing w:after="0" w:line="261" w:lineRule="auto"/>
        <w:tabs>
          <w:tab w:leader="none" w:pos="6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80" w:firstLine="517"/>
        <w:spacing w:after="0" w:line="261" w:lineRule="auto"/>
        <w:tabs>
          <w:tab w:leader="none" w:pos="6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7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O’Sullivan</w:t>
      </w:r>
    </w:p>
    <w:p>
      <w:pPr>
        <w:ind w:left="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3" w:name="page154"/>
    <w:bookmarkEnd w:id="15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Crimmins, certify that:</w:t>
      </w:r>
    </w:p>
    <w:p>
      <w:pPr>
        <w:spacing w:after="0" w:line="212"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11" w:lineRule="exact"/>
        <w:rPr>
          <w:rFonts w:ascii="Arial" w:cs="Arial" w:eastAsia="Arial" w:hAnsi="Arial"/>
          <w:sz w:val="18"/>
          <w:szCs w:val="18"/>
          <w:color w:val="auto"/>
        </w:rPr>
      </w:pPr>
    </w:p>
    <w:p>
      <w:pPr>
        <w:ind w:right="240" w:firstLine="8"/>
        <w:spacing w:after="0" w:line="324"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20" w:firstLine="8"/>
        <w:spacing w:after="0" w:line="291"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8"/>
        <w:spacing w:after="0" w:line="248"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320" w:firstLine="517"/>
        <w:spacing w:after="0" w:line="248" w:lineRule="auto"/>
        <w:tabs>
          <w:tab w:leader="none" w:pos="67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hanging="183"/>
        <w:spacing w:after="0"/>
        <w:tabs>
          <w:tab w:leader="none" w:pos="7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23" w:lineRule="exact"/>
        <w:rPr>
          <w:rFonts w:ascii="Arial" w:cs="Arial" w:eastAsia="Arial" w:hAnsi="Arial"/>
          <w:sz w:val="17"/>
          <w:szCs w:val="17"/>
          <w:color w:val="auto"/>
        </w:rPr>
      </w:pPr>
    </w:p>
    <w:p>
      <w:pPr>
        <w:ind w:right="20"/>
        <w:spacing w:after="0" w:line="243"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right="840" w:firstLine="517"/>
        <w:spacing w:after="0" w:line="324" w:lineRule="auto"/>
        <w:tabs>
          <w:tab w:leader="none" w:pos="67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right="220" w:firstLine="517"/>
        <w:spacing w:after="0" w:line="248" w:lineRule="auto"/>
        <w:tabs>
          <w:tab w:leader="none" w:pos="68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291" w:lineRule="auto"/>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20" w:firstLine="517"/>
        <w:spacing w:after="0" w:line="261" w:lineRule="auto"/>
        <w:tabs>
          <w:tab w:leader="none" w:pos="67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80" w:firstLine="517"/>
        <w:spacing w:after="0" w:line="261" w:lineRule="auto"/>
        <w:tabs>
          <w:tab w:leader="none" w:pos="68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Crimmins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Crimmins</w:t>
      </w:r>
    </w:p>
    <w:p>
      <w:pPr>
        <w:ind w:left="2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96"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January 29, 2022, as filed with the Securities and Exchange Commission on the date hereof (the “Report”), I, Michael O’Sullivan, Chief Executive Officer of the Company, certify, pursuant to 18 U.S.C. §1350, as adopted pursuant to §906 of the Sarbanes-Oxley Act of 2002, that:</w:t>
      </w:r>
    </w:p>
    <w:p>
      <w:pPr>
        <w:spacing w:after="0" w:line="182" w:lineRule="exact"/>
        <w:rPr>
          <w:sz w:val="20"/>
          <w:szCs w:val="20"/>
          <w:color w:val="auto"/>
        </w:rPr>
      </w:pPr>
    </w:p>
    <w:p>
      <w:pPr>
        <w:ind w:left="780" w:hanging="263"/>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right="80" w:firstLine="517"/>
        <w:spacing w:after="0" w:line="500" w:lineRule="auto"/>
        <w:tabs>
          <w:tab w:leader="none" w:pos="7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16, 2022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O’Sullivan</w:t>
      </w:r>
    </w:p>
    <w:p>
      <w:pPr>
        <w:ind w:left="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9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January 29, 2022, as filed with the Securities and Exchange Commission on the date hereof (the “Report”), I, John Crimmins, Chief Financial Officer of the Company, certify, pursuant to 18 U.S.C. §1350, as adopted pursuant to §906 of the Sarbanes-Oxley Act of 2002, that:</w:t>
      </w:r>
    </w:p>
    <w:p>
      <w:pPr>
        <w:spacing w:after="0" w:line="182" w:lineRule="exact"/>
        <w:rPr>
          <w:sz w:val="20"/>
          <w:szCs w:val="20"/>
          <w:color w:val="auto"/>
        </w:rPr>
      </w:pPr>
    </w:p>
    <w:p>
      <w:pPr>
        <w:ind w:left="780" w:hanging="263"/>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right="80" w:firstLine="517"/>
        <w:spacing w:after="0" w:line="500" w:lineRule="auto"/>
        <w:tabs>
          <w:tab w:leader="none" w:pos="7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16, 2022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Crimmins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Crimmins</w:t>
      </w:r>
    </w:p>
    <w:p>
      <w:pPr>
        <w:ind w:left="2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lowerLetter"/>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lvl w:ilvl="1">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lowerRoman"/>
      <w:start w:val="6"/>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4"/>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decimal"/>
      <w:start w:val="2"/>
    </w:lvl>
  </w:abstractNum>
  <w:abstractNum w:abstractNumId="38">
    <w:nsid w:val="579BE4F1"/>
    <w:multiLevelType w:val="hybridMultilevel"/>
    <w:lvl w:ilvl="0">
      <w:lvlJc w:val="left"/>
      <w:lvlText w:val="%1."/>
      <w:numFmt w:val="decimal"/>
      <w:start w:val="9"/>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decimal"/>
      <w:start w:val="16"/>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Letter"/>
      <w:start w:val="1"/>
    </w:lvl>
    <w:lvl w:ilvl="1">
      <w:lvlJc w:val="left"/>
      <w:lvlText w:val="(%2)"/>
      <w:numFmt w:val="decimal"/>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Roman"/>
      <w:start w:val="1"/>
    </w:lvl>
  </w:abstractNum>
  <w:abstractNum w:abstractNumId="52">
    <w:nsid w:val="98A3148"/>
    <w:multiLevelType w:val="hybridMultilevel"/>
    <w:lvl w:ilvl="0">
      <w:lvlJc w:val="left"/>
      <w:lvlText w:val="(%1)"/>
      <w:numFmt w:val="lowerRoman"/>
      <w:start w:val="2"/>
    </w:lvl>
  </w:abstractNum>
  <w:abstractNum w:abstractNumId="53">
    <w:nsid w:val="799D0247"/>
    <w:multiLevelType w:val="hybridMultilevel"/>
    <w:lvl w:ilvl="0">
      <w:lvlJc w:val="left"/>
      <w:lvlText w:val="%1."/>
      <w:numFmt w:val="decimal"/>
      <w:start w:val="4"/>
    </w:lvl>
  </w:abstractNum>
  <w:abstractNum w:abstractNumId="54">
    <w:nsid w:val="6B94764"/>
    <w:multiLevelType w:val="hybridMultilevel"/>
    <w:lvl w:ilvl="0">
      <w:lvlJc w:val="left"/>
      <w:lvlText w:val="(%1)"/>
      <w:numFmt w:val="lowerRoman"/>
      <w:start w:val="6"/>
    </w:lvl>
  </w:abstractNum>
  <w:abstractNum w:abstractNumId="55">
    <w:nsid w:val="42C296BD"/>
    <w:multiLevelType w:val="hybridMultilevel"/>
    <w:lvl w:ilvl="0">
      <w:lvlJc w:val="left"/>
      <w:lvlText w:val="%1."/>
      <w:numFmt w:val="decimal"/>
      <w:start w:val="6"/>
    </w:lvl>
  </w:abstractNum>
  <w:abstractNum w:abstractNumId="56">
    <w:nsid w:val="168E121F"/>
    <w:multiLevelType w:val="hybridMultilevel"/>
    <w:lvl w:ilvl="0">
      <w:lvlJc w:val="left"/>
      <w:lvlText w:val="%1."/>
      <w:numFmt w:val="decimal"/>
      <w:start w:val="7"/>
    </w:lvl>
  </w:abstractNum>
  <w:abstractNum w:abstractNumId="57">
    <w:nsid w:val="1EBA5D23"/>
    <w:multiLevelType w:val="hybridMultilevel"/>
    <w:lvl w:ilvl="0">
      <w:lvlJc w:val="left"/>
      <w:lvlText w:val="%1."/>
      <w:numFmt w:val="decimal"/>
      <w:start w:val="8"/>
    </w:lvl>
  </w:abstractNum>
  <w:abstractNum w:abstractNumId="58">
    <w:nsid w:val="661E3F1E"/>
    <w:multiLevelType w:val="hybridMultilevel"/>
    <w:lvl w:ilvl="0">
      <w:lvlJc w:val="left"/>
      <w:lvlText w:val="(%1)"/>
      <w:numFmt w:val="lowerLetter"/>
      <w:start w:val="3"/>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lowerRoman"/>
      <w:start w:val="1"/>
    </w:lvl>
  </w:abstractNum>
  <w:abstractNum w:abstractNumId="61">
    <w:nsid w:val="7BD3EE7B"/>
    <w:multiLevelType w:val="hybridMultilevel"/>
    <w:lvl w:ilvl="0">
      <w:lvlJc w:val="left"/>
      <w:lvlText w:val="(%1)"/>
      <w:numFmt w:val="lowerRoman"/>
      <w:start w:val="2"/>
    </w:lvl>
  </w:abstractNum>
  <w:abstractNum w:abstractNumId="62">
    <w:nsid w:val="51D9C564"/>
    <w:multiLevelType w:val="hybridMultilevel"/>
    <w:lvl w:ilvl="0">
      <w:lvlJc w:val="left"/>
      <w:lvlText w:val="%1."/>
      <w:numFmt w:val="decimal"/>
      <w:start w:val="4"/>
    </w:lvl>
  </w:abstractNum>
  <w:abstractNum w:abstractNumId="63">
    <w:nsid w:val="613EFDC5"/>
    <w:multiLevelType w:val="hybridMultilevel"/>
    <w:lvl w:ilvl="0">
      <w:lvlJc w:val="left"/>
      <w:lvlText w:val="(%1)"/>
      <w:numFmt w:val="lowerLetter"/>
      <w:start w:val="3"/>
    </w:lvl>
  </w:abstractNum>
  <w:abstractNum w:abstractNumId="64">
    <w:nsid w:val="BF72B14"/>
    <w:multiLevelType w:val="hybridMultilevel"/>
    <w:lvl w:ilvl="0">
      <w:lvlJc w:val="left"/>
      <w:lvlText w:val="(%1)"/>
      <w:numFmt w:val="lowerRoman"/>
      <w:start w:val="6"/>
    </w:lvl>
  </w:abstractNum>
  <w:abstractNum w:abstractNumId="65">
    <w:nsid w:val="11447B73"/>
    <w:multiLevelType w:val="hybridMultilevel"/>
    <w:lvl w:ilvl="0">
      <w:lvlJc w:val="left"/>
      <w:lvlText w:val="%1."/>
      <w:numFmt w:val="decimal"/>
      <w:start w:val="6"/>
    </w:lvl>
  </w:abstractNum>
  <w:abstractNum w:abstractNumId="66">
    <w:nsid w:val="42963E5A"/>
    <w:multiLevelType w:val="hybridMultilevel"/>
    <w:lvl w:ilvl="0">
      <w:lvlJc w:val="left"/>
      <w:lvlText w:val="%1."/>
      <w:numFmt w:val="decimal"/>
      <w:start w:val="7"/>
    </w:lvl>
  </w:abstractNum>
  <w:abstractNum w:abstractNumId="67">
    <w:nsid w:val="A0382C5"/>
    <w:multiLevelType w:val="hybridMultilevel"/>
    <w:lvl w:ilvl="0">
      <w:lvlJc w:val="left"/>
      <w:lvlText w:val="%1."/>
      <w:numFmt w:val="decimal"/>
      <w:start w:val="8"/>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1">
    <w:nsid w:val="68EB2F6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72">
    <w:nsid w:val="4962813B"/>
    <w:multiLevelType w:val="hybridMultilevel"/>
    <w:lvl w:ilvl="0">
      <w:lvlJc w:val="left"/>
      <w:lvlText w:val="%1."/>
      <w:numFmt w:val="decimal"/>
      <w:start w:val="5"/>
    </w:lvl>
  </w:abstractNum>
  <w:abstractNum w:abstractNumId="73">
    <w:nsid w:val="60B6DF70"/>
    <w:multiLevelType w:val="hybridMultilevel"/>
    <w:lvl w:ilvl="0">
      <w:lvlJc w:val="left"/>
      <w:lvlText w:val="%1."/>
      <w:numFmt w:val="decimal"/>
      <w:start w:val="6"/>
    </w:lvl>
  </w:abstractNum>
  <w:abstractNum w:abstractNumId="74">
    <w:nsid w:val="6A5EE64"/>
    <w:multiLevelType w:val="hybridMultilevel"/>
    <w:lvl w:ilvl="0">
      <w:lvlJc w:val="left"/>
      <w:lvlText w:val="%1."/>
      <w:numFmt w:val="decimal"/>
      <w:start w:val="7"/>
    </w:lvl>
  </w:abstractNum>
  <w:abstractNum w:abstractNumId="75">
    <w:nsid w:val="14330624"/>
    <w:multiLevelType w:val="hybridMultilevel"/>
    <w:lvl w:ilvl="0">
      <w:lvlJc w:val="left"/>
      <w:lvlText w:val="%1."/>
      <w:numFmt w:val="decimal"/>
      <w:start w:val="8"/>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upperLetter"/>
      <w:start w:val="1"/>
    </w:lvl>
    <w:lvl w:ilvl="1">
      <w:lvlJc w:val="left"/>
      <w:lvlText w:val="(%2)"/>
      <w:numFmt w:val="lowerLetter"/>
      <w:start w:val="3"/>
    </w:lvl>
  </w:abstractNum>
  <w:abstractNum w:abstractNumId="79">
    <w:nsid w:val="100F59DC"/>
    <w:multiLevelType w:val="hybridMultilevel"/>
    <w:lvl w:ilvl="0">
      <w:lvlJc w:val="left"/>
      <w:lvlText w:val="(%1)"/>
      <w:numFmt w:val="upperLetter"/>
      <w:start w:val="1"/>
    </w:lvl>
    <w:lvl w:ilvl="1">
      <w:lvlJc w:val="left"/>
      <w:lvlText w:val="(%2)"/>
      <w:numFmt w:val="lowerLetter"/>
      <w:start w:val="4"/>
    </w:lvl>
  </w:abstractNum>
  <w:abstractNum w:abstractNumId="80">
    <w:nsid w:val="7FB7E0AA"/>
    <w:multiLevelType w:val="hybridMultilevel"/>
    <w:lvl w:ilvl="0">
      <w:lvlJc w:val="left"/>
      <w:lvlText w:val="%1."/>
      <w:numFmt w:val="decimal"/>
      <w:start w:val="3"/>
    </w:lvl>
  </w:abstractNum>
  <w:abstractNum w:abstractNumId="81">
    <w:nsid w:val="6EB5BD4"/>
    <w:multiLevelType w:val="hybridMultilevel"/>
    <w:lvl w:ilvl="0">
      <w:lvlJc w:val="left"/>
      <w:lvlText w:val="%1."/>
      <w:numFmt w:val="decimal"/>
      <w:start w:val="4"/>
    </w:lvl>
  </w:abstractNum>
  <w:abstractNum w:abstractNumId="82">
    <w:nsid w:val="6F6DD9AC"/>
    <w:multiLevelType w:val="hybridMultilevel"/>
    <w:lvl w:ilvl="0">
      <w:lvlJc w:val="left"/>
      <w:lvlText w:val="%1."/>
      <w:numFmt w:val="decimal"/>
      <w:start w:val="5"/>
    </w:lvl>
  </w:abstractNum>
  <w:abstractNum w:abstractNumId="83">
    <w:nsid w:val="94211F2"/>
    <w:multiLevelType w:val="hybridMultilevel"/>
    <w:lvl w:ilvl="0">
      <w:lvlJc w:val="left"/>
      <w:lvlText w:val="(%1)"/>
      <w:numFmt w:val="lowerRoman"/>
      <w:start w:val="1"/>
    </w:lvl>
    <w:lvl w:ilvl="1">
      <w:lvlJc w:val="left"/>
      <w:lvlText w:val="%2."/>
      <w:numFmt w:val="decimal"/>
      <w:start w:val="6"/>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72" Type="http://schemas.openxmlformats.org/officeDocument/2006/relationships/image" Target="media/image413.png"/><Relationship Id="rId473" Type="http://schemas.openxmlformats.org/officeDocument/2006/relationships/image" Target="media/image414.png"/><Relationship Id="rId482" Type="http://schemas.openxmlformats.org/officeDocument/2006/relationships/image" Target="media/image415.png"/><Relationship Id="rId483" Type="http://schemas.openxmlformats.org/officeDocument/2006/relationships/image" Target="media/image416.png"/><Relationship Id="rId493" Type="http://schemas.openxmlformats.org/officeDocument/2006/relationships/image" Target="media/image417.png"/><Relationship Id="rId494" Type="http://schemas.openxmlformats.org/officeDocument/2006/relationships/image" Target="media/image418.png"/><Relationship Id="rId506" Type="http://schemas.openxmlformats.org/officeDocument/2006/relationships/image" Target="media/image419.png"/><Relationship Id="rId507" Type="http://schemas.openxmlformats.org/officeDocument/2006/relationships/image" Target="media/image420.png"/><Relationship Id="rId508" Type="http://schemas.openxmlformats.org/officeDocument/2006/relationships/image" Target="media/image421.png"/><Relationship Id="rId509" Type="http://schemas.openxmlformats.org/officeDocument/2006/relationships/image" Target="media/image422.png"/><Relationship Id="rId510" Type="http://schemas.openxmlformats.org/officeDocument/2006/relationships/image" Target="media/image423.png"/><Relationship Id="rId511" Type="http://schemas.openxmlformats.org/officeDocument/2006/relationships/image" Target="media/image424.png"/><Relationship Id="rId512" Type="http://schemas.openxmlformats.org/officeDocument/2006/relationships/image" Target="media/image425.png"/><Relationship Id="rId513" Type="http://schemas.openxmlformats.org/officeDocument/2006/relationships/image" Target="media/image426.png"/><Relationship Id="rId514" Type="http://schemas.openxmlformats.org/officeDocument/2006/relationships/image" Target="media/image427.png"/><Relationship Id="rId516" Type="http://schemas.openxmlformats.org/officeDocument/2006/relationships/image" Target="media/image428.png"/><Relationship Id="rId517" Type="http://schemas.openxmlformats.org/officeDocument/2006/relationships/image" Target="media/image429.png"/><Relationship Id="rId518" Type="http://schemas.openxmlformats.org/officeDocument/2006/relationships/image" Target="media/image430.png"/><Relationship Id="rId519" Type="http://schemas.openxmlformats.org/officeDocument/2006/relationships/image" Target="media/image431.png"/><Relationship Id="rId520" Type="http://schemas.openxmlformats.org/officeDocument/2006/relationships/image" Target="media/image432.png"/><Relationship Id="rId521" Type="http://schemas.openxmlformats.org/officeDocument/2006/relationships/image" Target="media/image433.png"/><Relationship Id="rId522" Type="http://schemas.openxmlformats.org/officeDocument/2006/relationships/image" Target="media/image434.png"/><Relationship Id="rId523" Type="http://schemas.openxmlformats.org/officeDocument/2006/relationships/image" Target="media/image435.jpeg"/><Relationship Id="rId524" Type="http://schemas.openxmlformats.org/officeDocument/2006/relationships/image" Target="media/image436.png"/><Relationship Id="rId525" Type="http://schemas.openxmlformats.org/officeDocument/2006/relationships/image" Target="media/image437.png"/><Relationship Id="rId526" Type="http://schemas.openxmlformats.org/officeDocument/2006/relationships/image" Target="media/image438.jpeg"/><Relationship Id="rId527" Type="http://schemas.openxmlformats.org/officeDocument/2006/relationships/image" Target="media/image439.png"/><Relationship Id="rId528" Type="http://schemas.openxmlformats.org/officeDocument/2006/relationships/image" Target="media/image440.png"/><Relationship Id="rId529" Type="http://schemas.openxmlformats.org/officeDocument/2006/relationships/image" Target="media/image441.png"/><Relationship Id="rId530" Type="http://schemas.openxmlformats.org/officeDocument/2006/relationships/image" Target="media/image442.png"/><Relationship Id="rId531" Type="http://schemas.openxmlformats.org/officeDocument/2006/relationships/image" Target="media/image443.png"/><Relationship Id="rId532" Type="http://schemas.openxmlformats.org/officeDocument/2006/relationships/image" Target="media/image444.png"/><Relationship Id="rId533" Type="http://schemas.openxmlformats.org/officeDocument/2006/relationships/image" Target="media/image445.png"/><Relationship Id="rId534" Type="http://schemas.openxmlformats.org/officeDocument/2006/relationships/image" Target="media/image446.png"/><Relationship Id="rId535" Type="http://schemas.openxmlformats.org/officeDocument/2006/relationships/image" Target="media/image447.png"/><Relationship Id="rId536" Type="http://schemas.openxmlformats.org/officeDocument/2006/relationships/image" Target="media/image448.png"/><Relationship Id="rId537" Type="http://schemas.openxmlformats.org/officeDocument/2006/relationships/image" Target="media/image449.png"/><Relationship Id="rId538" Type="http://schemas.openxmlformats.org/officeDocument/2006/relationships/image" Target="media/image450.png"/><Relationship Id="rId539" Type="http://schemas.openxmlformats.org/officeDocument/2006/relationships/image" Target="media/image451.png"/><Relationship Id="rId540" Type="http://schemas.openxmlformats.org/officeDocument/2006/relationships/image" Target="media/image452.png"/><Relationship Id="rId541" Type="http://schemas.openxmlformats.org/officeDocument/2006/relationships/image" Target="media/image453.png"/><Relationship Id="rId542" Type="http://schemas.openxmlformats.org/officeDocument/2006/relationships/image" Target="media/image454.png"/><Relationship Id="rId543" Type="http://schemas.openxmlformats.org/officeDocument/2006/relationships/image" Target="media/image455.png"/><Relationship Id="rId544" Type="http://schemas.openxmlformats.org/officeDocument/2006/relationships/image" Target="media/image456.png"/><Relationship Id="rId545" Type="http://schemas.openxmlformats.org/officeDocument/2006/relationships/image" Target="media/image457.png"/><Relationship Id="rId546" Type="http://schemas.openxmlformats.org/officeDocument/2006/relationships/image" Target="media/image458.png"/><Relationship Id="rId547" Type="http://schemas.openxmlformats.org/officeDocument/2006/relationships/image" Target="media/image459.png"/><Relationship Id="rId548" Type="http://schemas.openxmlformats.org/officeDocument/2006/relationships/image" Target="media/image460.png"/><Relationship Id="rId549" Type="http://schemas.openxmlformats.org/officeDocument/2006/relationships/image" Target="media/image461.png"/><Relationship Id="rId550" Type="http://schemas.openxmlformats.org/officeDocument/2006/relationships/image" Target="media/image462.png"/><Relationship Id="rId551" Type="http://schemas.openxmlformats.org/officeDocument/2006/relationships/image" Target="media/image463.png"/><Relationship Id="rId552" Type="http://schemas.openxmlformats.org/officeDocument/2006/relationships/image" Target="media/image464.png"/><Relationship Id="rId553" Type="http://schemas.openxmlformats.org/officeDocument/2006/relationships/image" Target="media/image465.png"/><Relationship Id="rId554" Type="http://schemas.openxmlformats.org/officeDocument/2006/relationships/image" Target="media/image466.png"/><Relationship Id="rId555" Type="http://schemas.openxmlformats.org/officeDocument/2006/relationships/image" Target="media/image467.png"/><Relationship Id="rId556" Type="http://schemas.openxmlformats.org/officeDocument/2006/relationships/image" Target="media/image468.png"/><Relationship Id="rId557" Type="http://schemas.openxmlformats.org/officeDocument/2006/relationships/image" Target="media/image469.png"/><Relationship Id="rId558" Type="http://schemas.openxmlformats.org/officeDocument/2006/relationships/image" Target="media/image470.png"/><Relationship Id="rId559" Type="http://schemas.openxmlformats.org/officeDocument/2006/relationships/image" Target="media/image471.png"/><Relationship Id="rId560" Type="http://schemas.openxmlformats.org/officeDocument/2006/relationships/image" Target="media/image472.png"/><Relationship Id="rId561" Type="http://schemas.openxmlformats.org/officeDocument/2006/relationships/image" Target="media/image473.png"/><Relationship Id="rId562" Type="http://schemas.openxmlformats.org/officeDocument/2006/relationships/image" Target="media/image474.png"/><Relationship Id="rId563" Type="http://schemas.openxmlformats.org/officeDocument/2006/relationships/image" Target="media/image475.png"/><Relationship Id="rId564" Type="http://schemas.openxmlformats.org/officeDocument/2006/relationships/image" Target="media/image476.png"/><Relationship Id="rId565" Type="http://schemas.openxmlformats.org/officeDocument/2006/relationships/image" Target="media/image477.png"/><Relationship Id="rId566" Type="http://schemas.openxmlformats.org/officeDocument/2006/relationships/image" Target="media/image478.png"/><Relationship Id="rId567" Type="http://schemas.openxmlformats.org/officeDocument/2006/relationships/image" Target="media/image479.png"/><Relationship Id="rId568" Type="http://schemas.openxmlformats.org/officeDocument/2006/relationships/image" Target="media/image480.png"/><Relationship Id="rId569" Type="http://schemas.openxmlformats.org/officeDocument/2006/relationships/image" Target="media/image481.png"/><Relationship Id="rId570" Type="http://schemas.openxmlformats.org/officeDocument/2006/relationships/image" Target="media/image482.png"/><Relationship Id="rId571" Type="http://schemas.openxmlformats.org/officeDocument/2006/relationships/image" Target="media/image483.png"/><Relationship Id="rId572" Type="http://schemas.openxmlformats.org/officeDocument/2006/relationships/image" Target="media/image484.png"/><Relationship Id="rId573" Type="http://schemas.openxmlformats.org/officeDocument/2006/relationships/image" Target="media/image485.png"/><Relationship Id="rId574" Type="http://schemas.openxmlformats.org/officeDocument/2006/relationships/image" Target="media/image486.png"/><Relationship Id="rId575" Type="http://schemas.openxmlformats.org/officeDocument/2006/relationships/image" Target="media/image487.png"/><Relationship Id="rId576" Type="http://schemas.openxmlformats.org/officeDocument/2006/relationships/image" Target="media/image488.png"/><Relationship Id="rId577" Type="http://schemas.openxmlformats.org/officeDocument/2006/relationships/image" Target="media/image489.png"/><Relationship Id="rId578" Type="http://schemas.openxmlformats.org/officeDocument/2006/relationships/image" Target="media/image490.png"/><Relationship Id="rId579" Type="http://schemas.openxmlformats.org/officeDocument/2006/relationships/image" Target="media/image491.png"/><Relationship Id="rId580" Type="http://schemas.openxmlformats.org/officeDocument/2006/relationships/image" Target="media/image492.png"/><Relationship Id="rId581" Type="http://schemas.openxmlformats.org/officeDocument/2006/relationships/image" Target="media/image493.png"/><Relationship Id="rId582" Type="http://schemas.openxmlformats.org/officeDocument/2006/relationships/image" Target="media/image494.png"/><Relationship Id="rId412" Type="http://schemas.openxmlformats.org/officeDocument/2006/relationships/hyperlink" Target="https://www.sec.gov/Archives/edgar/data/1579298/000119312513362941/d552507dex31.htm" TargetMode="External"/><Relationship Id="rId413" Type="http://schemas.openxmlformats.org/officeDocument/2006/relationships/hyperlink" Target="https://www.sec.gov/Archives/edgar/data/1579298/000156459018003506/burl-ex31_6.htm" TargetMode="External"/><Relationship Id="rId414" Type="http://schemas.openxmlformats.org/officeDocument/2006/relationships/hyperlink" Target="https://www.sec.gov/Archives/edgar/data/1579298/000156459020010835/burl-ex41_170.htm" TargetMode="External"/><Relationship Id="rId415" Type="http://schemas.openxmlformats.org/officeDocument/2006/relationships/hyperlink" Target="https://www.sec.gov/Archives/edgar/data/1579298/000119312520109457/d883886dex41.htm" TargetMode="External"/><Relationship Id="rId416" Type="http://schemas.openxmlformats.org/officeDocument/2006/relationships/hyperlink" Target="https://www.sec.gov/Archives/edgar/data/718916/000119312511045577/dex102.htm" TargetMode="External"/><Relationship Id="rId417" Type="http://schemas.openxmlformats.org/officeDocument/2006/relationships/hyperlink" Target="https://www.sec.gov/Archives/edgar/data/718916/000119312512237766/d354404dex101.htm" TargetMode="External"/><Relationship Id="rId418" Type="http://schemas.openxmlformats.org/officeDocument/2006/relationships/hyperlink" Target="https://www.sec.gov/Archives/edgar/data/718916/000119312513068973/d490107dex101.htm" TargetMode="External"/><Relationship Id="rId421" Type="http://schemas.openxmlformats.org/officeDocument/2006/relationships/hyperlink" Target="https://www.sec.gov/Archives/edgar/data/718916/000119312513231086/d541090dex101.htm" TargetMode="External"/><Relationship Id="rId422" Type="http://schemas.openxmlformats.org/officeDocument/2006/relationships/hyperlink" Target="https://www.sec.gov/Archives/edgar/data/1579298/000119312514313404/d772516dex101.htm" TargetMode="External"/><Relationship Id="rId423" Type="http://schemas.openxmlformats.org/officeDocument/2006/relationships/hyperlink" Target="https://www.sec.gov/Archives/edgar/data/1579298/000119312516664621/d164473dex101.htm" TargetMode="External"/><Relationship Id="rId424" Type="http://schemas.openxmlformats.org/officeDocument/2006/relationships/hyperlink" Target="https://www.sec.gov/Archives/edgar/data/1579298/000156459017024112/burl-ex101_99.htm" TargetMode="External"/><Relationship Id="rId425" Type="http://schemas.openxmlformats.org/officeDocument/2006/relationships/hyperlink" Target="https://www.sec.gov/Archives/edgar/data/1579298/000156459018028570/burl-ex101_6.htm" TargetMode="External"/><Relationship Id="rId426" Type="http://schemas.openxmlformats.org/officeDocument/2006/relationships/hyperlink" Target="https://www.sec.gov/Archives/edgar/data/1579298/000119312520060463/d822691dex101.htm" TargetMode="External"/><Relationship Id="rId427" Type="http://schemas.openxmlformats.org/officeDocument/2006/relationships/hyperlink" Target="https://www.sec.gov/Archives/edgar/data/0001579298/000119312521200394/d195731dex101.htm" TargetMode="External"/><Relationship Id="rId428" Type="http://schemas.openxmlformats.org/officeDocument/2006/relationships/hyperlink" Target="https://www.sec.gov/Archives/edgar/data/1368775/000119312511244548/dex101.htm" TargetMode="External"/><Relationship Id="rId431" Type="http://schemas.openxmlformats.org/officeDocument/2006/relationships/hyperlink" Target="https://www.sec.gov/Archives/edgar/data/1579298/000119312514313404/d772516dex102.htm" TargetMode="External"/><Relationship Id="rId432" Type="http://schemas.openxmlformats.org/officeDocument/2006/relationships/hyperlink" Target="https://www.sec.gov/Archives/edgar/data/1579298/000156459018016500/burl-ex101_6.htm" TargetMode="External"/><Relationship Id="rId433" Type="http://schemas.openxmlformats.org/officeDocument/2006/relationships/hyperlink" Target="https://www.sec.gov/Archives/edgar/data/1579298/000156459019008656/burl-ex1023_17.htm" TargetMode="External"/><Relationship Id="rId434" Type="http://schemas.openxmlformats.org/officeDocument/2006/relationships/hyperlink" Target="https://www.sec.gov/Archives/edgar/data/1579298/000156459020027631/burl-ex106_10.htm" TargetMode="External"/><Relationship Id="rId435" Type="http://schemas.openxmlformats.org/officeDocument/2006/relationships/hyperlink" Target="https://www.sec.gov/Archives/edgar/data/0001579298/000119312521364998/d275638dex101.htm" TargetMode="External"/><Relationship Id="rId436" Type="http://schemas.openxmlformats.org/officeDocument/2006/relationships/hyperlink" Target="https://www.sec.gov/Archives/edgar/data/718916/000119312506205456/dex107.htm" TargetMode="External"/><Relationship Id="rId437" Type="http://schemas.openxmlformats.org/officeDocument/2006/relationships/hyperlink" Target="https://www.sec.gov/Archives/edgar/data/718916/000119312506205456/dex108.htm" TargetMode="External"/><Relationship Id="rId438" Type="http://schemas.openxmlformats.org/officeDocument/2006/relationships/hyperlink" Target="https://www.sec.gov/Archives/edgar/data/718916/000136877510000013/exhibit10-9.htm" TargetMode="External"/><Relationship Id="rId439" Type="http://schemas.openxmlformats.org/officeDocument/2006/relationships/hyperlink" Target="https://www.sec.gov/Archives/edgar/data/718916/000119312506205456/dex1010.htm" TargetMode="External"/><Relationship Id="rId440" Type="http://schemas.openxmlformats.org/officeDocument/2006/relationships/hyperlink" Target="https://www.sec.gov/Archives/edgar/data/718916/000119312506205456/dex1011.htm" TargetMode="External"/><Relationship Id="rId441" Type="http://schemas.openxmlformats.org/officeDocument/2006/relationships/hyperlink" Target="https://www.sec.gov/Archives/edgar/data/718916/000119312506205456/dex1012.htm" TargetMode="External"/><Relationship Id="rId442" Type="http://schemas.openxmlformats.org/officeDocument/2006/relationships/hyperlink" Target="https://www.sec.gov/Archives/edgar/data/718916/000119312506205456/dex1013.htm" TargetMode="External"/><Relationship Id="rId445" Type="http://schemas.openxmlformats.org/officeDocument/2006/relationships/hyperlink" Target="https://www.sec.gov/Archives/edgar/data/718916/000136877510000013/exhibit10-14.htm" TargetMode="External"/><Relationship Id="rId446" Type="http://schemas.openxmlformats.org/officeDocument/2006/relationships/hyperlink" Target="https://www.sec.gov/Archives/edgar/data/718916/000119312506205456/dex1015.htm" TargetMode="External"/><Relationship Id="rId447" Type="http://schemas.openxmlformats.org/officeDocument/2006/relationships/hyperlink" Target="https://www.sec.gov/Archives/edgar/data/718916/000119312506205456/dex1016.htm" TargetMode="External"/><Relationship Id="rId448" Type="http://schemas.openxmlformats.org/officeDocument/2006/relationships/hyperlink" Target="https://www.sec.gov/Archives/edgar/data/718916/000119312506205456/dex1017.htm" TargetMode="External"/><Relationship Id="rId449" Type="http://schemas.openxmlformats.org/officeDocument/2006/relationships/hyperlink" Target="https://www.sec.gov/Archives/edgar/data/718916/000119312506205456/dex1018.htm" TargetMode="External"/><Relationship Id="rId450" Type="http://schemas.openxmlformats.org/officeDocument/2006/relationships/hyperlink" Target="https://www.sec.gov/Archives/edgar/data/718916/000119312506205456/dex1019.htm" TargetMode="External"/><Relationship Id="rId451" Type="http://schemas.openxmlformats.org/officeDocument/2006/relationships/hyperlink" Target="https://www.sec.gov/Archives/edgar/data/718916/000136877510000013/exhibit10-35.htm" TargetMode="External"/><Relationship Id="rId452" Type="http://schemas.openxmlformats.org/officeDocument/2006/relationships/hyperlink" Target="https://www.sec.gov/Archives/edgar/data/718916/000136877510000013/exhibit10-35a.htm" TargetMode="External"/><Relationship Id="rId453" Type="http://schemas.openxmlformats.org/officeDocument/2006/relationships/hyperlink" Target="https://www.sec.gov/Archives/edgar/data/718916/000119312512498555/d398893dex102.htm" TargetMode="External"/><Relationship Id="rId454" Type="http://schemas.openxmlformats.org/officeDocument/2006/relationships/hyperlink" Target="https://www.sec.gov/Archives/edgar/data/1579298/000156459020033321/burl-ex101_6.htm" TargetMode="External"/><Relationship Id="rId455" Type="http://schemas.openxmlformats.org/officeDocument/2006/relationships/hyperlink" Target="https://www.sec.gov/Archives/edgar/data/718916/000136877508000010/exhibit10-1.htm" TargetMode="External"/><Relationship Id="rId456" Type="http://schemas.openxmlformats.org/officeDocument/2006/relationships/hyperlink" Target="https://www.sec.gov/Archives/edgar/data/1579298/000119312513360117/d552507dex10201.htm" TargetMode="External"/><Relationship Id="rId459" Type="http://schemas.openxmlformats.org/officeDocument/2006/relationships/hyperlink" Target="https://www.sec.gov/Archives/edgar/data/1579298/000156459015007643/burl-ex105_475.htm" TargetMode="External"/><Relationship Id="rId460" Type="http://schemas.openxmlformats.org/officeDocument/2006/relationships/hyperlink" Target="https://www.sec.gov/Archives/edgar/data/1579298/000156459017011460/burl-ex108_6.htm" TargetMode="External"/><Relationship Id="rId461" Type="http://schemas.openxmlformats.org/officeDocument/2006/relationships/hyperlink" Target="https://www.sec.gov/Archives/edgar/data/1579298/000156459021013162/burl-ex10182_370.htm" TargetMode="External"/><Relationship Id="rId462" Type="http://schemas.openxmlformats.org/officeDocument/2006/relationships/hyperlink" Target="https://www.sec.gov/Archives/edgar/data/1579298/000119312519115061/d736850dex101.htm" TargetMode="External"/><Relationship Id="rId463" Type="http://schemas.openxmlformats.org/officeDocument/2006/relationships/hyperlink" Target="https://www.sec.gov/Archives/edgar/data/1579298/000156459020010835/burl-ex1022_169.htm" TargetMode="External"/><Relationship Id="rId464" Type="http://schemas.openxmlformats.org/officeDocument/2006/relationships/hyperlink" Target="https://www.sec.gov/Archives/edgar/data/718916/000136877509000014/exhibit10-2.htm" TargetMode="External"/><Relationship Id="rId465" Type="http://schemas.openxmlformats.org/officeDocument/2006/relationships/hyperlink" Target="https://www.sec.gov/Archives/edgar/data/718916/000136877509000014/exhibit10-3.htm" TargetMode="External"/><Relationship Id="rId466" Type="http://schemas.openxmlformats.org/officeDocument/2006/relationships/hyperlink" Target="https://www.sec.gov/Archives/edgar/data/718916/000119312506205456/dex1030.htm" TargetMode="External"/><Relationship Id="rId467" Type="http://schemas.openxmlformats.org/officeDocument/2006/relationships/hyperlink" Target="https://www.sec.gov/Archives/edgar/data/1579298/000119312513362941/d552507dex1043.htm" TargetMode="External"/><Relationship Id="rId468" Type="http://schemas.openxmlformats.org/officeDocument/2006/relationships/hyperlink" Target="https://www.sec.gov/Archives/edgar/data/1579298/000156459017011460/burl-ex102_13.htm" TargetMode="External"/><Relationship Id="rId469" Type="http://schemas.openxmlformats.org/officeDocument/2006/relationships/hyperlink" Target="https://www.sec.gov/Archives/edgar/data/1579298/000119312513360117/d552507dex1046.htm" TargetMode="External"/><Relationship Id="rId470" Type="http://schemas.openxmlformats.org/officeDocument/2006/relationships/hyperlink" Target="https://www.sec.gov/Archives/edgar/data/1579298/000119312513360117/d552507dex1045.htm" TargetMode="External"/><Relationship Id="rId471" Type="http://schemas.openxmlformats.org/officeDocument/2006/relationships/hyperlink" Target="https://www.sec.gov/Archives/edgar/data/1579298/000156459016014854/burl-ex1045_498.htm" TargetMode="External"/><Relationship Id="rId474" Type="http://schemas.openxmlformats.org/officeDocument/2006/relationships/hyperlink" Target="https://www.sec.gov/Archives/edgar/data/1579298/000156459016014854/burl-ex1046_496.htm" TargetMode="External"/><Relationship Id="rId475" Type="http://schemas.openxmlformats.org/officeDocument/2006/relationships/hyperlink" Target="https://www.sec.gov/Archives/edgar/data/1579298/000156459016029618/burl-ex101_271.htm" TargetMode="External"/><Relationship Id="rId476" Type="http://schemas.openxmlformats.org/officeDocument/2006/relationships/hyperlink" Target="https://www.sec.gov/Archives/edgar/data/1579298/000156459016029618/burl-ex102_270.htm" TargetMode="External"/><Relationship Id="rId477" Type="http://schemas.openxmlformats.org/officeDocument/2006/relationships/hyperlink" Target="https://www.sec.gov/Archives/edgar/data/1579298/000156459017011460/burl-ex103_11.htm" TargetMode="External"/><Relationship Id="rId478" Type="http://schemas.openxmlformats.org/officeDocument/2006/relationships/hyperlink" Target="https://www.sec.gov/Archives/edgar/data/1579298/000156459017011460/burl-ex104_9.htm" TargetMode="External"/><Relationship Id="rId479" Type="http://schemas.openxmlformats.org/officeDocument/2006/relationships/hyperlink" Target="https://www.sec.gov/Archives/edgar/data/1579298/000156459017011460/burl-ex105_10.htm" TargetMode="External"/><Relationship Id="rId480" Type="http://schemas.openxmlformats.org/officeDocument/2006/relationships/hyperlink" Target="https://www.sec.gov/Archives/edgar/data/1579298/000156459017011460/burl-ex106_8.htm" TargetMode="External"/><Relationship Id="rId481" Type="http://schemas.openxmlformats.org/officeDocument/2006/relationships/hyperlink" Target="https://www.sec.gov/Archives/edgar/data/1579298/000156459019021449/burl-ex102_94.htm" TargetMode="External"/><Relationship Id="rId484" Type="http://schemas.openxmlformats.org/officeDocument/2006/relationships/hyperlink" Target="https://www.sec.gov/Archives/edgar/data/1579298/000156459019021449/burl-ex103_93.htm" TargetMode="External"/><Relationship Id="rId485" Type="http://schemas.openxmlformats.org/officeDocument/2006/relationships/hyperlink" Target="https://www.sec.gov/Archives/edgar/data/1579298/000156459019021449/burl-ex104_92.htm" TargetMode="External"/><Relationship Id="rId486" Type="http://schemas.openxmlformats.org/officeDocument/2006/relationships/hyperlink" Target="https://www.sec.gov/Archives/edgar/data/1579298/000156459019021449/burl-ex107_89.htm" TargetMode="External"/><Relationship Id="rId487" Type="http://schemas.openxmlformats.org/officeDocument/2006/relationships/hyperlink" Target="https://www.sec.gov/Archives/edgar/data/1579298/000156459019033591/burl-ex101_54.htm" TargetMode="External"/><Relationship Id="rId488" Type="http://schemas.openxmlformats.org/officeDocument/2006/relationships/hyperlink" Target="https://www.sec.gov/Archives/edgar/data/1579298/000119312520109457/d883886dex101.htm" TargetMode="External"/><Relationship Id="rId489" Type="http://schemas.openxmlformats.org/officeDocument/2006/relationships/hyperlink" Target="https://www.sec.gov/Archives/edgar/data/1579298/000119312520109457/d883886dex102.htm" TargetMode="External"/><Relationship Id="rId490" Type="http://schemas.openxmlformats.org/officeDocument/2006/relationships/hyperlink" Target="https://www.sec.gov/Archives/edgar/data/1579298/000119312520109457/d883886dex103.htm" TargetMode="External"/><Relationship Id="rId491" Type="http://schemas.openxmlformats.org/officeDocument/2006/relationships/hyperlink" Target="https://www.sec.gov/Archives/edgar/data/1579298/000119312520109457/d883886dex104.htm" TargetMode="External"/><Relationship Id="rId492" Type="http://schemas.openxmlformats.org/officeDocument/2006/relationships/hyperlink" Target="https://www.sec.gov/Archives/edgar/data/1579298/000119312520109457/d883886dex105.htm" TargetMode="External"/><Relationship Id="rId495" Type="http://schemas.openxmlformats.org/officeDocument/2006/relationships/hyperlink" Target="https://www.sec.gov/Archives/edgar/data/1579298/000156459020041539/burl-ex101_50.htm" TargetMode="External"/><Relationship Id="rId496" Type="http://schemas.openxmlformats.org/officeDocument/2006/relationships/hyperlink" Target="https://www.sec.gov/Archives/edgar/data/1579298/000156459020041539/burl-ex102_49.htm" TargetMode="External"/><Relationship Id="rId497" Type="http://schemas.openxmlformats.org/officeDocument/2006/relationships/hyperlink" Target="https://www.sec.gov/Archives/edgar/data/1579298/000156459021030442/burl-ex101_14.htm" TargetMode="External"/><Relationship Id="rId498" Type="http://schemas.openxmlformats.org/officeDocument/2006/relationships/hyperlink" Target="https://www.sec.gov/Archives/edgar/data/1579298/000156459021030442/burl-ex102_12.htm" TargetMode="External"/><Relationship Id="rId499" Type="http://schemas.openxmlformats.org/officeDocument/2006/relationships/hyperlink" Target="https://www.sec.gov/Archives/edgar/data/1579298/000156459021030442/burl-ex103_13.htm" TargetMode="External"/><Relationship Id="rId500" Type="http://schemas.openxmlformats.org/officeDocument/2006/relationships/hyperlink" Target="https://www.sec.gov/Archives/edgar/data/1579298/000156459021030442/burl-ex104_10.htm" TargetMode="External"/><Relationship Id="rId501" Type="http://schemas.openxmlformats.org/officeDocument/2006/relationships/hyperlink" Target="https://www.sec.gov/Archives/edgar/data/1579298/000156459021030442/burl-ex105_11.htm" TargetMode="External"/><Relationship Id="rId502" Type="http://schemas.openxmlformats.org/officeDocument/2006/relationships/hyperlink" Target="https://www.sec.gov/Archives/edgar/data/0001579298/000119312521216397/d194020dex101.htm" TargetMode="External"/><Relationship Id="rId503" Type="http://schemas.openxmlformats.org/officeDocument/2006/relationships/hyperlink" Target="https://www.sec.gov/Archives/edgar/data/0001579298/000119312521216397/d194020dex102.htm" TargetMode="External"/><Relationship Id="rId504" Type="http://schemas.openxmlformats.org/officeDocument/2006/relationships/hyperlink" Target="https://www.sec.gov/Archives/edgar/data/0001579298/000119312521216397/d194020dex103.htm" TargetMode="External"/><Relationship Id="rId505" Type="http://schemas.openxmlformats.org/officeDocument/2006/relationships/hyperlink" Target="https://www.sec.gov/Archives/edgar/data/718916/000119312513177601/d459151dex1024.htm" TargetMode="External"/><Relationship Id="rId515" Type="http://schemas.openxmlformats.org/officeDocument/2006/relationships/hyperlink" Target="https://www.sec.gov/Archives/edgar/data/718916/000119312513177601/d459151dex10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2022-03-16T16:19:32Z</dcterms:created>
  <dcterms:modified xsi:type="dcterms:W3CDTF">2022-03-16T16:19:32Z</dcterms:modified>
</cp:coreProperties>
</file>