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ownership.xml.htm"/>
      <w:bookmarkStart w:id="1" w:name="ksownership"/>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Vecchio Jennifer</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2006 ROUTE 130 NORTH</w:t>
                  </w:r>
                </w:p>
              </w:tc>
            </w:tr>
            <w:t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08016</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Burlington Stores, Inc.</w:t>
              </w:r>
            </w:hyperlink>
            <w:r>
              <w:t xml:space="preserve"> [ </w:t>
            </w:r>
            <w:r>
              <w:rPr>
                <w:rFonts w:ascii="Times;serif" w:hAnsi="Times;serif"/>
                <w:color w:val="0000FF"/>
                <w:sz w:val="24"/>
                <w:shd w:fill="FFFFFF" w:val="clear"/>
              </w:rPr>
              <w:t>BURL</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 and CMO</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pPr>
            <w:r/>
          </w:p>
        </w:tc>
        <w:tc>
          <w:tcPr>
            <w:tcW w:w="905" w:type="dxa"/>
            <w:vMerge w:val="continue"/>
            <w:tcBorders>
              <w:left w:val="single" w:sz="2" w:space="0" w:color="808080"/>
              <w:bottom w:val="single" w:sz="2" w:space="0" w:color="808080"/>
              <w:right w:val="single" w:sz="6" w:space="0" w:color="808080"/>
            </w:tcBorders>
          </w:tcPr>
          <w:p>
            <w:pPr>
              <w:pStyle w:val="Normal"/>
              <w:bidi w:val="0"/>
              <w:jc w:val="left"/>
            </w:pPr>
            <w:r/>
          </w:p>
        </w:tc>
        <w:tc>
          <w:tcPr>
            <w:tcW w:w="774" w:type="dxa"/>
            <w:vMerge w:val="continue"/>
            <w:tcBorders>
              <w:left w:val="single" w:sz="2" w:space="0" w:color="808080"/>
              <w:bottom w:val="single" w:sz="2" w:space="0" w:color="808080"/>
              <w:right w:val="single" w:sz="6" w:space="0" w:color="808080"/>
            </w:tcBorders>
          </w:tcPr>
          <w:p>
            <w:pPr>
              <w:pStyle w:val="Normal"/>
              <w:bidi w:val="0"/>
              <w:jc w:val="left"/>
            </w:p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pPr>
            <w:r/>
          </w:p>
        </w:tc>
        <w:tc>
          <w:tcPr>
            <w:tcW w:w="997" w:type="dxa"/>
            <w:vMerge w:val="continue"/>
            <w:tcBorders>
              <w:left w:val="single" w:sz="2" w:space="0" w:color="808080"/>
              <w:bottom w:val="single" w:sz="2" w:space="0" w:color="808080"/>
              <w:right w:val="single" w:sz="6" w:space="0" w:color="808080"/>
            </w:tcBorders>
          </w:tcPr>
          <w:p>
            <w:pPr>
              <w:pStyle w:val="Normal"/>
              <w:bidi w:val="0"/>
              <w:jc w:val="left"/>
            </w:pPr>
            <w:r/>
          </w:p>
        </w:tc>
        <w:tc>
          <w:tcPr>
            <w:tcW w:w="925"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236.05</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237.15</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73,182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238.05</w:t>
            </w:r>
            <w:r>
              <w:rPr>
                <w:rFonts w:ascii="Times;serif" w:hAnsi="Times;serif"/>
                <w:color w:val="008000"/>
                <w:position w:val="7"/>
                <w:sz w:val="16"/>
                <w:sz w:val="20"/>
                <w:shd w:fill="FFFFFF" w:val="clear"/>
              </w:rPr>
              <w:t>(4)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72,627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$235.64 to $236.61.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Rule 10b5-1 trading plan adopted by the reporting person on March 16, 2026.</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$236.65 to $237.64.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$237.73 to $238.58.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Schaub, as attorney-in-fact for Jennifer Vecchio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11/04/2026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1994" TargetMode="External"/><Relationship Id="rId5" Type="http://schemas.openxmlformats.org/officeDocument/2006/relationships/hyperlink" Target="http://www.sec.gov/cgi-bin/browse-edgar?action=getcompany&amp;CIK=0001579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4497</Characters>
  <CharactersWithSpaces>5251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