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44" w:lineRule="exact"/>
        <w:rPr>
          <w:rFonts w:ascii="MS PGothic" w:cs="MS PGothic" w:eastAsia="MS PGothic" w:hAnsi="MS PGothic"/>
          <w:sz w:val="36"/>
          <w:szCs w:val="36"/>
          <w:color w:val="auto"/>
          <w:highlight w:val="black"/>
          <w:vertAlign w:val="superscript"/>
        </w:rPr>
      </w:pPr>
    </w:p>
    <w:p>
      <w:pPr>
        <w:ind w:left="4160"/>
        <w:spacing w:after="0"/>
        <w:rPr>
          <w:rFonts w:ascii="MS PGothic" w:cs="MS PGothic" w:eastAsia="MS PGothic" w:hAnsi="MS PGothic"/>
          <w:sz w:val="36"/>
          <w:szCs w:val="36"/>
          <w:color w:val="auto"/>
          <w:highlight w:val="black"/>
          <w:vertAlign w:val="superscript"/>
        </w:rPr>
      </w:pPr>
      <w:r>
        <w:rPr>
          <w:rFonts w:ascii="Arial" w:cs="Arial" w:eastAsia="Arial" w:hAnsi="Arial"/>
          <w:sz w:val="16"/>
          <w:szCs w:val="16"/>
          <w:b w:val="1"/>
          <w:bCs w:val="1"/>
          <w:color w:val="auto"/>
        </w:rPr>
        <w:t>For the fiscal year ended February 1, 2020</w:t>
      </w:r>
    </w:p>
    <w:p>
      <w:pPr>
        <w:spacing w:after="0" w:line="41" w:lineRule="exact"/>
        <w:rPr>
          <w:rFonts w:ascii="MS PGothic" w:cs="MS PGothic" w:eastAsia="MS PGothic" w:hAnsi="MS PGothic"/>
          <w:sz w:val="36"/>
          <w:szCs w:val="36"/>
          <w:color w:val="auto"/>
          <w:highlight w:val="black"/>
          <w:vertAlign w:val="superscript"/>
        </w:rPr>
      </w:pPr>
    </w:p>
    <w:p>
      <w:pPr>
        <w:ind w:left="5500"/>
        <w:spacing w:after="0"/>
        <w:rPr>
          <w:rFonts w:ascii="MS PGothic" w:cs="MS PGothic" w:eastAsia="MS PGothic" w:hAnsi="MS PGothic"/>
          <w:sz w:val="36"/>
          <w:szCs w:val="36"/>
          <w:color w:val="auto"/>
          <w:highlight w:val="black"/>
          <w:vertAlign w:val="superscript"/>
        </w:rPr>
      </w:pPr>
      <w:r>
        <w:rPr>
          <w:rFonts w:ascii="Arial" w:cs="Arial" w:eastAsia="Arial" w:hAnsi="Arial"/>
          <w:sz w:val="16"/>
          <w:szCs w:val="16"/>
          <w:b w:val="1"/>
          <w:bCs w:val="1"/>
          <w:color w:val="auto"/>
        </w:rPr>
        <w:t>OR</w:t>
      </w:r>
    </w:p>
    <w:p>
      <w:pPr>
        <w:spacing w:after="0" w:line="5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63500</wp:posOffset>
            </wp:positionV>
            <wp:extent cx="317182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BURLINGTON STORES,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tbl>
      <w:tblPr>
        <w:tblLayout w:type="fixed"/>
        <w:tblInd w:w="1740" w:type="dxa"/>
        <w:tblCellMar>
          <w:top w:w="0" w:type="dxa"/>
          <w:left w:w="0" w:type="dxa"/>
          <w:bottom w:w="0" w:type="dxa"/>
          <w:right w:w="0" w:type="dxa"/>
        </w:tblCellMar>
      </w:tblPr>
      <w:tr>
        <w:trPr>
          <w:trHeight w:val="198"/>
        </w:trPr>
        <w:tc>
          <w:tcPr>
            <w:tcW w:w="2320" w:type="dxa"/>
            <w:vAlign w:val="bottom"/>
          </w:tcPr>
          <w:p>
            <w:pPr>
              <w:jc w:val="center"/>
              <w:ind w:right="88"/>
              <w:spacing w:after="0"/>
              <w:rPr>
                <w:sz w:val="20"/>
                <w:szCs w:val="20"/>
                <w:color w:val="auto"/>
              </w:rPr>
            </w:pPr>
            <w:r>
              <w:rPr>
                <w:rFonts w:ascii="Arial" w:cs="Arial" w:eastAsia="Arial" w:hAnsi="Arial"/>
                <w:sz w:val="16"/>
                <w:szCs w:val="16"/>
                <w:b w:val="1"/>
                <w:bCs w:val="1"/>
                <w:color w:val="auto"/>
                <w:w w:val="91"/>
              </w:rPr>
              <w:t>Delaware</w:t>
            </w:r>
          </w:p>
        </w:tc>
        <w:tc>
          <w:tcPr>
            <w:tcW w:w="4920" w:type="dxa"/>
            <w:vAlign w:val="bottom"/>
          </w:tcPr>
          <w:p>
            <w:pPr>
              <w:jc w:val="right"/>
              <w:ind w:right="29"/>
              <w:spacing w:after="0"/>
              <w:rPr>
                <w:sz w:val="20"/>
                <w:szCs w:val="20"/>
                <w:color w:val="auto"/>
              </w:rPr>
            </w:pPr>
            <w:r>
              <w:rPr>
                <w:rFonts w:ascii="Arial" w:cs="Arial" w:eastAsia="Arial" w:hAnsi="Arial"/>
                <w:sz w:val="16"/>
                <w:szCs w:val="16"/>
                <w:b w:val="1"/>
                <w:bCs w:val="1"/>
                <w:color w:val="auto"/>
              </w:rPr>
              <w:t>80-0895227</w:t>
            </w:r>
          </w:p>
        </w:tc>
      </w:tr>
      <w:tr>
        <w:trPr>
          <w:trHeight w:val="135"/>
        </w:trPr>
        <w:tc>
          <w:tcPr>
            <w:tcW w:w="2320" w:type="dxa"/>
            <w:vAlign w:val="bottom"/>
          </w:tcPr>
          <w:p>
            <w:pPr>
              <w:jc w:val="center"/>
              <w:ind w:right="88"/>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4920" w:type="dxa"/>
            <w:vAlign w:val="bottom"/>
          </w:tcPr>
          <w:p>
            <w:pPr>
              <w:jc w:val="center"/>
              <w:ind w:left="3869"/>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320" w:type="dxa"/>
            <w:vAlign w:val="bottom"/>
          </w:tcPr>
          <w:p>
            <w:pPr>
              <w:jc w:val="center"/>
              <w:ind w:right="88"/>
              <w:spacing w:after="0"/>
              <w:rPr>
                <w:sz w:val="20"/>
                <w:szCs w:val="20"/>
                <w:color w:val="auto"/>
              </w:rPr>
            </w:pPr>
            <w:r>
              <w:rPr>
                <w:rFonts w:ascii="Arial" w:cs="Arial" w:eastAsia="Arial" w:hAnsi="Arial"/>
                <w:sz w:val="13"/>
                <w:szCs w:val="13"/>
                <w:b w:val="1"/>
                <w:bCs w:val="1"/>
                <w:color w:val="auto"/>
                <w:w w:val="89"/>
              </w:rPr>
              <w:t>Incorporation or Organization)</w:t>
            </w:r>
          </w:p>
        </w:tc>
        <w:tc>
          <w:tcPr>
            <w:tcW w:w="4920" w:type="dxa"/>
            <w:vAlign w:val="bottom"/>
          </w:tcPr>
          <w:p>
            <w:pPr>
              <w:jc w:val="center"/>
              <w:ind w:left="3869"/>
              <w:spacing w:after="0"/>
              <w:rPr>
                <w:sz w:val="20"/>
                <w:szCs w:val="20"/>
                <w:color w:val="auto"/>
              </w:rPr>
            </w:pPr>
            <w:r>
              <w:rPr>
                <w:rFonts w:ascii="Arial" w:cs="Arial" w:eastAsia="Arial" w:hAnsi="Arial"/>
                <w:sz w:val="13"/>
                <w:szCs w:val="13"/>
                <w:b w:val="1"/>
                <w:bCs w:val="1"/>
                <w:color w:val="auto"/>
                <w:w w:val="89"/>
              </w:rPr>
              <w:t>Identification No.)</w:t>
            </w:r>
          </w:p>
        </w:tc>
      </w:tr>
      <w:tr>
        <w:trPr>
          <w:trHeight w:val="218"/>
        </w:trPr>
        <w:tc>
          <w:tcPr>
            <w:tcW w:w="2320" w:type="dxa"/>
            <w:vAlign w:val="bottom"/>
          </w:tcPr>
          <w:p>
            <w:pPr>
              <w:jc w:val="center"/>
              <w:ind w:right="88"/>
              <w:spacing w:after="0"/>
              <w:rPr>
                <w:sz w:val="20"/>
                <w:szCs w:val="20"/>
                <w:color w:val="auto"/>
              </w:rPr>
            </w:pPr>
            <w:r>
              <w:rPr>
                <w:rFonts w:ascii="Arial" w:cs="Arial" w:eastAsia="Arial" w:hAnsi="Arial"/>
                <w:sz w:val="16"/>
                <w:szCs w:val="16"/>
                <w:b w:val="1"/>
                <w:bCs w:val="1"/>
                <w:color w:val="auto"/>
                <w:w w:val="92"/>
              </w:rPr>
              <w:t>2006 Route 130 North</w:t>
            </w:r>
          </w:p>
        </w:tc>
        <w:tc>
          <w:tcPr>
            <w:tcW w:w="4920" w:type="dxa"/>
            <w:vAlign w:val="bottom"/>
          </w:tcPr>
          <w:p>
            <w:pPr>
              <w:spacing w:after="0"/>
              <w:rPr>
                <w:sz w:val="18"/>
                <w:szCs w:val="18"/>
                <w:color w:val="auto"/>
              </w:rPr>
            </w:pPr>
          </w:p>
        </w:tc>
      </w:tr>
      <w:tr>
        <w:trPr>
          <w:trHeight w:val="198"/>
        </w:trPr>
        <w:tc>
          <w:tcPr>
            <w:tcW w:w="2320" w:type="dxa"/>
            <w:vAlign w:val="bottom"/>
          </w:tcPr>
          <w:p>
            <w:pPr>
              <w:jc w:val="center"/>
              <w:ind w:right="68"/>
              <w:spacing w:after="0"/>
              <w:rPr>
                <w:sz w:val="20"/>
                <w:szCs w:val="20"/>
                <w:color w:val="auto"/>
              </w:rPr>
            </w:pPr>
            <w:r>
              <w:rPr>
                <w:rFonts w:ascii="Arial" w:cs="Arial" w:eastAsia="Arial" w:hAnsi="Arial"/>
                <w:sz w:val="16"/>
                <w:szCs w:val="16"/>
                <w:b w:val="1"/>
                <w:bCs w:val="1"/>
                <w:color w:val="auto"/>
                <w:w w:val="91"/>
              </w:rPr>
              <w:t>Burlington, New Jersey</w:t>
            </w:r>
          </w:p>
        </w:tc>
        <w:tc>
          <w:tcPr>
            <w:tcW w:w="4920" w:type="dxa"/>
            <w:vAlign w:val="bottom"/>
          </w:tcPr>
          <w:p>
            <w:pPr>
              <w:jc w:val="right"/>
              <w:ind w:right="209"/>
              <w:spacing w:after="0"/>
              <w:rPr>
                <w:sz w:val="20"/>
                <w:szCs w:val="20"/>
                <w:color w:val="auto"/>
              </w:rPr>
            </w:pPr>
            <w:r>
              <w:rPr>
                <w:rFonts w:ascii="Arial" w:cs="Arial" w:eastAsia="Arial" w:hAnsi="Arial"/>
                <w:sz w:val="16"/>
                <w:szCs w:val="16"/>
                <w:b w:val="1"/>
                <w:bCs w:val="1"/>
                <w:color w:val="auto"/>
              </w:rPr>
              <w:t>08016</w:t>
            </w:r>
          </w:p>
        </w:tc>
      </w:tr>
      <w:tr>
        <w:trPr>
          <w:trHeight w:val="164"/>
        </w:trPr>
        <w:tc>
          <w:tcPr>
            <w:tcW w:w="2320" w:type="dxa"/>
            <w:vAlign w:val="bottom"/>
          </w:tcPr>
          <w:p>
            <w:pPr>
              <w:jc w:val="center"/>
              <w:ind w:right="8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920" w:type="dxa"/>
            <w:vAlign w:val="bottom"/>
          </w:tcPr>
          <w:p>
            <w:pPr>
              <w:jc w:val="center"/>
              <w:ind w:left="3869"/>
              <w:spacing w:after="0"/>
              <w:rPr>
                <w:sz w:val="20"/>
                <w:szCs w:val="20"/>
                <w:color w:val="auto"/>
              </w:rPr>
            </w:pPr>
            <w:r>
              <w:rPr>
                <w:rFonts w:ascii="Arial" w:cs="Arial" w:eastAsia="Arial" w:hAnsi="Arial"/>
                <w:sz w:val="13"/>
                <w:szCs w:val="13"/>
                <w:b w:val="1"/>
                <w:bCs w:val="1"/>
                <w:color w:val="auto"/>
                <w:w w:val="90"/>
              </w:rPr>
              <w:t>(Zip Code)</w:t>
            </w:r>
          </w:p>
        </w:tc>
      </w:tr>
      <w:tr>
        <w:trPr>
          <w:trHeight w:val="214"/>
        </w:trPr>
        <w:tc>
          <w:tcPr>
            <w:tcW w:w="2320" w:type="dxa"/>
            <w:vAlign w:val="bottom"/>
          </w:tcPr>
          <w:p>
            <w:pPr>
              <w:spacing w:after="0"/>
              <w:rPr>
                <w:sz w:val="18"/>
                <w:szCs w:val="18"/>
                <w:color w:val="auto"/>
              </w:rPr>
            </w:pPr>
          </w:p>
        </w:tc>
        <w:tc>
          <w:tcPr>
            <w:tcW w:w="4920" w:type="dxa"/>
            <w:vAlign w:val="bottom"/>
          </w:tcPr>
          <w:p>
            <w:pPr>
              <w:jc w:val="right"/>
              <w:ind w:right="2769"/>
              <w:spacing w:after="0"/>
              <w:rPr>
                <w:sz w:val="20"/>
                <w:szCs w:val="20"/>
                <w:color w:val="auto"/>
              </w:rPr>
            </w:pPr>
            <w:r>
              <w:rPr>
                <w:rFonts w:ascii="Arial" w:cs="Arial" w:eastAsia="Arial" w:hAnsi="Arial"/>
                <w:sz w:val="16"/>
                <w:szCs w:val="16"/>
                <w:b w:val="1"/>
                <w:bCs w:val="1"/>
                <w:color w:val="auto"/>
              </w:rPr>
              <w:t>(609) 387-7800</w:t>
            </w:r>
          </w:p>
        </w:tc>
      </w:tr>
      <w:tr>
        <w:trPr>
          <w:trHeight w:val="164"/>
        </w:trPr>
        <w:tc>
          <w:tcPr>
            <w:tcW w:w="2320" w:type="dxa"/>
            <w:vAlign w:val="bottom"/>
          </w:tcPr>
          <w:p>
            <w:pPr>
              <w:spacing w:after="0"/>
              <w:rPr>
                <w:sz w:val="14"/>
                <w:szCs w:val="14"/>
                <w:color w:val="auto"/>
              </w:rPr>
            </w:pPr>
          </w:p>
        </w:tc>
        <w:tc>
          <w:tcPr>
            <w:tcW w:w="4920" w:type="dxa"/>
            <w:vAlign w:val="bottom"/>
          </w:tcPr>
          <w:p>
            <w:pPr>
              <w:jc w:val="center"/>
              <w:ind w:right="1729"/>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3000" w:type="dxa"/>
            <w:vAlign w:val="bottom"/>
            <w:gridSpan w:val="2"/>
          </w:tcPr>
          <w:p>
            <w:pPr>
              <w:jc w:val="center"/>
              <w:ind w:right="1959"/>
              <w:spacing w:after="0"/>
              <w:rPr>
                <w:sz w:val="20"/>
                <w:szCs w:val="20"/>
                <w:color w:val="auto"/>
              </w:rPr>
            </w:pPr>
            <w:r>
              <w:rPr>
                <w:rFonts w:ascii="Arial" w:cs="Arial" w:eastAsia="Arial" w:hAnsi="Arial"/>
                <w:sz w:val="13"/>
                <w:szCs w:val="13"/>
                <w:b w:val="1"/>
                <w:bCs w:val="1"/>
                <w:color w:val="auto"/>
                <w:w w:val="85"/>
              </w:rPr>
              <w:t>Title of each class</w:t>
            </w:r>
          </w:p>
        </w:tc>
        <w:tc>
          <w:tcPr>
            <w:tcW w:w="2400" w:type="dxa"/>
            <w:vAlign w:val="bottom"/>
            <w:gridSpan w:val="4"/>
          </w:tcPr>
          <w:p>
            <w:pPr>
              <w:jc w:val="center"/>
              <w:ind w:left="97"/>
              <w:spacing w:after="0"/>
              <w:rPr>
                <w:sz w:val="20"/>
                <w:szCs w:val="20"/>
                <w:color w:val="auto"/>
              </w:rPr>
            </w:pPr>
            <w:r>
              <w:rPr>
                <w:rFonts w:ascii="Arial" w:cs="Arial" w:eastAsia="Arial" w:hAnsi="Arial"/>
                <w:sz w:val="13"/>
                <w:szCs w:val="13"/>
                <w:b w:val="1"/>
                <w:bCs w:val="1"/>
                <w:color w:val="auto"/>
                <w:w w:val="87"/>
              </w:rPr>
              <w:t>Trading Symbol(s)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80" w:type="dxa"/>
            <w:vAlign w:val="bottom"/>
            <w:gridSpan w:val="2"/>
          </w:tcPr>
          <w:p>
            <w:pPr>
              <w:ind w:left="540"/>
              <w:spacing w:after="0"/>
              <w:rPr>
                <w:sz w:val="20"/>
                <w:szCs w:val="20"/>
                <w:color w:val="auto"/>
              </w:rPr>
            </w:pPr>
            <w:r>
              <w:rPr>
                <w:rFonts w:ascii="Arial" w:cs="Arial" w:eastAsia="Arial" w:hAnsi="Arial"/>
                <w:sz w:val="13"/>
                <w:szCs w:val="13"/>
                <w:b w:val="1"/>
                <w:bCs w:val="1"/>
                <w:color w:val="auto"/>
                <w:w w:val="84"/>
              </w:rPr>
              <w:t>Name of each exchange on which registered</w:t>
            </w:r>
          </w:p>
        </w:tc>
        <w:tc>
          <w:tcPr>
            <w:tcW w:w="0" w:type="dxa"/>
            <w:vAlign w:val="bottom"/>
          </w:tcPr>
          <w:p>
            <w:pPr>
              <w:spacing w:after="0"/>
              <w:rPr>
                <w:sz w:val="1"/>
                <w:szCs w:val="1"/>
                <w:color w:val="auto"/>
              </w:rPr>
            </w:pPr>
          </w:p>
        </w:tc>
      </w:tr>
      <w:tr>
        <w:trPr>
          <w:trHeight w:val="204"/>
        </w:trPr>
        <w:tc>
          <w:tcPr>
            <w:tcW w:w="1500" w:type="dxa"/>
            <w:vAlign w:val="bottom"/>
          </w:tcPr>
          <w:p>
            <w:pPr>
              <w:ind w:left="460"/>
              <w:spacing w:after="0"/>
              <w:rPr>
                <w:sz w:val="20"/>
                <w:szCs w:val="20"/>
                <w:color w:val="auto"/>
              </w:rPr>
            </w:pPr>
            <w:r>
              <w:rPr>
                <w:rFonts w:ascii="Arial" w:cs="Arial" w:eastAsia="Arial" w:hAnsi="Arial"/>
                <w:sz w:val="16"/>
                <w:szCs w:val="16"/>
                <w:b w:val="1"/>
                <w:bCs w:val="1"/>
                <w:color w:val="auto"/>
                <w:w w:val="83"/>
              </w:rPr>
              <w:t>Common Stock,</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par value $</w:t>
            </w:r>
          </w:p>
        </w:tc>
        <w:tc>
          <w:tcPr>
            <w:tcW w:w="2040" w:type="dxa"/>
            <w:vAlign w:val="bottom"/>
          </w:tcPr>
          <w:p>
            <w:pPr>
              <w:spacing w:after="0"/>
              <w:rPr>
                <w:sz w:val="20"/>
                <w:szCs w:val="20"/>
                <w:color w:val="auto"/>
              </w:rPr>
            </w:pPr>
            <w:r>
              <w:rPr>
                <w:rFonts w:ascii="Arial" w:cs="Arial" w:eastAsia="Arial" w:hAnsi="Arial"/>
                <w:sz w:val="16"/>
                <w:szCs w:val="16"/>
                <w:b w:val="1"/>
                <w:bCs w:val="1"/>
                <w:color w:val="auto"/>
              </w:rPr>
              <w:t>0.0001 per share</w:t>
            </w:r>
          </w:p>
        </w:tc>
        <w:tc>
          <w:tcPr>
            <w:tcW w:w="7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BURL</w:t>
            </w:r>
          </w:p>
        </w:tc>
        <w:tc>
          <w:tcPr>
            <w:tcW w:w="6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New York Stock Exchange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0" w:type="dxa"/>
            <w:vAlign w:val="bottom"/>
            <w:gridSpan w:val="9"/>
          </w:tcPr>
          <w:p>
            <w:pPr>
              <w:ind w:left="98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73"/>
        </w:trPr>
        <w:tc>
          <w:tcPr>
            <w:tcW w:w="1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0" w:type="dxa"/>
            <w:vAlign w:val="bottom"/>
          </w:tcPr>
          <w:p>
            <w:pPr>
              <w:spacing w:after="0"/>
              <w:rPr>
                <w:sz w:val="6"/>
                <w:szCs w:val="6"/>
                <w:color w:val="auto"/>
              </w:rPr>
            </w:pPr>
          </w:p>
        </w:tc>
        <w:tc>
          <w:tcPr>
            <w:tcW w:w="2880" w:type="dxa"/>
            <w:vAlign w:val="bottom"/>
            <w:gridSpan w:val="2"/>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7"/>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No</w:t>
            </w:r>
          </w:p>
        </w:tc>
        <w:tc>
          <w:tcPr>
            <w:tcW w:w="2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No</w:t>
            </w:r>
          </w:p>
        </w:tc>
        <w:tc>
          <w:tcPr>
            <w:tcW w:w="288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8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8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080" w:type="dxa"/>
            <w:vAlign w:val="bottom"/>
          </w:tcPr>
          <w:p>
            <w:pPr>
              <w:ind w:left="28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6"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80"/>
        <w:spacing w:after="0" w:line="246" w:lineRule="auto"/>
        <w:rPr>
          <w:sz w:val="20"/>
          <w:szCs w:val="20"/>
          <w:color w:val="auto"/>
        </w:rPr>
      </w:pPr>
      <w:r>
        <w:rPr>
          <w:rFonts w:ascii="Arial" w:cs="Arial" w:eastAsia="Arial" w:hAnsi="Arial"/>
          <w:sz w:val="14"/>
          <w:szCs w:val="14"/>
          <w:color w:val="auto"/>
        </w:rPr>
        <w:t>The aggregate market value of the common stock held by non-affiliates of the registrant on August 2, 2019, the last business day of the registrant’s most recently completed second fiscal quarter, was $11,637,817,686. The aggregate market value was computed by reference to the closing price of the common stock on such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there were 65,892,508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380"/>
        <w:spacing w:after="0" w:line="243" w:lineRule="auto"/>
        <w:rPr>
          <w:sz w:val="20"/>
          <w:szCs w:val="20"/>
          <w:color w:val="auto"/>
        </w:rPr>
      </w:pPr>
      <w:r>
        <w:rPr>
          <w:rFonts w:ascii="Arial" w:cs="Arial" w:eastAsia="Arial" w:hAnsi="Arial"/>
          <w:sz w:val="14"/>
          <w:szCs w:val="14"/>
          <w:color w:val="auto"/>
        </w:rPr>
        <w:t>Certain provisions of the registrant’s definitive proxy statement for the 2020 Annual Meeting of Stockholders, to be filed within 120 days of the close of the registrant’s 2019 fiscal year, are incorporated by reference in Part III of this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jc w:val="center"/>
        <w:ind w:left="900"/>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INDEX TO REPORT ON FORM 10-K</w:t>
      </w:r>
    </w:p>
    <w:p>
      <w:pPr>
        <w:spacing w:after="0" w:line="20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 THE FISCAL YEAR ENDED FEBRUARY 1, 2020</w:t>
      </w:r>
    </w:p>
    <w:p>
      <w:pPr>
        <w:spacing w:after="0" w:line="288"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6350</wp:posOffset>
            </wp:positionV>
            <wp:extent cx="1739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640" w:type="dxa"/>
            <w:vAlign w:val="bottom"/>
            <w:tcBorders>
              <w:bottom w:val="single" w:sz="8" w:color="0000EE"/>
            </w:tcBorders>
          </w:tcPr>
          <w:p>
            <w:pPr>
              <w:spacing w:after="0" w:line="186" w:lineRule="exact"/>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480" w:type="dxa"/>
            <w:vAlign w:val="bottom"/>
            <w:gridSpan w:val="4"/>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31"/>
        </w:trPr>
        <w:tc>
          <w:tcPr>
            <w:tcW w:w="11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140" w:type="dxa"/>
            <w:vAlign w:val="bottom"/>
            <w:gridSpan w:val="20"/>
          </w:tcPr>
          <w:p>
            <w:pPr>
              <w:spacing w:after="0"/>
              <w:rPr>
                <w:sz w:val="24"/>
                <w:szCs w:val="24"/>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5880" w:type="dxa"/>
            <w:vAlign w:val="bottom"/>
            <w:gridSpan w:val="17"/>
          </w:tcPr>
          <w:p>
            <w:pPr>
              <w:spacing w:after="0"/>
              <w:rPr>
                <w:sz w:val="18"/>
                <w:szCs w:val="18"/>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67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4740" w:type="dxa"/>
            <w:vAlign w:val="bottom"/>
            <w:gridSpan w:val="10"/>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678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678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r>
      <w:tr>
        <w:trPr>
          <w:trHeight w:val="331"/>
        </w:trPr>
        <w:tc>
          <w:tcPr>
            <w:tcW w:w="1120" w:type="dxa"/>
            <w:vAlign w:val="bottom"/>
            <w:gridSpan w:val="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420" w:type="dxa"/>
            <w:vAlign w:val="bottom"/>
            <w:gridSpan w:val="3"/>
          </w:tcPr>
          <w:p>
            <w:pPr>
              <w:spacing w:after="0"/>
              <w:rPr>
                <w:sz w:val="24"/>
                <w:szCs w:val="24"/>
                <w:color w:val="auto"/>
              </w:rPr>
            </w:pPr>
          </w:p>
        </w:tc>
        <w:tc>
          <w:tcPr>
            <w:tcW w:w="67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w:t>
              </w:r>
            </w:hyperlink>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678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20" w:type="dxa"/>
            <w:vAlign w:val="bottom"/>
            <w:gridSpan w:val="3"/>
          </w:tcPr>
          <w:p>
            <w:pPr>
              <w:spacing w:after="0"/>
              <w:rPr>
                <w:sz w:val="18"/>
                <w:szCs w:val="18"/>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420" w:type="dxa"/>
            <w:vAlign w:val="bottom"/>
            <w:gridSpan w:val="5"/>
          </w:tcPr>
          <w:p>
            <w:pPr>
              <w:spacing w:after="0"/>
              <w:rPr>
                <w:sz w:val="18"/>
                <w:szCs w:val="18"/>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678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780" w:type="dxa"/>
            <w:vAlign w:val="bottom"/>
            <w:gridSpan w:val="22"/>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Changes in and Disagreements With Accountants on Accounting and Financial Disclosure</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280" w:type="dxa"/>
            <w:vAlign w:val="bottom"/>
            <w:gridSpan w:val="2"/>
          </w:tcPr>
          <w:p>
            <w:pPr>
              <w:spacing w:after="0"/>
              <w:rPr>
                <w:sz w:val="18"/>
                <w:szCs w:val="18"/>
                <w:color w:val="auto"/>
              </w:rPr>
            </w:pPr>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020" w:type="dxa"/>
            <w:vAlign w:val="bottom"/>
            <w:gridSpan w:val="12"/>
          </w:tcPr>
          <w:p>
            <w:pPr>
              <w:spacing w:after="0"/>
              <w:rPr>
                <w:sz w:val="18"/>
                <w:szCs w:val="18"/>
                <w:color w:val="auto"/>
              </w:rPr>
            </w:pPr>
          </w:p>
        </w:tc>
      </w:tr>
      <w:tr>
        <w:trPr>
          <w:trHeight w:val="331"/>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7"/>
        </w:trPr>
        <w:tc>
          <w:tcPr>
            <w:tcW w:w="11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678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2700" w:type="dxa"/>
            <w:vAlign w:val="bottom"/>
            <w:gridSpan w:val="6"/>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67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Security Ownership of Certain Beneficial Owners and Management and Related Stockholder</w:t>
              </w:r>
            </w:hyperlink>
          </w:p>
        </w:tc>
        <w:tc>
          <w:tcPr>
            <w:tcW w:w="80" w:type="dxa"/>
            <w:vAlign w:val="bottom"/>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gridSpan w:val="2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Matters</w:t>
              </w:r>
            </w:hyperlink>
          </w:p>
        </w:tc>
      </w:tr>
      <w:tr>
        <w:trPr>
          <w:trHeight w:val="20"/>
        </w:trPr>
        <w:tc>
          <w:tcPr>
            <w:tcW w:w="7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6780" w:type="dxa"/>
            <w:vAlign w:val="bottom"/>
            <w:gridSpan w:val="2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r>
      <w:tr>
        <w:trPr>
          <w:trHeight w:val="209"/>
        </w:trPr>
        <w:tc>
          <w:tcPr>
            <w:tcW w:w="11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1340" w:type="dxa"/>
            <w:vAlign w:val="bottom"/>
            <w:gridSpan w:val="4"/>
          </w:tcPr>
          <w:p>
            <w:pPr>
              <w:spacing w:after="0"/>
              <w:rPr>
                <w:sz w:val="18"/>
                <w:szCs w:val="18"/>
                <w:color w:val="auto"/>
              </w:rPr>
            </w:pPr>
          </w:p>
        </w:tc>
      </w:tr>
      <w:tr>
        <w:trPr>
          <w:trHeight w:val="331"/>
        </w:trPr>
        <w:tc>
          <w:tcPr>
            <w:tcW w:w="1120" w:type="dxa"/>
            <w:vAlign w:val="bottom"/>
            <w:gridSpan w:val="5"/>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80" w:type="dxa"/>
            <w:vAlign w:val="bottom"/>
            <w:gridSpan w:val="2"/>
          </w:tcPr>
          <w:p>
            <w:pPr>
              <w:spacing w:after="0"/>
              <w:rPr>
                <w:sz w:val="24"/>
                <w:szCs w:val="24"/>
                <w:color w:val="auto"/>
              </w:rPr>
            </w:pP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and Financial Statement Schedules</w:t>
              </w:r>
            </w:hyperlink>
          </w:p>
        </w:tc>
        <w:tc>
          <w:tcPr>
            <w:tcW w:w="3620" w:type="dxa"/>
            <w:vAlign w:val="bottom"/>
            <w:gridSpan w:val="8"/>
          </w:tcPr>
          <w:p>
            <w:pPr>
              <w:spacing w:after="0"/>
              <w:rPr>
                <w:sz w:val="24"/>
                <w:szCs w:val="24"/>
                <w:color w:val="auto"/>
              </w:rPr>
            </w:pPr>
          </w:p>
        </w:tc>
      </w:tr>
      <w:tr>
        <w:trPr>
          <w:trHeight w:val="344"/>
        </w:trPr>
        <w:tc>
          <w:tcPr>
            <w:tcW w:w="11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678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93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94</w:t>
      </w:r>
    </w:p>
    <w:p>
      <w:pPr>
        <w:sectPr>
          <w:pgSz w:w="11900" w:h="16838" w:orient="portrait"/>
          <w:cols w:equalWidth="0" w:num="2">
            <w:col w:w="10340" w:space="720"/>
            <w:col w:w="18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595"/>
        <w:spacing w:after="0" w:line="285" w:lineRule="auto"/>
        <w:rPr>
          <w:sz w:val="20"/>
          <w:szCs w:val="20"/>
          <w:color w:val="auto"/>
        </w:rPr>
      </w:pPr>
      <w:r>
        <w:rPr>
          <w:rFonts w:ascii="Arial" w:cs="Arial" w:eastAsia="Arial" w:hAnsi="Arial"/>
          <w:sz w:val="16"/>
          <w:szCs w:val="16"/>
          <w:color w:val="auto"/>
        </w:rPr>
        <w:t>This Annual Report contains forward-looking statements that are based on current expectations, estimates, forecasts and projections about us, the industry in which we operate and other matters, as well as management’s beliefs and assumptions.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as amended (Securities Act), and Section 21E of the Securities Exchange Act of 1934, as amended (the Exchange Act). All statements other than statements of historical fact are forward-looking statements. These forward-looking statements may relate to such matters as our future actions, including expected store openings, ongoing strategic initiatives and the intended results of those initiatives, future performance or results of current and anticipated sales, expenses, interest rates, foreign exchange rates and results and the outcome of contingencies such as legal proceedings. Our forward-looking statements are subject to risks and uncertainties. Actual events or results may differ materially from the events or results anticipated in these forward-looking statements as a result of a variety of factors, including each of the factors discussed in Item 1A, Risk Factors as well as risks and uncertainties discussed elsewhere in this Annual Report. While we believe that our assumptions are reasonable, we caution that it is very difficult to predict the impact of known factors, and it is impossible for us to anticipate all factors that could affect our actual future events or results. In light of these risks and uncertainties, the forward-looking events and circumstances discussed in this Annual Report might not occur.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are a nationally recognized retailer of high-quality, branded merchandise at everyday low prices. We opened our first store in Burlington, New Jersey in 1972, selling primarily coats and outerwear. Since then, we have expanded our store base to 727 stores as of February 1, 2020, inclusive of an internet store, in 45 states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merchandise acquired directly from nationally recognized manufacturers and other suppliers.</w:t>
      </w:r>
    </w:p>
    <w:p>
      <w:pPr>
        <w:spacing w:after="0" w:line="192" w:lineRule="exact"/>
        <w:rPr>
          <w:sz w:val="20"/>
          <w:szCs w:val="20"/>
          <w:color w:val="auto"/>
        </w:rPr>
      </w:pPr>
    </w:p>
    <w:p>
      <w:pPr>
        <w:ind w:right="280" w:firstLine="510"/>
        <w:spacing w:after="0" w:line="279" w:lineRule="auto"/>
        <w:rPr>
          <w:sz w:val="20"/>
          <w:szCs w:val="20"/>
          <w:color w:val="auto"/>
        </w:rPr>
      </w:pPr>
      <w:r>
        <w:rPr>
          <w:rFonts w:ascii="Arial" w:cs="Arial" w:eastAsia="Arial" w:hAnsi="Arial"/>
          <w:sz w:val="17"/>
          <w:szCs w:val="17"/>
          <w:color w:val="auto"/>
        </w:rPr>
        <w:t>As used in this Annual Report, the terms “Company,” “we,” “us,” or “our” refer to Burlington Stores, Inc. and all of its subsidiaries. We were organized in 2013 under the name Burlington Holdings, Inc. and currently exist as a Delaware corporation. Our indirect wholly-owned subsidiary, Burlington Coat Factory Warehouse Corporation (BCFWC), was initially organized in 1972 as a New Jersey corporation, was reincorporated in 1983 in Delaware, and currently exists as a Florida corporation. We completed an initial public offering of our common stock in October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define our fiscal year as the 52- or 53-week period ending on the Saturday closest to January 31. This is an annual report for the 52-week fiscal year ended February 1, 2020 (Fiscal 2019). The fiscal years ended February 2, 2019 (Fiscal 2018) and February 3, 2018 (Fiscal 2017) consisted of 52 weeks and 53 weeks,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121"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color w:val="auto"/>
        </w:rPr>
        <w:t>Over 99% of our net sales are derived from stores we operate as Burlington Stores. We believe that our customers are attracted to our stores principally by the availability of a large assortment of first-quality, current, brand-name merchandise at everyday low prices.</w:t>
      </w:r>
    </w:p>
    <w:p>
      <w:pPr>
        <w:spacing w:after="0" w:line="14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Burlington Stores offer customers a complete line of merchandise, including: women’s ready-to-wear apparel, accessories, footwear, menswear, youth apparel, baby, home, coats, beauty, toys and gifts. Our broad selection provides a wide range of apparel, accessories and furnishings for all ages. We purchase both pre-season and in-season merchandise, allowing us to respond timely to changing market conditions and consumer fashion preferences. Furthermore, we believe Burlington Stores’ substantial selection of staple, destination products attracts customers from beyond our local trade areas. We believe these products drive incremental store traffic and differentiate us from our competitors.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right="360" w:firstLine="510"/>
        <w:spacing w:after="0" w:line="259" w:lineRule="auto"/>
        <w:rPr>
          <w:sz w:val="20"/>
          <w:szCs w:val="20"/>
          <w:color w:val="auto"/>
        </w:rPr>
      </w:pPr>
      <w:r>
        <w:rPr>
          <w:rFonts w:ascii="Arial" w:cs="Arial" w:eastAsia="Arial" w:hAnsi="Arial"/>
          <w:sz w:val="18"/>
          <w:szCs w:val="18"/>
          <w:color w:val="auto"/>
        </w:rPr>
        <w:t>We believe the breadth of our selection and our ability to successfully operate in stores of varying square footage represents a competitive advantage. We believe that, as we continue to reduce our comparable store inventory, we will be able to reduce the square footage of our stores while continuing to maintain our broad assortment. As a result, we believe major landlords seek us as a tenant because the appeal of our merchandise profile attracts a desired customer base.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store base is geographically diversified with stores located in 45 states and Puerto Rico as set forth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Number of Stores</w:t>
            </w:r>
          </w:p>
        </w:tc>
        <w:tc>
          <w:tcPr>
            <w:tcW w:w="88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Number of Stores</w:t>
            </w:r>
          </w:p>
        </w:tc>
        <w:tc>
          <w:tcPr>
            <w:tcW w:w="88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State</w:t>
            </w:r>
          </w:p>
        </w:tc>
        <w:tc>
          <w:tcPr>
            <w:tcW w:w="1440" w:type="dxa"/>
            <w:vAlign w:val="bottom"/>
          </w:tcPr>
          <w:p>
            <w:pPr>
              <w:ind w:left="160"/>
              <w:spacing w:after="0"/>
              <w:rPr>
                <w:sz w:val="20"/>
                <w:szCs w:val="20"/>
                <w:color w:val="auto"/>
              </w:rPr>
            </w:pPr>
            <w:r>
              <w:rPr>
                <w:rFonts w:ascii="Arial" w:cs="Arial" w:eastAsia="Arial" w:hAnsi="Arial"/>
                <w:sz w:val="14"/>
                <w:szCs w:val="14"/>
                <w:b w:val="1"/>
                <w:bCs w:val="1"/>
                <w:color w:val="auto"/>
              </w:rPr>
              <w:t>Number of Stores</w:t>
            </w:r>
          </w:p>
        </w:tc>
      </w:tr>
      <w:tr>
        <w:trPr>
          <w:trHeight w:val="223"/>
        </w:trPr>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AK</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8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7</w:t>
            </w:r>
          </w:p>
        </w:tc>
        <w:tc>
          <w:tcPr>
            <w:tcW w:w="8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NY</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47</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AL</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MA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OH</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30"/>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MD</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OK</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AZ</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ME</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OR</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MI</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PA</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34</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CO</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MN</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PR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29"/>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MO</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9</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RI</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DE</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MS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SC</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NC</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17</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SD</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GA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ND</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TN</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30"/>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IA</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NE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4</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TX</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ID</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NH</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UT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37</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NJ</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37</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VA</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IN</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NM</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WA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29"/>
        </w:trPr>
        <w:tc>
          <w:tcPr>
            <w:tcW w:w="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KS</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NV</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9</w:t>
            </w:r>
          </w:p>
        </w:tc>
        <w:tc>
          <w:tcPr>
            <w:tcW w:w="18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WI</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KY</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internet store is excluded from the above 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Expansion and Real Estate Strategy</w:t>
      </w:r>
    </w:p>
    <w:p>
      <w:pPr>
        <w:spacing w:after="0" w:line="121"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the availability of desirable locations with suitable structures and the negotiation of acceptable lease terms.</w:t>
      </w:r>
    </w:p>
    <w:p>
      <w:pPr>
        <w:spacing w:after="0" w:line="165"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We have a proven track record of new store expansion. Our store base has grown from 13 stores in 1980 to 727 stores, inclusive of an internet store, as of February 1, 2020. If we identify appropriate locations, we believe that we will be able to execute our growth strategy without significantly impacting our current stores. We have identified numerous market opportunities that we believe will allow us to operate at least 1,000 stores over the long-term. The table below shows our store openings and closings each of the last three fiscal years.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 2019</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2018</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 2017</w:t>
            </w:r>
          </w:p>
        </w:tc>
      </w:tr>
      <w:tr>
        <w:trPr>
          <w:trHeight w:val="223"/>
        </w:trPr>
        <w:tc>
          <w:tcPr>
            <w:tcW w:w="1140" w:type="dxa"/>
            <w:vAlign w:val="bottom"/>
          </w:tcPr>
          <w:p>
            <w:pPr>
              <w:spacing w:after="0"/>
              <w:rPr>
                <w:sz w:val="19"/>
                <w:szCs w:val="19"/>
                <w:color w:val="auto"/>
              </w:rPr>
            </w:pPr>
          </w:p>
        </w:tc>
        <w:tc>
          <w:tcPr>
            <w:tcW w:w="5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Stores (beginning of period)</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Stores opened(a)(b)</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Stores closed(a)</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6480" w:type="dxa"/>
            <w:vAlign w:val="bottom"/>
            <w:gridSpan w:val="3"/>
          </w:tcPr>
          <w:p>
            <w:pPr>
              <w:ind w:left="1140"/>
              <w:spacing w:after="0"/>
              <w:rPr>
                <w:sz w:val="20"/>
                <w:szCs w:val="20"/>
                <w:color w:val="auto"/>
              </w:rPr>
            </w:pPr>
            <w:r>
              <w:rPr>
                <w:rFonts w:ascii="Arial" w:cs="Arial" w:eastAsia="Arial" w:hAnsi="Arial"/>
                <w:sz w:val="18"/>
                <w:szCs w:val="18"/>
                <w:color w:val="auto"/>
              </w:rPr>
              <w:t>Stores (end of period)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
        </w:trPr>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Exclusive of relocations.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Stores opened during Fiscal 2019 had an average size of 42,000 square feet.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Warehousing</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four distribution centers that shipped approximately 98% of merchandise units to our stores in Fiscal 2019. The remaining 2% of merchandise units are drop shipped by our vendors directly to our stores. Our two east coast distribution centers are located in Edgewater Park, New Jersey and Burlington, New Jersey. Our two west coast distribution centers are located in San Bernardino, California and Redlands, California. These four distribution centers occupy an aggregate of 2,884,000 square feet,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 w:name="page5"/>
    <w:bookmarkEnd w:id="4"/>
    <w:p>
      <w:pPr>
        <w:ind w:right="40"/>
        <w:spacing w:after="0" w:line="277" w:lineRule="auto"/>
        <w:rPr>
          <w:sz w:val="20"/>
          <w:szCs w:val="20"/>
          <w:color w:val="auto"/>
        </w:rPr>
      </w:pPr>
      <w:r>
        <w:rPr>
          <w:rFonts w:ascii="Arial" w:cs="Arial" w:eastAsia="Arial" w:hAnsi="Arial"/>
          <w:sz w:val="18"/>
          <w:szCs w:val="18"/>
          <w:color w:val="auto"/>
        </w:rPr>
        <w:t>each includes processing, shipping and storage capabilities. In addition, we entered into a lease for an additional distribution center in Riverside, California occupying approximately 900,000 square feet, which is expected to become operational during Fiscal 2020.</w:t>
      </w:r>
    </w:p>
    <w:p>
      <w:pPr>
        <w:spacing w:after="0" w:line="62" w:lineRule="exact"/>
        <w:rPr>
          <w:sz w:val="20"/>
          <w:szCs w:val="20"/>
          <w:color w:val="auto"/>
        </w:rPr>
      </w:pPr>
    </w:p>
    <w:p>
      <w:pPr>
        <w:jc w:val="both"/>
        <w:ind w:right="120" w:firstLine="510"/>
        <w:spacing w:after="0" w:line="277" w:lineRule="auto"/>
        <w:rPr>
          <w:sz w:val="20"/>
          <w:szCs w:val="20"/>
          <w:color w:val="auto"/>
        </w:rPr>
      </w:pPr>
      <w:r>
        <w:rPr>
          <w:rFonts w:ascii="Arial" w:cs="Arial" w:eastAsia="Arial" w:hAnsi="Arial"/>
          <w:sz w:val="18"/>
          <w:szCs w:val="18"/>
          <w:color w:val="auto"/>
        </w:rPr>
        <w:t>In addition to the distribution centers that we operate, we have arrangements with third parties for the use of pool point facilities, which we believe streamline and optimize our distribution network</w:t>
      </w:r>
    </w:p>
    <w:p>
      <w:pPr>
        <w:spacing w:after="0" w:line="6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We also operate three warehousing facilities to support our distribution centers. The east coast has two supporting warehouses in Burlington, New Jersey. The west coast has one supporting warehouse in Redlands, California. These three warehousing facilities occupy an aggregate of 1,456,000 square feet and primarily serve as storage facilities.</w:t>
      </w:r>
    </w:p>
    <w:p>
      <w:pPr>
        <w:spacing w:after="0" w:line="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addition, as of February 1, 2020, we occupied approximately 180,000 square feet of space at a third-party logistics center in Plainfield, Indiana to support our e-commerce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are committed to providing our customers with an enjoyable shopping experience in stores that are clean, neat and easy to shop. In training our employees, our goal is to emphasize knowledgeable, friendly customer service and a sense of professional pride. We offer our customers special services in most of our stores, such as layaway, to enhance the convenience of their shopping experience.</w:t>
      </w:r>
    </w:p>
    <w:p>
      <w:pPr>
        <w:spacing w:after="0" w:line="184"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We have empowered our store teams to provide an outstanding customer experience for every customer in every store, every day. We have streamlined processes and will continue to strive to create opportunities for fast and friendly customer interactions. Our goal for our stores is to reflect clean, organized merchandise presentations that highlight the brands, value and diversity of selection within our assortments.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Off-Price Sourcing and Merchandising Model</w:t>
      </w:r>
    </w:p>
    <w:p>
      <w:pPr>
        <w:spacing w:after="0" w:line="121"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Our “open to buy” off-price model enables us to provide our customers with products that are nationally branded, fashionable, high quality and priced right. We have an experienced team of General Merchandise Managers, Divisional Merchandise Managers and buyers focused on improving comparable store inventory turnover, inventory age and freshness of merchandise.</w:t>
      </w:r>
    </w:p>
    <w:p>
      <w:pPr>
        <w:spacing w:after="0" w:line="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continue to improve the quality of our brand portfolio, driven by the growth of our merchandising team, excellent product availability, and a vendor community increasingly committed to grow with Burlington. We carry many different brands, none of which accounted for more than 2% of our net purchases during Fiscal 2019, Fiscal 2018 or Fiscal 2017. We have no long-term purchase commitments or arrangements with any of our suppliers, and believe that we are not dependent on any one supplier. We continue to have good working relationships with our suppliers.</w:t>
      </w:r>
    </w:p>
    <w:p>
      <w:pPr>
        <w:spacing w:after="0" w:line="17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have designed our merchant organization so that buyers focus primarily on buying, planners focus primarily on planning, and information systems help inform data-driven decisions for both groups. Buyers are in the market each week and focus on purchasing great products for great value. We seek to purchase a majority of our merchandise in-season. Buyers spend time interacting face-to-face with new and existing vendors and on continuously evaluating trends in the market to which we believe our customers would respond positively. Our buyers use a merchant scorecard that rates products across four key attributes—fashion, quality, brand and price—to help formalize a framework for buying decisions.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ind w:firstLine="510"/>
        <w:spacing w:after="0" w:line="277" w:lineRule="auto"/>
        <w:rPr>
          <w:sz w:val="20"/>
          <w:szCs w:val="20"/>
          <w:color w:val="auto"/>
        </w:rPr>
      </w:pPr>
      <w:r>
        <w:rPr>
          <w:rFonts w:ascii="Arial" w:cs="Arial" w:eastAsia="Arial" w:hAnsi="Arial"/>
          <w:sz w:val="18"/>
          <w:szCs w:val="18"/>
          <w:color w:val="auto"/>
        </w:rPr>
        <w:t>Our merchandising model allows us to provide our customers with a wide breadth of product categories. Sales percentage by major product category is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Fiscal 2019(a)</w:t>
            </w: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2018(a)</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Fiscal 2017(a)</w:t>
            </w:r>
          </w:p>
        </w:tc>
        <w:tc>
          <w:tcPr>
            <w:tcW w:w="18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Women’s ready-to-wear apparel</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Accessories and footwear</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29"/>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Menswear</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29"/>
        </w:trPr>
        <w:tc>
          <w:tcPr>
            <w:tcW w:w="5100" w:type="dxa"/>
            <w:vAlign w:val="bottom"/>
            <w:gridSpan w:val="2"/>
          </w:tcPr>
          <w:p>
            <w:pPr>
              <w:spacing w:after="0"/>
              <w:rPr>
                <w:sz w:val="20"/>
                <w:szCs w:val="20"/>
                <w:color w:val="auto"/>
              </w:rPr>
            </w:pPr>
            <w:r>
              <w:rPr>
                <w:rFonts w:ascii="Arial" w:cs="Arial" w:eastAsia="Arial" w:hAnsi="Arial"/>
                <w:sz w:val="18"/>
                <w:szCs w:val="18"/>
                <w:color w:val="auto"/>
              </w:rPr>
              <w:t>Youth apparel/baby</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Home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Coats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191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may not foot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We employ an online strategy focused on increasing awareness of the breadth of our merchandise selection, great brands and values, as well as driving traffic to our stores. We execute our strategy through our website and through social media platforms such as Facebook and Twitter. We are in the process of winding down the sales of merchandise (other than gift cards) from our website. The website will transition from an e-commerce platform to an engaging online site filled with inspirational content, showcasing the great finds found in our stores at a great value. Merchandise sold directly from our website represented approximately 0.5% of our total sales in Fiscal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Demographic</w:t>
      </w:r>
    </w:p>
    <w:p>
      <w:pPr>
        <w:spacing w:after="0" w:line="121"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Our core customer is the 25-49 year old woman, with an average annual household income of $25,000-$100,000. The core customer is educated, resides in mid- to large-sized metropolitan areas and is a brand conscious fashion enthusiast. This customer shops for herself, her family, and her home. We appeal to value seeking and fashion conscious customers who are price-driven but enjoy the style and fit of high-quality, branded merchandise.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We use a variety of broad-based and targeted marketing strategies to efficiently deliver the right message to the targeted audience at the right time. These strategies include national television, direct mail, email, digital and social marketing, local radio and out-of-home communications. Our broad television broadcast communication and reach is balanced with relevant customer contacts to increase frequency of store visits.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Label Credit Card</w:t>
      </w:r>
    </w:p>
    <w:p>
      <w:pPr>
        <w:spacing w:after="0" w:line="12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During Fiscal 2019, we launched a private label credit card program. The program has been rolled out to all of our stores. We believe this program has the potential to deepen customer loyalty, inform customer contact strategies, and drive increases in trip frequency and transaction size.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 and Processes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utilize a combination of industry-standard third party and internally developed information technology and system solutions to support our business functions. We continually evaluate and implement business system technologies and solutions that enhance the consistency of our execution and improve the scalability of business system functions. We utilize standard methodologies to evaluate new initiatives across our entire organization and make data-driven decisions that support our growth and cost management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U.S. retail apparel and home furnishings markets are highly fragmented and competitive.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for business with department stores, off-price retailers, specialty stores, online retailers,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stores.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are the owner of certain registered and common law trademarks, service marks and tradenames (collectively referred to as the Marks) that we use in connection with our business. Our Marks include, but are not limited to, “Burlington Stores,” “BCF,” “Burlington,” “Burlington Coat Factory,” “Cohoes,” “Luxury Linens,” “MJM Designer Shoes,” “B” and “Baby Depot.” We consider these Marks and the accompanying name recognition to be valuable to our business. We believe that our rights to these properties are adequately protected. Our rights in these trademarks endure for as long as they are used.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As of February 1, 2020, we employed approximately 47,000 people, including part-time and seasonal employees. Our staffing requirements fluctuate during the year as a result of the seasonality of our business. We hire additional employees and increase the hours of part-time employees during seasonal peak selling periods. As of February 1, 2020, employees at one of our stores were subject to a collective bargaining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are subject to the reporting requirements of the Exchange Act. Therefore, we file reports, proxy statements and other information with the Securities and Exchange Commission (SEC). The SEC maintains a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 including us.</w:t>
      </w:r>
    </w:p>
    <w:p>
      <w:pPr>
        <w:spacing w:after="0" w:line="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You can access financial and other information about us in the Investor Relations page of our website at </w:t>
      </w:r>
      <w:r>
        <w:rPr>
          <w:rFonts w:ascii="Arial" w:cs="Arial" w:eastAsia="Arial" w:hAnsi="Arial"/>
          <w:sz w:val="18"/>
          <w:szCs w:val="18"/>
          <w:u w:val="single" w:color="auto"/>
          <w:color w:val="auto"/>
        </w:rPr>
        <w:t>www.burlingtoninvestors.com</w:t>
      </w:r>
      <w:r>
        <w:rPr>
          <w:rFonts w:ascii="Arial" w:cs="Arial" w:eastAsia="Arial" w:hAnsi="Arial"/>
          <w:sz w:val="18"/>
          <w:szCs w:val="18"/>
          <w:color w:val="auto"/>
        </w:rPr>
        <w:t>.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Investors and others should note that we currently announce material information using SEC filings, press releases, public conference calls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webcasts. In the future, we will continue to use these channels to distribute material information about the Company, and may also utilize our website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and/or various social media sites to communicate important information about the Company, key personnel, new brands and services, trends, new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marketing campaigns, corporate initiatives and other matters. Information that we post on our website or on social media channels could be deemed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 therefore, we encourage investors, the media, our customers, business partners and others interested in the Company to review the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posted on our website, as well as the following social media channels: Facebook (</w:t>
      </w:r>
      <w:r>
        <w:rPr>
          <w:rFonts w:ascii="Arial" w:cs="Arial" w:eastAsia="Arial" w:hAnsi="Arial"/>
          <w:sz w:val="18"/>
          <w:szCs w:val="18"/>
          <w:u w:val="single" w:color="auto"/>
          <w:color w:val="auto"/>
        </w:rPr>
        <w:t>https://www.facebook.com/BurlingtonStores</w:t>
      </w:r>
      <w:r>
        <w:rPr>
          <w:rFonts w:ascii="Arial" w:cs="Arial" w:eastAsia="Arial" w:hAnsi="Arial"/>
          <w:sz w:val="18"/>
          <w:szCs w:val="18"/>
          <w:color w:val="auto"/>
        </w:rPr>
        <w:t>) and Twitter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https://twitter.com/burlington</w:t>
      </w:r>
      <w:r>
        <w:rPr>
          <w:rFonts w:ascii="Arial" w:cs="Arial" w:eastAsia="Arial" w:hAnsi="Arial"/>
          <w:sz w:val="16"/>
          <w:szCs w:val="16"/>
          <w:color w:val="auto"/>
        </w:rPr>
        <w:t>). Any updates to the list of social media channels we may use to communicate material information will be posted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 Relations page of our website at </w:t>
      </w:r>
      <w:r>
        <w:rPr>
          <w:rFonts w:ascii="Arial" w:cs="Arial" w:eastAsia="Arial" w:hAnsi="Arial"/>
          <w:sz w:val="18"/>
          <w:szCs w:val="18"/>
          <w:u w:val="single" w:color="auto"/>
          <w:color w:val="auto"/>
        </w:rPr>
        <w:t>www.burlingtoninvestors.com</w:t>
      </w:r>
      <w:r>
        <w:rPr>
          <w:rFonts w:ascii="Arial" w:cs="Arial" w:eastAsia="Arial" w:hAnsi="Arial"/>
          <w:sz w:val="18"/>
          <w:szCs w:val="18"/>
          <w:color w:val="auto"/>
        </w:rPr>
        <w:t>.</w:t>
      </w:r>
    </w:p>
    <w:p>
      <w:pPr>
        <w:spacing w:after="0" w:line="103"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information contained on, or accessible through, our website and these social media channels is not part of this Annual Report and is therefore not incorporated by reference. The references to our website and these social media channels are intended to be inactive textual references only.</w:t>
      </w:r>
    </w:p>
    <w:p>
      <w:pPr>
        <w:spacing w:after="0" w:line="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572"/>
        <w:spacing w:after="0" w:line="272" w:lineRule="auto"/>
        <w:rPr>
          <w:sz w:val="20"/>
          <w:szCs w:val="20"/>
          <w:color w:val="auto"/>
        </w:rPr>
      </w:pPr>
      <w:r>
        <w:rPr>
          <w:rFonts w:ascii="Arial" w:cs="Arial" w:eastAsia="Arial" w:hAnsi="Arial"/>
          <w:sz w:val="17"/>
          <w:szCs w:val="17"/>
          <w:color w:val="auto"/>
        </w:rPr>
        <w:t>Set forth below are certain important risks and uncertainties that could adversely affect our results of operations, financial condition or cash flows and cause our actual results to differ materially from those expressed in forward-looking statements made by us. Although we believe that we have identified and discussed below the key risk factors affecting our business, there may be additional risks and uncertainties that are not presently known or that are not currently believed to be significant that may adversely affect our results of operations, financial condition or cash flows. Before making an investment decision, you should carefully consider the risks and uncertainties described below together with all of the other information included or incorporated by reference in this Annual Report. If we are not successful in managing these risks and uncertainties, they could have a negative impact on our results of operations, financial condition and cash flows.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Risks Related to Our Business and Our Substantial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or consumer spending could adversely affect our business.</w:t>
      </w:r>
    </w:p>
    <w:p>
      <w:pPr>
        <w:spacing w:after="0" w:line="117" w:lineRule="exact"/>
        <w:rPr>
          <w:sz w:val="20"/>
          <w:szCs w:val="20"/>
          <w:color w:val="auto"/>
        </w:rPr>
      </w:pPr>
    </w:p>
    <w:p>
      <w:pPr>
        <w:ind w:firstLine="595"/>
        <w:spacing w:after="0" w:line="288" w:lineRule="auto"/>
        <w:rPr>
          <w:sz w:val="20"/>
          <w:szCs w:val="20"/>
          <w:color w:val="auto"/>
        </w:rPr>
      </w:pPr>
      <w:r>
        <w:rPr>
          <w:rFonts w:ascii="Arial" w:cs="Arial" w:eastAsia="Arial" w:hAnsi="Arial"/>
          <w:sz w:val="16"/>
          <w:szCs w:val="16"/>
          <w:color w:val="auto"/>
        </w:rPr>
        <w:t>Consumer spending habits, including spending for the merchandise that we sell, are affected by, among other things, 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taxes and healthcare. The outbreak or escalation of war, or the occurrence of terrorist acts or other hostilities in or affecting the U.S. could lead to a decrease in spending by consumers. In addition, natural disasters, industrial accidents, acts of war, and public health issues such as pandemics or epidemics could have the effect of disrupting supplies and raising prices globally which, in turn, may have adverse effects on the world and U.S. economies and lead to a downturn in consumer confidence and spending.</w:t>
      </w:r>
    </w:p>
    <w:p>
      <w:pPr>
        <w:spacing w:after="0" w:line="60" w:lineRule="exact"/>
        <w:rPr>
          <w:sz w:val="20"/>
          <w:szCs w:val="20"/>
          <w:color w:val="auto"/>
        </w:rPr>
      </w:pPr>
    </w:p>
    <w:p>
      <w:pPr>
        <w:ind w:firstLine="595"/>
        <w:spacing w:after="0" w:line="290" w:lineRule="auto"/>
        <w:rPr>
          <w:sz w:val="20"/>
          <w:szCs w:val="20"/>
          <w:color w:val="auto"/>
        </w:rPr>
      </w:pPr>
      <w:r>
        <w:rPr>
          <w:rFonts w:ascii="Arial" w:cs="Arial" w:eastAsia="Arial" w:hAnsi="Arial"/>
          <w:sz w:val="16"/>
          <w:szCs w:val="16"/>
          <w:color w:val="auto"/>
        </w:rPr>
        <w:t>Concerns are rapidly growing about the outbreak of a novel strain of coronavirus (COVID-19) that was first reported in China in December 2019. Since then, the virus has spread to over 100 countries, including the U.S. The number of people ill with or dying of a viral pneumonia caused by the virus is rising rapidly, despite quarantines of millions of people and other measures to try to stop it or slow its spread. As the pandemic continues to grow, consumer fear about becoming ill with the virus and recommendations and/or mandates from federal, state and local authorities to avoid large gatherings of people or self-quarantine may continue to increase, which may adversely affect traffic to our stores. Any significant reduction in customer visits to, and spending at, our stores caused by COVID-19 would result in a loss of sales and profits and other material adverse effects. The extent of the impact of COVID-19 on our business and financial results will depend largely on future developments, including the duration and spread of the outbreak within the U.S. and the related impact on consumer confidence and spending, all of which are highly uncertain and cannot be predicted.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from other retailers that could adversely affect our business.</w:t>
      </w:r>
    </w:p>
    <w:p>
      <w:pPr>
        <w:spacing w:after="0" w:line="117" w:lineRule="exact"/>
        <w:rPr>
          <w:sz w:val="20"/>
          <w:szCs w:val="20"/>
          <w:color w:val="auto"/>
        </w:rPr>
      </w:pPr>
    </w:p>
    <w:p>
      <w:pPr>
        <w:ind w:right="20" w:firstLine="599"/>
        <w:spacing w:after="0" w:line="254" w:lineRule="auto"/>
        <w:rPr>
          <w:sz w:val="20"/>
          <w:szCs w:val="20"/>
          <w:color w:val="auto"/>
        </w:rPr>
      </w:pPr>
      <w:r>
        <w:rPr>
          <w:rFonts w:ascii="Arial" w:cs="Arial" w:eastAsia="Arial" w:hAnsi="Arial"/>
          <w:sz w:val="18"/>
          <w:szCs w:val="18"/>
          <w:color w:val="auto"/>
        </w:rPr>
        <w:t>The retail sector is highly competitive, and retailers are constantly adjusting their business models, promotional activities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retailers for customers, vendors, suitable store locations and personnel. In order to increase traffic and drive consumer spending, competitors, including department stores, mass merchants and specialty apparel stores, have been offering brand-name merchandise at substantial markdowns. Continuation of this trend, or the possible effect on consumer buying patterns that improving economic conditions could have, may cause consumer demand to shift from off-price retailers to other retail categories, which could have a material adverse effect on our business, financial condition and results of operations.</w:t>
      </w:r>
    </w:p>
    <w:p>
      <w:pPr>
        <w:spacing w:after="0" w:line="84" w:lineRule="exact"/>
        <w:rPr>
          <w:sz w:val="20"/>
          <w:szCs w:val="20"/>
          <w:color w:val="auto"/>
        </w:rPr>
      </w:pPr>
    </w:p>
    <w:p>
      <w:pPr>
        <w:ind w:right="20" w:firstLine="595"/>
        <w:spacing w:after="0" w:line="273" w:lineRule="auto"/>
        <w:rPr>
          <w:sz w:val="20"/>
          <w:szCs w:val="20"/>
          <w:color w:val="auto"/>
        </w:rPr>
      </w:pPr>
      <w:r>
        <w:rPr>
          <w:rFonts w:ascii="Arial" w:cs="Arial" w:eastAsia="Arial" w:hAnsi="Arial"/>
          <w:sz w:val="17"/>
          <w:szCs w:val="17"/>
          <w:color w:val="auto"/>
        </w:rPr>
        <w:t>Certain traditional, full-price retail chains have developed off-price concepts, which may directly compete with our business. Our competitors, including such retail chains,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obtaining the products we sell may become increasingly difficult, competition for customers may increase, and our competitive position and our business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growth plans or successfully implement our long-range strategic goals.</w:t>
      </w:r>
    </w:p>
    <w:p>
      <w:pPr>
        <w:spacing w:after="0" w:line="117" w:lineRule="exact"/>
        <w:rPr>
          <w:sz w:val="20"/>
          <w:szCs w:val="20"/>
          <w:color w:val="auto"/>
        </w:rPr>
      </w:pPr>
    </w:p>
    <w:p>
      <w:pPr>
        <w:ind w:right="40" w:firstLine="595"/>
        <w:spacing w:after="0" w:line="273" w:lineRule="auto"/>
        <w:rPr>
          <w:sz w:val="20"/>
          <w:szCs w:val="20"/>
          <w:color w:val="auto"/>
        </w:rPr>
      </w:pPr>
      <w:r>
        <w:rPr>
          <w:rFonts w:ascii="Arial" w:cs="Arial" w:eastAsia="Arial" w:hAnsi="Arial"/>
          <w:sz w:val="17"/>
          <w:szCs w:val="17"/>
          <w:color w:val="auto"/>
        </w:rPr>
        <w:t>Our growth largely depends on our ability to successfully open and operate new stores, as well as to expand our distribution capabilities in order to support that growth. We intend to open 54 net new stores in 2020, while refreshing, remodeling or relocating a portion of our existing store base annually. The success of these strategies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availability of financing, the hiring, training and retention of competent sales personnel, and the effective management of inventory to meet the needs of new and existing stores on a timely basis.</w:t>
      </w:r>
    </w:p>
    <w:p>
      <w:pPr>
        <w:spacing w:after="0" w:line="70" w:lineRule="exact"/>
        <w:rPr>
          <w:sz w:val="20"/>
          <w:szCs w:val="20"/>
          <w:color w:val="auto"/>
        </w:rPr>
      </w:pPr>
    </w:p>
    <w:p>
      <w:pPr>
        <w:ind w:right="140" w:firstLine="572"/>
        <w:spacing w:after="0" w:line="259" w:lineRule="auto"/>
        <w:rPr>
          <w:sz w:val="20"/>
          <w:szCs w:val="20"/>
          <w:color w:val="auto"/>
        </w:rPr>
      </w:pPr>
      <w:r>
        <w:rPr>
          <w:rFonts w:ascii="Arial" w:cs="Arial" w:eastAsia="Arial" w:hAnsi="Arial"/>
          <w:sz w:val="18"/>
          <w:szCs w:val="18"/>
          <w:color w:val="auto"/>
        </w:rPr>
        <w:t>Notably, as we continue to evolve our off-price model, we plan on more effectively chasing the sales trend, making greater investments in our merchandising capabilities, operating with leaner inventories, improving operational flexibility, and challenging expenses, among other things. Executing these initiatives while also maintaining the current pace of our expansion may place increased demands on our operational, managerial and administrative resources. These initiatives may require us to increase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right="780"/>
        <w:spacing w:after="0" w:line="277" w:lineRule="auto"/>
        <w:rPr>
          <w:sz w:val="20"/>
          <w:szCs w:val="20"/>
          <w:color w:val="auto"/>
        </w:rPr>
      </w:pPr>
      <w:r>
        <w:rPr>
          <w:rFonts w:ascii="Arial" w:cs="Arial" w:eastAsia="Arial" w:hAnsi="Arial"/>
          <w:sz w:val="18"/>
          <w:szCs w:val="18"/>
          <w:color w:val="auto"/>
        </w:rPr>
        <w:t>number of merchants and other associates we employ, modify how we manage our liquidity and inventory, as well as to monitor and upgrade our management information and other systems and our distribution infrastructure.</w:t>
      </w:r>
    </w:p>
    <w:p>
      <w:pPr>
        <w:spacing w:after="0" w:line="62" w:lineRule="exact"/>
        <w:rPr>
          <w:sz w:val="20"/>
          <w:szCs w:val="20"/>
          <w:color w:val="auto"/>
        </w:rPr>
      </w:pPr>
    </w:p>
    <w:p>
      <w:pPr>
        <w:ind w:right="80" w:firstLine="637"/>
        <w:spacing w:after="0" w:line="263" w:lineRule="auto"/>
        <w:rPr>
          <w:sz w:val="20"/>
          <w:szCs w:val="20"/>
          <w:color w:val="auto"/>
        </w:rPr>
      </w:pPr>
      <w:r>
        <w:rPr>
          <w:rFonts w:ascii="Arial" w:cs="Arial" w:eastAsia="Arial" w:hAnsi="Arial"/>
          <w:sz w:val="18"/>
          <w:szCs w:val="18"/>
          <w:color w:val="auto"/>
        </w:rPr>
        <w:t>We may not be able to successfully execute our growth and other strategies on a timely basis or at all. If we fail to implement these strategies successfully, if we cannot keep up with the pace required for execution, or if these strategies do not yield the desired outcomes, our financial condition and results of operations would be adversely affected.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net sales, operating income and inventory levels fluctuate on a seasonal basis, and decreases in sales or margins during our peak seasons could have a disproportionate effect on our overall financial condition and results of operations.</w:t>
      </w:r>
    </w:p>
    <w:p>
      <w:pPr>
        <w:spacing w:after="0" w:line="62" w:lineRule="exact"/>
        <w:rPr>
          <w:sz w:val="20"/>
          <w:szCs w:val="20"/>
          <w:color w:val="auto"/>
        </w:rPr>
      </w:pPr>
    </w:p>
    <w:p>
      <w:pPr>
        <w:jc w:val="both"/>
        <w:ind w:firstLine="595"/>
        <w:spacing w:after="0" w:line="296" w:lineRule="auto"/>
        <w:rPr>
          <w:sz w:val="20"/>
          <w:szCs w:val="20"/>
          <w:color w:val="auto"/>
        </w:rPr>
      </w:pPr>
      <w:r>
        <w:rPr>
          <w:rFonts w:ascii="Arial" w:cs="Arial" w:eastAsia="Arial" w:hAnsi="Arial"/>
          <w:sz w:val="16"/>
          <w:szCs w:val="16"/>
          <w:color w:val="auto"/>
        </w:rPr>
        <w:t>Our net sales and operating income fluctuate seasonally, with a higher level of our operating income typically realized during the second half of the year.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 reduction in traffic to, or the closing of, the other destination retailers in the shopping areas where our stores are located could significantly reduce our sales and leave us with excess inventory, which could have a material adverse effect on our business, financial condition, profitability and cash flows.</w:t>
      </w:r>
    </w:p>
    <w:p>
      <w:pPr>
        <w:spacing w:after="0" w:line="76" w:lineRule="exact"/>
        <w:rPr>
          <w:sz w:val="20"/>
          <w:szCs w:val="20"/>
          <w:color w:val="auto"/>
        </w:rPr>
      </w:pPr>
    </w:p>
    <w:p>
      <w:pPr>
        <w:ind w:firstLine="595"/>
        <w:spacing w:after="0" w:line="290" w:lineRule="auto"/>
        <w:rPr>
          <w:sz w:val="20"/>
          <w:szCs w:val="20"/>
          <w:color w:val="auto"/>
        </w:rPr>
      </w:pPr>
      <w:r>
        <w:rPr>
          <w:rFonts w:ascii="Arial" w:cs="Arial" w:eastAsia="Arial" w:hAnsi="Arial"/>
          <w:sz w:val="16"/>
          <w:szCs w:val="16"/>
          <w:color w:val="auto"/>
        </w:rPr>
        <w:t>Many of our stores are strategically located in off-mall shopping areas known as “power centers.” Power centers typically contain three to five big-box anchor stores along with a variety of smaller specialty tenants. Due to many of our stores being located in such shopping areas, our sales are derived, in part, from the volume of traffic generated by the other destination retailers and the anchor stores in power centers where our stores are located. Customer traffic to these shopping areas may be adversely affected by the closing of such destination retailers or anchor stores, or by a reduction in traffic to such stores resulting from a regional or global economic downturn, a general downturn in the local area where our store is located, or a decline in the desirability of the shopping environment of a particular power center. Such a reduction in customer traffic would reduce our sales and leave us with excess inventory, which could have a material adverse effect on our business, financial condition, profitability and cash flows. We may respond by increasing markdowns or transferring product to other stores to reduce excess inventory, which would further decrease our gross profits and net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execute our opportunistic buying and inventory management process could adversely affect our business.</w:t>
      </w:r>
    </w:p>
    <w:p>
      <w:pPr>
        <w:spacing w:after="0" w:line="117" w:lineRule="exact"/>
        <w:rPr>
          <w:sz w:val="20"/>
          <w:szCs w:val="20"/>
          <w:color w:val="auto"/>
        </w:rPr>
      </w:pPr>
    </w:p>
    <w:p>
      <w:pPr>
        <w:ind w:right="80" w:firstLine="595"/>
        <w:spacing w:after="0" w:line="288" w:lineRule="auto"/>
        <w:rPr>
          <w:sz w:val="20"/>
          <w:szCs w:val="20"/>
          <w:color w:val="auto"/>
        </w:rPr>
      </w:pPr>
      <w:r>
        <w:rPr>
          <w:rFonts w:ascii="Arial" w:cs="Arial" w:eastAsia="Arial" w:hAnsi="Arial"/>
          <w:sz w:val="16"/>
          <w:szCs w:val="16"/>
          <w:color w:val="auto"/>
        </w:rPr>
        <w:t>We purchase the majority of our inventory opportunistically, with our buyers purchasing close to need. Establishing the “treasure hunt” nature of the off-price buying experience to drive traffic to our stores requires us to offer changing assortments of merchandise in our stores. While opportunistic purchasing provides our buyers the ability to buy at desirable times and prices, in the quantities we need and into market trends, it places considerable discretion with our buyers, which subjects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spacing w:after="0" w:line="60" w:lineRule="exact"/>
        <w:rPr>
          <w:sz w:val="20"/>
          <w:szCs w:val="20"/>
          <w:color w:val="auto"/>
        </w:rPr>
      </w:pPr>
    </w:p>
    <w:p>
      <w:pPr>
        <w:ind w:right="240" w:firstLine="640"/>
        <w:spacing w:after="0" w:line="273"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execute inventory localization initiatives, there could be disruptions in inventory flow and placement. Failure to effectively execute our opportunistic inventory buying and inventory management strategies could adversely affect our performance and our reputation.</w:t>
      </w:r>
    </w:p>
    <w:p>
      <w:pPr>
        <w:spacing w:after="0" w:line="70" w:lineRule="exact"/>
        <w:rPr>
          <w:sz w:val="20"/>
          <w:szCs w:val="20"/>
          <w:color w:val="auto"/>
        </w:rPr>
      </w:pPr>
    </w:p>
    <w:p>
      <w:pPr>
        <w:ind w:right="80" w:firstLine="595"/>
        <w:spacing w:after="0" w:line="301" w:lineRule="auto"/>
        <w:rPr>
          <w:sz w:val="20"/>
          <w:szCs w:val="20"/>
          <w:color w:val="auto"/>
        </w:rPr>
      </w:pPr>
      <w:r>
        <w:rPr>
          <w:rFonts w:ascii="Arial" w:cs="Arial" w:eastAsia="Arial" w:hAnsi="Arial"/>
          <w:sz w:val="16"/>
          <w:szCs w:val="16"/>
          <w:color w:val="auto"/>
        </w:rPr>
        <w:t>In addition to our own execution, we may need to react to factors affecting inventory flow that are outside our control, such as adverse weather, natural disasters, epidemics or pandemics (including COVID-19) or other changes in conditions affecting our vendors and others in our supply chain, such as political instability, labor issues (including strikes or threats of strikes and scarcity of labor) or increasing cost of regulations. If we are not able to adjust appropriately to such factors, our inventory management may be affected, which could impact our performance and our reputation.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Failure to identify customer trends and preferences to meet customer demand could negatively impact our performance and reputation.</w:t>
      </w:r>
    </w:p>
    <w:p>
      <w:pPr>
        <w:spacing w:after="0" w:line="129" w:lineRule="exact"/>
        <w:rPr>
          <w:sz w:val="20"/>
          <w:szCs w:val="20"/>
          <w:color w:val="auto"/>
        </w:rPr>
      </w:pPr>
    </w:p>
    <w:p>
      <w:pPr>
        <w:jc w:val="both"/>
        <w:ind w:right="40" w:firstLine="595"/>
        <w:spacing w:after="0" w:line="287" w:lineRule="auto"/>
        <w:rPr>
          <w:sz w:val="20"/>
          <w:szCs w:val="20"/>
          <w:color w:val="auto"/>
        </w:rPr>
      </w:pPr>
      <w:r>
        <w:rPr>
          <w:rFonts w:ascii="Arial" w:cs="Arial" w:eastAsia="Arial" w:hAnsi="Arial"/>
          <w:sz w:val="16"/>
          <w:szCs w:val="16"/>
          <w:color w:val="auto"/>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 challenging.</w:t>
      </w:r>
    </w:p>
    <w:p>
      <w:pPr>
        <w:spacing w:after="0" w:line="2" w:lineRule="exact"/>
        <w:rPr>
          <w:sz w:val="20"/>
          <w:szCs w:val="20"/>
          <w:color w:val="auto"/>
        </w:rPr>
      </w:pPr>
    </w:p>
    <w:p>
      <w:pPr>
        <w:ind w:right="520"/>
        <w:spacing w:after="0" w:line="277" w:lineRule="auto"/>
        <w:rPr>
          <w:sz w:val="20"/>
          <w:szCs w:val="20"/>
          <w:color w:val="auto"/>
        </w:rPr>
      </w:pPr>
      <w:r>
        <w:rPr>
          <w:rFonts w:ascii="Arial" w:cs="Arial" w:eastAsia="Arial" w:hAnsi="Arial"/>
          <w:sz w:val="17"/>
          <w:szCs w:val="17"/>
          <w:color w:val="auto"/>
        </w:rPr>
        <w:t>Although our flexible business model allows us to buy close to need and in response to consumer preferences and trends, and to expand and contract merchandise categories in response to consumers’ changing tastes, we may not do so successfully, which could adversely affect our sales and the markdowns required to move the resulting excess inventory will adversely affect our operating margins.</w:t>
      </w:r>
    </w:p>
    <w:p>
      <w:pPr>
        <w:spacing w:after="0" w:line="65" w:lineRule="exact"/>
        <w:rPr>
          <w:sz w:val="20"/>
          <w:szCs w:val="20"/>
          <w:color w:val="auto"/>
        </w:rPr>
      </w:pPr>
    </w:p>
    <w:p>
      <w:pPr>
        <w:ind w:firstLine="640"/>
        <w:spacing w:after="0" w:line="257" w:lineRule="auto"/>
        <w:rPr>
          <w:sz w:val="20"/>
          <w:szCs w:val="20"/>
          <w:color w:val="auto"/>
        </w:rPr>
      </w:pPr>
      <w:r>
        <w:rPr>
          <w:rFonts w:ascii="Arial" w:cs="Arial" w:eastAsia="Arial" w:hAnsi="Arial"/>
          <w:sz w:val="18"/>
          <w:szCs w:val="18"/>
          <w:color w:val="auto"/>
        </w:rPr>
        <w:t>Customers may also have expectations about how they shop in stores, or more generally engage with businesses across different channels or media (through internet-based and other digital or mobile channels or particular forms of social media), which may vary across demographics and may evolve rapidly. Customers are increasingly using technology and mobile devices to rapidly compare products and prices and to purchase products. Failure to effectively meet these changing expectations and demands, including any failure of the planned transformation of our e-commerce platform, may adversely impact our reputation and our financial results.</w:t>
      </w:r>
    </w:p>
    <w:p>
      <w:pPr>
        <w:spacing w:after="0" w:line="80" w:lineRule="exact"/>
        <w:rPr>
          <w:sz w:val="20"/>
          <w:szCs w:val="20"/>
          <w:color w:val="auto"/>
        </w:rPr>
      </w:pPr>
    </w:p>
    <w:p>
      <w:pPr>
        <w:ind w:right="20" w:firstLine="640"/>
        <w:spacing w:after="0" w:line="263" w:lineRule="auto"/>
        <w:rPr>
          <w:sz w:val="20"/>
          <w:szCs w:val="20"/>
          <w:color w:val="auto"/>
        </w:rPr>
      </w:pPr>
      <w:r>
        <w:rPr>
          <w:rFonts w:ascii="Arial" w:cs="Arial" w:eastAsia="Arial" w:hAnsi="Arial"/>
          <w:sz w:val="18"/>
          <w:szCs w:val="18"/>
          <w:color w:val="auto"/>
        </w:rPr>
        <w:t>Many stakeholders, including investors, customers, consumers and others, have increasingly focused on sustainability matters. If we do not (or are perceived not to) act responsibly with respect to any sustainability matters, our reputation could be harmed, which could negatively impact our business and results of operations.</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If we are unable to renew or replace our store leases or enter into leases for new stores on favorable terms, if our current leases are terminated prior to the expiration of their stated term and we cannot find suitable alternate locations, or if we cannot optimize our existing stores, our growth strategy and profitability could be negatively impacted.</w:t>
      </w:r>
    </w:p>
    <w:p>
      <w:pPr>
        <w:spacing w:after="0" w:line="76" w:lineRule="exact"/>
        <w:rPr>
          <w:sz w:val="20"/>
          <w:szCs w:val="20"/>
          <w:color w:val="auto"/>
        </w:rPr>
      </w:pPr>
    </w:p>
    <w:p>
      <w:pPr>
        <w:ind w:firstLine="595"/>
        <w:spacing w:after="0" w:line="287" w:lineRule="auto"/>
        <w:rPr>
          <w:sz w:val="20"/>
          <w:szCs w:val="20"/>
          <w:color w:val="auto"/>
        </w:rPr>
      </w:pPr>
      <w:r>
        <w:rPr>
          <w:rFonts w:ascii="Arial" w:cs="Arial" w:eastAsia="Arial" w:hAnsi="Arial"/>
          <w:sz w:val="16"/>
          <w:szCs w:val="16"/>
          <w:color w:val="auto"/>
        </w:rPr>
        <w:t>We lease substantially all of our store locations. Most of our current leases expire at various dates after ten-year terms, the majority of which are subject to our option to renew such leases for several additional five-year periods. While we have the right to terminate some of our leases under specified conditions, including by making specified payments, we may not be able to terminate a particular lease if or when we would like to close a particular store. If we decide to close stores, we are generally required to continue to perform obligations under the applicable leases, which generally include, among other things, paying rent and operating expenses for the balance of the lease term, or paying to exercise rights to terminate, and performing any of these obligations may be expensive. When we assign leases or sublease space to third parties, we may remain liable on the lease obligations, which could lead to significant expense if the assignee or sublessee does not perform. In addition, when the lease terms for the stores in our ongoing operations expire, our ability to renew such expiring leases on commercially acceptable terms or, if such leases cannot be renewed, our ability to lease a suitable alternative location, and our ability to enter into leases for new stores on favorable terms will each depend on many factors, some of which may not be within our control, such as conditions in the local real estate market, competition for desirable properties and our relationships with current and prospective lessors. As we renew and replace our store leases, we also strive to optimize the size of our existing stores to ensure maximum space utilization, which frequently means adjusting operations to accommodate smaller space through alternative floor plans and inventory turn optimization.</w:t>
      </w:r>
    </w:p>
    <w:p>
      <w:pPr>
        <w:spacing w:after="0" w:line="60" w:lineRule="exact"/>
        <w:rPr>
          <w:sz w:val="20"/>
          <w:szCs w:val="20"/>
          <w:color w:val="auto"/>
        </w:rPr>
      </w:pPr>
    </w:p>
    <w:p>
      <w:pPr>
        <w:ind w:right="120" w:firstLine="595"/>
        <w:spacing w:after="0" w:line="259" w:lineRule="auto"/>
        <w:rPr>
          <w:sz w:val="20"/>
          <w:szCs w:val="20"/>
          <w:color w:val="auto"/>
        </w:rPr>
      </w:pPr>
      <w:r>
        <w:rPr>
          <w:rFonts w:ascii="Arial" w:cs="Arial" w:eastAsia="Arial" w:hAnsi="Arial"/>
          <w:sz w:val="18"/>
          <w:szCs w:val="18"/>
          <w:color w:val="auto"/>
        </w:rPr>
        <w:t>In addition, to the extent that our new store openings are in existing markets, we may experience reduced net sales volumes in existing stores in those markets. We expect to fund some of our expansion through cash flow from operations, lease incentives from our lessors, and, if necessary, by borrowings under our line of credit. If we experience a decline in performance or lease payment allowances from our lessors become unavailable, we may slow or discontinue store openings, relocations, refreshes and/or remodels.</w:t>
      </w:r>
    </w:p>
    <w:p>
      <w:pPr>
        <w:spacing w:after="0" w:line="79" w:lineRule="exact"/>
        <w:rPr>
          <w:sz w:val="20"/>
          <w:szCs w:val="20"/>
          <w:color w:val="auto"/>
        </w:rPr>
      </w:pPr>
    </w:p>
    <w:p>
      <w:pPr>
        <w:ind w:right="60" w:firstLine="595"/>
        <w:spacing w:after="0" w:line="342" w:lineRule="auto"/>
        <w:rPr>
          <w:sz w:val="20"/>
          <w:szCs w:val="20"/>
          <w:color w:val="auto"/>
        </w:rPr>
      </w:pPr>
      <w:r>
        <w:rPr>
          <w:rFonts w:ascii="Arial" w:cs="Arial" w:eastAsia="Arial" w:hAnsi="Arial"/>
          <w:sz w:val="16"/>
          <w:szCs w:val="16"/>
          <w:color w:val="auto"/>
        </w:rPr>
        <w:t>If we are unable to effectively manage our existing portfolio of real estate leases, renew existing leases or lease suitable alternative locations, enter into leases for new stores on favorable terms, or optimize our existing stores, our growth and profitability may be negatively impacted.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right="260"/>
        <w:spacing w:after="0" w:line="277" w:lineRule="auto"/>
        <w:rPr>
          <w:sz w:val="20"/>
          <w:szCs w:val="20"/>
          <w:color w:val="auto"/>
        </w:rPr>
      </w:pPr>
      <w:r>
        <w:rPr>
          <w:rFonts w:ascii="Arial" w:cs="Arial" w:eastAsia="Arial" w:hAnsi="Arial"/>
          <w:sz w:val="18"/>
          <w:szCs w:val="18"/>
          <w:b w:val="1"/>
          <w:bCs w:val="1"/>
          <w:i w:val="1"/>
          <w:iCs w:val="1"/>
          <w:color w:val="auto"/>
        </w:rPr>
        <w:t>Extreme and/or unseasonable weather conditions, or catastrophic events could have a significant adverse effect on our business, financial condition and results of operations.</w:t>
      </w:r>
    </w:p>
    <w:p>
      <w:pPr>
        <w:spacing w:after="0" w:line="62" w:lineRule="exact"/>
        <w:rPr>
          <w:sz w:val="20"/>
          <w:szCs w:val="20"/>
          <w:color w:val="auto"/>
        </w:rPr>
      </w:pPr>
    </w:p>
    <w:p>
      <w:pPr>
        <w:ind w:firstLine="595"/>
        <w:spacing w:after="0" w:line="289" w:lineRule="auto"/>
        <w:rPr>
          <w:sz w:val="20"/>
          <w:szCs w:val="20"/>
          <w:color w:val="auto"/>
        </w:rPr>
      </w:pPr>
      <w:r>
        <w:rPr>
          <w:rFonts w:ascii="Arial" w:cs="Arial" w:eastAsia="Arial" w:hAnsi="Arial"/>
          <w:sz w:val="16"/>
          <w:szCs w:val="16"/>
          <w:color w:val="auto"/>
        </w:rPr>
        <w:t>Extreme weather conditions in the areas in which our stores or distribution centers are located – especially in areas with a high concentration of our stores – could have a material adverse effect on our business, financial condition and results of operations. For example, heavy snowfall or other extreme weather conditions over a prolonged period might make it difficult for our customers or employees to travel to our stores. In addition, natural disasters such as hurricanes, tornados, floods, earthquakes, and other extreme weather or climate conditions, or a combination of these or other factors, could severely damage or destroy one or more of our stores or distribution facilities located in the affected areas, or disrupt our computer systems, thereby disrupting our business operations. Any of these events or circumstances also could disrupt the operations of one or more of our vendors. Day-to-day operations, particularly our ability to receive products from our vendors or transport products to our stores, could be adversely affected, or we could be required to close stores. Finally, if the COVID-19 pandemic continues to grow within the U.S., we may decide or be required to temporarily close a significant number of our stores in various affected areas, which could have a material adverse effect on our business and results of operations.</w:t>
      </w:r>
    </w:p>
    <w:p>
      <w:pPr>
        <w:spacing w:after="0" w:line="58"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Our business is also susceptible to unseasonable weather conditions. For example, extended periods of unseasonably warm temperatures during the Fall or Winter seasons or cool weather during the Spring or Summer seasons could render a portion of our inventory incompatible with those unseasonable conditions, particularly in light of our historical product mix. These prolonged unseasonable weather conditions could adversely affect our business, financial condition and results of operations. In addition, because higher net sales historically have occurred during the second half of the year, unseasonably warm weather during these months could have a disproportionately large effect on our business and materially adversely affect our financial condition and results of operations.</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Since we do not have long-term contracts with our vendors, if we are unable to purchase attractive brand name merchandise in sufficient quantities at competitive prices, we may be unable to offer an appealing merchandise mix and our sales may be harmed.</w:t>
      </w:r>
    </w:p>
    <w:p>
      <w:pPr>
        <w:spacing w:after="0" w:line="38" w:lineRule="exact"/>
        <w:rPr>
          <w:sz w:val="20"/>
          <w:szCs w:val="20"/>
          <w:color w:val="auto"/>
        </w:rPr>
      </w:pPr>
    </w:p>
    <w:p>
      <w:pPr>
        <w:ind w:right="40" w:firstLine="595"/>
        <w:spacing w:after="0" w:line="290" w:lineRule="auto"/>
        <w:rPr>
          <w:sz w:val="20"/>
          <w:szCs w:val="20"/>
          <w:color w:val="auto"/>
        </w:rPr>
      </w:pPr>
      <w:r>
        <w:rPr>
          <w:rFonts w:ascii="Arial" w:cs="Arial" w:eastAsia="Arial" w:hAnsi="Arial"/>
          <w:sz w:val="16"/>
          <w:szCs w:val="16"/>
          <w:color w:val="auto"/>
        </w:rPr>
        <w:t>Our ability to purchase merchandise opportunistically from third party vendors depends upon the continuous, sufficient availability of high quality merchandise that we can acquire at prices sufficiently below those paid by conventional retailers in order to achieve the value proposition we strive to provide to our customers. Some of our key vendors may limit the number of retail channels they use to sell their merchandise, which may result in intense competition among retailers to obtain and sell these goods. In addition, most of the brands of our top vendors are sold by competing retailers and some of our top vendors also have their own dedicated retail stores.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Finally, if our vendors are better able to manage their inventory levels and reduce the amount of their excess inventory, the amount of high quality merchandise available to us could be materially reduced.</w:t>
      </w:r>
    </w:p>
    <w:p>
      <w:pPr>
        <w:spacing w:after="0" w:line="57" w:lineRule="exact"/>
        <w:rPr>
          <w:sz w:val="20"/>
          <w:szCs w:val="20"/>
          <w:color w:val="auto"/>
        </w:rPr>
      </w:pPr>
    </w:p>
    <w:p>
      <w:pPr>
        <w:ind w:right="20" w:firstLine="595"/>
        <w:spacing w:after="0" w:line="296" w:lineRule="auto"/>
        <w:rPr>
          <w:sz w:val="20"/>
          <w:szCs w:val="20"/>
          <w:color w:val="auto"/>
        </w:rPr>
      </w:pPr>
      <w:r>
        <w:rPr>
          <w:rFonts w:ascii="Arial" w:cs="Arial" w:eastAsia="Arial" w:hAnsi="Arial"/>
          <w:sz w:val="16"/>
          <w:szCs w:val="16"/>
          <w:color w:val="auto"/>
        </w:rPr>
        <w:t>If our relationships with our vendors are disrupted, we may not be able to acquire the merchandise we require in sufficient quantities or on terms acceptable to us. Any inability to acquire high quality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 ability to obtain desired merchandise in sufficient quantities. Such events include difficulties or problems associated with our vendors’ businesses, finances, labor, importation of products, costs, production, insurance and reputation.</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loss of executives or other key personnel or our failure to facilitate senior management smooth transitions may disrupt our business and adversely affect our financial results.</w:t>
      </w:r>
    </w:p>
    <w:p>
      <w:pPr>
        <w:spacing w:after="0" w:line="62" w:lineRule="exact"/>
        <w:rPr>
          <w:sz w:val="20"/>
          <w:szCs w:val="20"/>
          <w:color w:val="auto"/>
        </w:rPr>
      </w:pPr>
    </w:p>
    <w:p>
      <w:pPr>
        <w:ind w:right="100" w:firstLine="595"/>
        <w:spacing w:after="0" w:line="257" w:lineRule="auto"/>
        <w:rPr>
          <w:sz w:val="20"/>
          <w:szCs w:val="20"/>
          <w:color w:val="auto"/>
        </w:rPr>
      </w:pPr>
      <w:r>
        <w:rPr>
          <w:rFonts w:ascii="Arial" w:cs="Arial" w:eastAsia="Arial" w:hAnsi="Arial"/>
          <w:sz w:val="18"/>
          <w:szCs w:val="18"/>
          <w:color w:val="auto"/>
        </w:rPr>
        <w:t>We depend on the contributions of key personnel in various functions for our continued success. These executives and other key personnel may be hired by our competitors, some of which have considerably more financial resources than we do. The loss of key personnel, or the inability to hire, train, motivate and retain qualified employees, or changes to our organizational structure, operating results, or business model that adversely affect morale or retention, could adversely affect our business, financial condition and results of operations. Effective succession planning is also a key factor for our success.</w:t>
      </w:r>
    </w:p>
    <w:p>
      <w:pPr>
        <w:spacing w:after="0" w:line="80" w:lineRule="exact"/>
        <w:rPr>
          <w:sz w:val="20"/>
          <w:szCs w:val="20"/>
          <w:color w:val="auto"/>
        </w:rPr>
      </w:pPr>
    </w:p>
    <w:p>
      <w:pPr>
        <w:ind w:right="200" w:firstLine="595"/>
        <w:spacing w:after="0" w:line="296" w:lineRule="auto"/>
        <w:rPr>
          <w:sz w:val="20"/>
          <w:szCs w:val="20"/>
          <w:color w:val="auto"/>
        </w:rPr>
      </w:pPr>
      <w:r>
        <w:rPr>
          <w:rFonts w:ascii="Arial" w:cs="Arial" w:eastAsia="Arial" w:hAnsi="Arial"/>
          <w:sz w:val="16"/>
          <w:szCs w:val="16"/>
          <w:color w:val="auto"/>
        </w:rPr>
        <w:t>In Fiscal 2019, we experienced significant transitions among the Company’s senior management with the appointment of a new Chief Executive Officer and a new Chief Financial Officer. Our failure to enable the effective transfer of knowledge and facilitate smooth transitions with regard to these key personnel and others could adversely affect our strategic planning and execution and negatively affect our business, financial condition and results of operations. If we fail to enable the effective transfer of knowledge and facilitate smooth transitions for key personnel, the operating results and future growth for our business could be adversely affected, and the morale and productivity of the workforce could be disrupted.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Our failure to attract, train and retain quality employees and temporary personnel in appropriate numbers could adversely affect our business.</w:t>
      </w:r>
    </w:p>
    <w:p>
      <w:pPr>
        <w:spacing w:after="0" w:line="140" w:lineRule="exact"/>
        <w:rPr>
          <w:sz w:val="20"/>
          <w:szCs w:val="20"/>
          <w:color w:val="auto"/>
        </w:rPr>
      </w:pPr>
    </w:p>
    <w:p>
      <w:pPr>
        <w:ind w:right="120" w:firstLine="595"/>
        <w:spacing w:after="0" w:line="275" w:lineRule="auto"/>
        <w:rPr>
          <w:sz w:val="20"/>
          <w:szCs w:val="20"/>
          <w:color w:val="auto"/>
        </w:rPr>
      </w:pPr>
      <w:r>
        <w:rPr>
          <w:rFonts w:ascii="Arial" w:cs="Arial" w:eastAsia="Arial" w:hAnsi="Arial"/>
          <w:sz w:val="17"/>
          <w:szCs w:val="17"/>
          <w:color w:val="auto"/>
        </w:rPr>
        <w:t>Our performance depends on recruiting, developing, training and retaining quality sales, systems, distribution center and other employees in large numbers as well as experienced buying and management personnel, and we invest significant resources in training and motivating them to maintain a high level of job satisfaction. Many of our store employees are in entry level or part-time positions with historically high rates of turnover, which can lead to increased training and retention costs, particularly if employment opportunities increase. Availability and skill of employees may differ across markets in which we do business and in new markets we enter, and we need to manage our labor needs effectively.</w:t>
      </w:r>
    </w:p>
    <w:p>
      <w:pPr>
        <w:spacing w:after="0" w:line="68" w:lineRule="exact"/>
        <w:rPr>
          <w:sz w:val="20"/>
          <w:szCs w:val="20"/>
          <w:color w:val="auto"/>
        </w:rPr>
      </w:pPr>
    </w:p>
    <w:p>
      <w:pPr>
        <w:ind w:right="120" w:firstLine="595"/>
        <w:spacing w:after="0" w:line="257" w:lineRule="auto"/>
        <w:rPr>
          <w:sz w:val="20"/>
          <w:szCs w:val="20"/>
          <w:color w:val="auto"/>
        </w:rPr>
      </w:pPr>
      <w:r>
        <w:rPr>
          <w:rFonts w:ascii="Arial" w:cs="Arial" w:eastAsia="Arial" w:hAnsi="Arial"/>
          <w:sz w:val="18"/>
          <w:szCs w:val="18"/>
          <w:color w:val="auto"/>
        </w:rPr>
        <w:t>In addition, because of the distinctive nature of our off-price model, we must provide significant internal training and development for key employees across the company, including within our buying organization. Similar to other retailers, we face challenges in securing and retaining sufficient talent in management and other key areas for many reasons, including competition in the retail industry generally and for talent in various geographic markets. If we do not continue to attract qualified individuals, train them in our business model, support their development and retain them, our performance could be adversely affected or our growth could be limited.</w:t>
      </w:r>
    </w:p>
    <w:p>
      <w:pPr>
        <w:spacing w:after="0" w:line="80" w:lineRule="exact"/>
        <w:rPr>
          <w:sz w:val="20"/>
          <w:szCs w:val="20"/>
          <w:color w:val="auto"/>
        </w:rPr>
      </w:pPr>
    </w:p>
    <w:p>
      <w:pPr>
        <w:ind w:right="20" w:firstLine="595"/>
        <w:spacing w:after="0" w:line="290" w:lineRule="auto"/>
        <w:rPr>
          <w:sz w:val="20"/>
          <w:szCs w:val="20"/>
          <w:color w:val="auto"/>
        </w:rPr>
      </w:pPr>
      <w:r>
        <w:rPr>
          <w:rFonts w:ascii="Arial" w:cs="Arial" w:eastAsia="Arial" w:hAnsi="Arial"/>
          <w:sz w:val="16"/>
          <w:szCs w:val="16"/>
          <w:color w:val="auto"/>
        </w:rPr>
        <w:t>We are also dependent upon temporary personnel to adequately staff our stores and distribution facilities, with heightened dependence during busy periods such as the holiday season and when multiple new stores are opening. Although we strive to secure long-term contracts on favorable terms with our service providers and other vendors, we may not be able to avoid unexpected operating cost increases in the future, such as those associated with minimum wage increases or enhanced health care requirements. In addition, there can be no assurance that we will receive adequate assistance from our temporary personnel, or that there will be sufficient sources of suitable temporary personnel to meet our demand. Any such failure to meet our staffing needs or any material increases in associate turnover rates could have a material adverse effect on our business or results of operations. Further, any negative publicity regarding the agencies from which we source temporary personnel, such as in connection with immigration issues or employment practices, could damage our reputation, disrupt our ability to obtain needed labor or result in financial harm to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costs, including healthcare costs, and other challenges from our large workforce may adversely affect our results and profitability.</w:t>
      </w:r>
    </w:p>
    <w:p>
      <w:pPr>
        <w:spacing w:after="0" w:line="129" w:lineRule="exact"/>
        <w:rPr>
          <w:sz w:val="20"/>
          <w:szCs w:val="20"/>
          <w:color w:val="auto"/>
        </w:rPr>
      </w:pPr>
    </w:p>
    <w:p>
      <w:pPr>
        <w:ind w:firstLine="595"/>
        <w:spacing w:after="0" w:line="291" w:lineRule="auto"/>
        <w:rPr>
          <w:sz w:val="20"/>
          <w:szCs w:val="20"/>
          <w:color w:val="auto"/>
        </w:rPr>
      </w:pPr>
      <w:r>
        <w:rPr>
          <w:rFonts w:ascii="Arial" w:cs="Arial" w:eastAsia="Arial" w:hAnsi="Arial"/>
          <w:sz w:val="16"/>
          <w:szCs w:val="16"/>
          <w:color w:val="auto"/>
        </w:rPr>
        <w:t>We have a large workforce, and our ability to meet our labor needs while controlling costs, including costs of providing health, retirement and other associate benefits, is subject to various factors such as unemployment levels; prevailing wage rates and minimum wage requirements; participant benefit levels; economic conditions; interest rate changes; health and other insurance costs; and the regulatory environment, including health care legislation, and with respect to governmental labor and employment and associate benefits programs and requirements. When wage rates or benefit levels increase in the market or the unemployment rate is otherwise low, increasing our wages or benefits to compete for employees may cause our earnings to decrease, while failing to increase our wages or benefits competitively or reducing our wages or benefits could result in a decline in our ability to attract or retain employees or in the quality of our workforce, causing our customer service or performance to suffer, which could negatively impact our results.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Parties with whom we do business may be subject to insolvency risks or may otherwise become unable or unwilling to perform their obligations to us.</w:t>
      </w:r>
    </w:p>
    <w:p>
      <w:pPr>
        <w:spacing w:after="0" w:line="152" w:lineRule="exact"/>
        <w:rPr>
          <w:sz w:val="20"/>
          <w:szCs w:val="20"/>
          <w:color w:val="auto"/>
        </w:rPr>
      </w:pPr>
    </w:p>
    <w:p>
      <w:pPr>
        <w:ind w:right="60" w:firstLine="595"/>
        <w:spacing w:after="0" w:line="255" w:lineRule="auto"/>
        <w:rPr>
          <w:sz w:val="20"/>
          <w:szCs w:val="20"/>
          <w:color w:val="auto"/>
        </w:rPr>
      </w:pPr>
      <w:r>
        <w:rPr>
          <w:rFonts w:ascii="Arial" w:cs="Arial" w:eastAsia="Arial" w:hAnsi="Arial"/>
          <w:sz w:val="18"/>
          <w:szCs w:val="18"/>
          <w:color w:val="auto"/>
        </w:rPr>
        <w:t>We are party to contracts, transactions and business relationships with various third parties, including vendors, suppliers, service providers and lenders, pursuant to which such third parties have performance, payment and other obligations to us. In some cases, we depend upon such third parties to provide essential leaseholds, products, services or other benefits, including with respect to store and distribution center locations, merchandise, advertising, software development and support, logistics, other agreements for goods and services in order to operate our business in the ordinary course, extensions of credit, hedging instruments and other vital matters. Economic, industry and market conditions could result in increased risks to us associated with the potential financial distress of such third parties.</w:t>
      </w:r>
    </w:p>
    <w:p>
      <w:pPr>
        <w:spacing w:after="0" w:line="84" w:lineRule="exact"/>
        <w:rPr>
          <w:sz w:val="20"/>
          <w:szCs w:val="20"/>
          <w:color w:val="auto"/>
        </w:rPr>
      </w:pPr>
    </w:p>
    <w:p>
      <w:pPr>
        <w:ind w:right="60" w:firstLine="595"/>
        <w:spacing w:after="0" w:line="257" w:lineRule="auto"/>
        <w:rPr>
          <w:sz w:val="20"/>
          <w:szCs w:val="20"/>
          <w:color w:val="auto"/>
        </w:rPr>
      </w:pPr>
      <w:r>
        <w:rPr>
          <w:rFonts w:ascii="Arial" w:cs="Arial" w:eastAsia="Arial" w:hAnsi="Arial"/>
          <w:sz w:val="18"/>
          <w:szCs w:val="18"/>
          <w:color w:val="auto"/>
        </w:rPr>
        <w:t>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b w:val="1"/>
          <w:bCs w:val="1"/>
          <w:i w:val="1"/>
          <w:iCs w:val="1"/>
          <w:color w:val="auto"/>
        </w:rPr>
        <w:t>Many of our vendors produce merchandise overseas, and our business is exposed to the risk of foreign and domestic operations and international tax policies and trade relations.</w:t>
      </w:r>
    </w:p>
    <w:p>
      <w:pPr>
        <w:spacing w:after="0" w:line="62" w:lineRule="exact"/>
        <w:rPr>
          <w:sz w:val="20"/>
          <w:szCs w:val="20"/>
          <w:color w:val="auto"/>
        </w:rPr>
      </w:pPr>
    </w:p>
    <w:p>
      <w:pPr>
        <w:ind w:firstLine="595"/>
        <w:spacing w:after="0" w:line="259" w:lineRule="auto"/>
        <w:rPr>
          <w:sz w:val="20"/>
          <w:szCs w:val="20"/>
          <w:color w:val="auto"/>
        </w:rPr>
      </w:pPr>
      <w:r>
        <w:rPr>
          <w:rFonts w:ascii="Arial" w:cs="Arial" w:eastAsia="Arial" w:hAnsi="Arial"/>
          <w:sz w:val="18"/>
          <w:szCs w:val="18"/>
          <w:color w:val="auto"/>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Such factors include:</w:t>
      </w:r>
    </w:p>
    <w:p>
      <w:pPr>
        <w:spacing w:after="0" w:line="117" w:lineRule="exact"/>
        <w:rPr>
          <w:sz w:val="20"/>
          <w:szCs w:val="20"/>
          <w:color w:val="auto"/>
        </w:rPr>
      </w:pPr>
    </w:p>
    <w:p>
      <w:pPr>
        <w:jc w:val="both"/>
        <w:ind w:left="500" w:right="1720" w:hanging="357"/>
        <w:spacing w:after="0" w:line="263" w:lineRule="auto"/>
        <w:tabs>
          <w:tab w:leader="none" w:pos="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political or labor instability in countries where vendors are located or at foreign ports which could result in lengthy shipment delays, which, if timed ahead of the Fall and Winter peak selling periods, could materially and adversely affect our ability to stock inventory on a timely basis;</w:t>
      </w:r>
    </w:p>
    <w:p>
      <w:pPr>
        <w:spacing w:after="0" w:line="183" w:lineRule="exact"/>
        <w:rPr>
          <w:rFonts w:ascii="Arial" w:cs="Arial" w:eastAsia="Arial" w:hAnsi="Arial"/>
          <w:sz w:val="18"/>
          <w:szCs w:val="18"/>
          <w:color w:val="auto"/>
        </w:rPr>
      </w:pPr>
    </w:p>
    <w:p>
      <w:pPr>
        <w:ind w:left="480" w:right="1580" w:hanging="382"/>
        <w:spacing w:after="0" w:line="265"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w:t>
      </w:r>
    </w:p>
    <w:p>
      <w:pPr>
        <w:spacing w:after="0" w:line="247" w:lineRule="exact"/>
        <w:rPr>
          <w:rFonts w:ascii="Arial" w:cs="Arial" w:eastAsia="Arial" w:hAnsi="Arial"/>
          <w:sz w:val="18"/>
          <w:szCs w:val="18"/>
          <w:color w:val="auto"/>
        </w:rPr>
      </w:pPr>
    </w:p>
    <w:p>
      <w:pPr>
        <w:ind w:left="500" w:right="2360" w:hanging="357"/>
        <w:spacing w:after="0" w:line="277" w:lineRule="auto"/>
        <w:tabs>
          <w:tab w:leader="none" w:pos="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political or military conflict, which could cause a delay in the transportation of our products to us and an increase in transportation costs;</w:t>
      </w:r>
    </w:p>
    <w:p>
      <w:pPr>
        <w:spacing w:after="0" w:line="170" w:lineRule="exact"/>
        <w:rPr>
          <w:rFonts w:ascii="Arial" w:cs="Arial" w:eastAsia="Arial" w:hAnsi="Arial"/>
          <w:sz w:val="18"/>
          <w:szCs w:val="18"/>
          <w:color w:val="auto"/>
        </w:rPr>
      </w:pPr>
    </w:p>
    <w:p>
      <w:pPr>
        <w:ind w:left="500" w:right="1840" w:hanging="357"/>
        <w:spacing w:after="0" w:line="277" w:lineRule="auto"/>
        <w:tabs>
          <w:tab w:leader="none" w:pos="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170" w:lineRule="exact"/>
        <w:rPr>
          <w:rFonts w:ascii="Arial" w:cs="Arial" w:eastAsia="Arial" w:hAnsi="Arial"/>
          <w:sz w:val="18"/>
          <w:szCs w:val="18"/>
          <w:color w:val="auto"/>
        </w:rPr>
      </w:pPr>
    </w:p>
    <w:p>
      <w:pPr>
        <w:ind w:left="500" w:right="1500" w:hanging="357"/>
        <w:spacing w:after="0" w:line="342" w:lineRule="auto"/>
        <w:tabs>
          <w:tab w:leader="none" w:pos="500" w:val="left"/>
        </w:tabs>
        <w:numPr>
          <w:ilvl w:val="2"/>
          <w:numId w:val="5"/>
        </w:numPr>
        <w:rPr>
          <w:rFonts w:ascii="Arial" w:cs="Arial" w:eastAsia="Arial" w:hAnsi="Arial"/>
          <w:sz w:val="16"/>
          <w:szCs w:val="16"/>
          <w:color w:val="auto"/>
        </w:rPr>
      </w:pPr>
      <w:r>
        <w:rPr>
          <w:rFonts w:ascii="Arial" w:cs="Arial" w:eastAsia="Arial" w:hAnsi="Arial"/>
          <w:sz w:val="16"/>
          <w:szCs w:val="16"/>
          <w:color w:val="auto"/>
        </w:rPr>
        <w:t>disease epidemics, pandemics (including COVID-19), outbreaks and other health-related concerns, which could result in closed factories, reduced workforces, scarcity of raw materials and scrutiny or embargoing of goods produced in infected areas;</w:t>
      </w:r>
    </w:p>
    <w:p>
      <w:pPr>
        <w:spacing w:after="0" w:line="123" w:lineRule="exact"/>
        <w:rPr>
          <w:rFonts w:ascii="Arial" w:cs="Arial" w:eastAsia="Arial" w:hAnsi="Arial"/>
          <w:sz w:val="16"/>
          <w:szCs w:val="16"/>
          <w:color w:val="auto"/>
        </w:rPr>
      </w:pPr>
    </w:p>
    <w:p>
      <w:pPr>
        <w:ind w:left="500" w:hanging="357"/>
        <w:spacing w:after="0"/>
        <w:tabs>
          <w:tab w:leader="none" w:pos="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natural disasters and industrial accidents, which could have the effect of curtailing production and disrupting supplies;</w:t>
      </w:r>
    </w:p>
    <w:p>
      <w:pPr>
        <w:spacing w:after="0" w:line="225" w:lineRule="exact"/>
        <w:rPr>
          <w:rFonts w:ascii="Arial" w:cs="Arial" w:eastAsia="Arial" w:hAnsi="Arial"/>
          <w:sz w:val="18"/>
          <w:szCs w:val="18"/>
          <w:color w:val="auto"/>
        </w:rPr>
      </w:pPr>
    </w:p>
    <w:p>
      <w:pPr>
        <w:ind w:left="520" w:right="2020" w:hanging="391"/>
        <w:spacing w:after="0" w:line="277" w:lineRule="auto"/>
        <w:tabs>
          <w:tab w:leader="none" w:pos="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increases in labor and production costs in goods-producing countries, which would result in an increase in our inventory costs;</w:t>
      </w:r>
    </w:p>
    <w:p>
      <w:pPr>
        <w:spacing w:after="0" w:line="183" w:lineRule="exact"/>
        <w:rPr>
          <w:rFonts w:ascii="Arial" w:cs="Arial" w:eastAsia="Arial" w:hAnsi="Arial"/>
          <w:sz w:val="18"/>
          <w:szCs w:val="18"/>
          <w:color w:val="auto"/>
        </w:rPr>
      </w:pPr>
    </w:p>
    <w:p>
      <w:pPr>
        <w:ind w:left="520" w:hanging="391"/>
        <w:spacing w:after="0"/>
        <w:tabs>
          <w:tab w:leader="none" w:pos="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migration and development of manufacturers, which can affect where our products are or will be produced;</w:t>
      </w:r>
    </w:p>
    <w:p>
      <w:pPr>
        <w:spacing w:after="0" w:line="252" w:lineRule="exact"/>
        <w:rPr>
          <w:rFonts w:ascii="Arial" w:cs="Arial" w:eastAsia="Arial" w:hAnsi="Arial"/>
          <w:sz w:val="18"/>
          <w:szCs w:val="18"/>
          <w:color w:val="auto"/>
        </w:rPr>
      </w:pPr>
    </w:p>
    <w:p>
      <w:pPr>
        <w:ind w:left="520" w:hanging="391"/>
        <w:spacing w:after="0"/>
        <w:tabs>
          <w:tab w:leader="none" w:pos="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fluctuation in our vendors’ local currency against the dollar, which may increase our cost of goods sold; and</w:t>
      </w:r>
    </w:p>
    <w:p>
      <w:pPr>
        <w:spacing w:after="0" w:line="225" w:lineRule="exact"/>
        <w:rPr>
          <w:rFonts w:ascii="Arial" w:cs="Arial" w:eastAsia="Arial" w:hAnsi="Arial"/>
          <w:sz w:val="18"/>
          <w:szCs w:val="18"/>
          <w:color w:val="auto"/>
        </w:rPr>
      </w:pPr>
    </w:p>
    <w:p>
      <w:pPr>
        <w:ind w:left="520" w:right="1900" w:hanging="391"/>
        <w:spacing w:after="0" w:line="311" w:lineRule="auto"/>
        <w:tabs>
          <w:tab w:leader="none" w:pos="520" w:val="left"/>
        </w:tabs>
        <w:numPr>
          <w:ilvl w:val="1"/>
          <w:numId w:val="5"/>
        </w:numPr>
        <w:rPr>
          <w:rFonts w:ascii="Arial" w:cs="Arial" w:eastAsia="Arial" w:hAnsi="Arial"/>
          <w:sz w:val="16"/>
          <w:szCs w:val="16"/>
          <w:color w:val="auto"/>
        </w:rPr>
      </w:pPr>
      <w:r>
        <w:rPr>
          <w:rFonts w:ascii="Arial" w:cs="Arial" w:eastAsia="Arial" w:hAnsi="Arial"/>
          <w:sz w:val="16"/>
          <w:szCs w:val="16"/>
          <w:color w:val="auto"/>
        </w:rPr>
        <w:t>changes in import duties, taxes, charges, quotas, loss of “most favored nation” trading status with the United States for a particular foreign country and trade restrictions (including the United States imposing antidumping or countervailing duty orders, safeguards, remedies or compensation and retaliation due to illegal foreign trade practices).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Any of the foregoing factors, or a combination thereof, could have a material adverse effect on our business.</w:t>
      </w:r>
    </w:p>
    <w:p>
      <w:pPr>
        <w:spacing w:after="0" w:line="117" w:lineRule="exact"/>
        <w:rPr>
          <w:sz w:val="20"/>
          <w:szCs w:val="20"/>
          <w:color w:val="auto"/>
        </w:rPr>
      </w:pPr>
    </w:p>
    <w:p>
      <w:pPr>
        <w:ind w:right="120" w:firstLine="595"/>
        <w:spacing w:after="0" w:line="273" w:lineRule="auto"/>
        <w:rPr>
          <w:sz w:val="20"/>
          <w:szCs w:val="20"/>
          <w:color w:val="auto"/>
        </w:rPr>
      </w:pPr>
      <w:r>
        <w:rPr>
          <w:rFonts w:ascii="Arial" w:cs="Arial" w:eastAsia="Arial" w:hAnsi="Arial"/>
          <w:sz w:val="17"/>
          <w:szCs w:val="17"/>
          <w:color w:val="auto"/>
        </w:rPr>
        <w:t>Over the past couple years,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As a result, we continue to evaluate the impact of the effective and any additional proposed tariffs on our supply chain, costs, sales and profitability. Given the uncertainty regarding the scope and duration of the tariffs on Chinese goods, as well as the potential for additional trade actions by the U.S. or other countries, the impact on our operations and results is uncertain, and we can provide no assurance that any strategies we implement to mitigate the impact of such tariffs or other trade actions will be successful.</w:t>
      </w:r>
    </w:p>
    <w:p>
      <w:pPr>
        <w:spacing w:after="0" w:line="70" w:lineRule="exact"/>
        <w:rPr>
          <w:sz w:val="20"/>
          <w:szCs w:val="20"/>
          <w:color w:val="auto"/>
        </w:rPr>
      </w:pPr>
    </w:p>
    <w:p>
      <w:pPr>
        <w:ind w:right="20" w:firstLine="595"/>
        <w:spacing w:after="0" w:line="311" w:lineRule="auto"/>
        <w:rPr>
          <w:sz w:val="20"/>
          <w:szCs w:val="20"/>
          <w:color w:val="auto"/>
        </w:rPr>
      </w:pPr>
      <w:r>
        <w:rPr>
          <w:rFonts w:ascii="Arial" w:cs="Arial" w:eastAsia="Arial" w:hAnsi="Arial"/>
          <w:sz w:val="16"/>
          <w:szCs w:val="16"/>
          <w:color w:val="auto"/>
        </w:rPr>
        <w:t>In addition, other major developments in tax policy or trade relations, such as the disallowance of tax deductions for imported merchandise or the imposition of additional unilateral tariffs on imported products could increase the cost of products purchased from suppliers in such countries or restrict the importation of products from such countries, which in turn could have a material adverse effect on our business, results of operations and liquidity.</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3" w:name="page14"/>
    <w:bookmarkEnd w:id="13"/>
    <w:p>
      <w:pPr>
        <w:spacing w:after="0" w:line="263" w:lineRule="auto"/>
        <w:rPr>
          <w:sz w:val="20"/>
          <w:szCs w:val="20"/>
          <w:color w:val="auto"/>
        </w:rPr>
      </w:pPr>
      <w:r>
        <w:rPr>
          <w:rFonts w:ascii="Arial" w:cs="Arial" w:eastAsia="Arial" w:hAnsi="Arial"/>
          <w:sz w:val="18"/>
          <w:szCs w:val="18"/>
          <w:b w:val="1"/>
          <w:bCs w:val="1"/>
          <w:i w:val="1"/>
          <w:iCs w:val="1"/>
          <w:color w:val="auto"/>
        </w:rPr>
        <w:t>Any disruption to our distribution network, including the shutdown of one of our primary distribution centers or complications with any third-party vendors that support our network, or increases in the cost of their services, could cause disruptions in our business, a loss of sales and profits, increases in our expenses, and other material adverse effects.</w:t>
      </w:r>
    </w:p>
    <w:p>
      <w:pPr>
        <w:spacing w:after="0" w:line="76" w:lineRule="exact"/>
        <w:rPr>
          <w:sz w:val="20"/>
          <w:szCs w:val="20"/>
          <w:color w:val="auto"/>
        </w:rPr>
      </w:pPr>
    </w:p>
    <w:p>
      <w:pPr>
        <w:ind w:right="20" w:firstLine="595"/>
        <w:spacing w:after="0" w:line="255" w:lineRule="auto"/>
        <w:rPr>
          <w:sz w:val="20"/>
          <w:szCs w:val="20"/>
          <w:color w:val="auto"/>
        </w:rPr>
      </w:pPr>
      <w:r>
        <w:rPr>
          <w:rFonts w:ascii="Arial" w:cs="Arial" w:eastAsia="Arial" w:hAnsi="Arial"/>
          <w:sz w:val="18"/>
          <w:szCs w:val="18"/>
          <w:color w:val="auto"/>
        </w:rPr>
        <w:t>Most of the merchandise we purchase is shipped directly to our distribution centers, where it is prepared for shipment to the appropriate stores. The success of our stores depends on their timely receipt of merchandise, and a strong, efficient and flexible distribution network is critical to our ability to grow and to maintain a low-cost operating structure. A disruption within our distribution network, including the shutdown of or loss of significant capacity by one of our current primary distribution centers, could adversely affect our ability to deliver inventory in a timely manner and significantly disrupt our business. In addition, any failure to continue to add capacity to our existing distribution centers and build out planned additional distribution centers timely and cost effectively could adversely affect our business.</w:t>
      </w:r>
    </w:p>
    <w:p>
      <w:pPr>
        <w:spacing w:after="0" w:line="84" w:lineRule="exact"/>
        <w:rPr>
          <w:sz w:val="20"/>
          <w:szCs w:val="20"/>
          <w:color w:val="auto"/>
        </w:rPr>
      </w:pPr>
    </w:p>
    <w:p>
      <w:pPr>
        <w:ind w:right="40" w:firstLine="595"/>
        <w:spacing w:after="0" w:line="273" w:lineRule="auto"/>
        <w:rPr>
          <w:sz w:val="20"/>
          <w:szCs w:val="20"/>
          <w:color w:val="auto"/>
        </w:rPr>
      </w:pPr>
      <w:r>
        <w:rPr>
          <w:rFonts w:ascii="Arial" w:cs="Arial" w:eastAsia="Arial" w:hAnsi="Arial"/>
          <w:sz w:val="17"/>
          <w:szCs w:val="17"/>
          <w:color w:val="auto"/>
        </w:rPr>
        <w:t>In addition to the distribution centers that we operate, we have arrangements with third parties for the use of pool point facilities, which we believe streamline and optimize our distribution network. If complications arise with a pool point facility or its operator, or if any such facility is severely damaged or destroyed, it may cause delays in the delivery of our merchandise to our stores. We also may be affected by disruptions in the global transportation network such as port strikes, weather conditions, work stoppages or other labor unrest, which may also adversely affect our ability to deliver inventory on a timely basis. We also depend upon third-party carriers for shipment of merchandise; any interruption in service by these carriers for any reason could cause disruptions in our business, a loss of sales and profits, and other material adverse effects.</w:t>
      </w:r>
    </w:p>
    <w:p>
      <w:pPr>
        <w:spacing w:after="0" w:line="70" w:lineRule="exact"/>
        <w:rPr>
          <w:sz w:val="20"/>
          <w:szCs w:val="20"/>
          <w:color w:val="auto"/>
        </w:rPr>
      </w:pPr>
    </w:p>
    <w:p>
      <w:pPr>
        <w:ind w:right="140" w:firstLine="595"/>
        <w:spacing w:after="0" w:line="263" w:lineRule="auto"/>
        <w:rPr>
          <w:sz w:val="20"/>
          <w:szCs w:val="20"/>
          <w:color w:val="auto"/>
        </w:rPr>
      </w:pPr>
      <w:r>
        <w:rPr>
          <w:rFonts w:ascii="Arial" w:cs="Arial" w:eastAsia="Arial" w:hAnsi="Arial"/>
          <w:sz w:val="18"/>
          <w:szCs w:val="18"/>
          <w:color w:val="auto"/>
        </w:rPr>
        <w:t>Finally, if the COVID-19 pandemic continues to grow, our import supply chain could experience severe delays due to closed factories and/or reduction in processing capacity as a result of workers not being able to return back to work or other labor shortages, which could cause disruptions in our business, a loss of sales and profits, and other adverse effects.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If we are unable to protect our information systems against service interruption, misappropriation of data, breaches of security, or other cyber-related attacks, our operations could be disrupted, we may suffer financial losses and our reputation may be damaged.</w:t>
      </w:r>
    </w:p>
    <w:p>
      <w:pPr>
        <w:spacing w:after="0" w:line="38" w:lineRule="exact"/>
        <w:rPr>
          <w:sz w:val="20"/>
          <w:szCs w:val="20"/>
          <w:color w:val="auto"/>
        </w:rPr>
      </w:pPr>
    </w:p>
    <w:p>
      <w:pPr>
        <w:ind w:right="20" w:firstLine="595"/>
        <w:spacing w:after="0" w:line="272" w:lineRule="auto"/>
        <w:rPr>
          <w:sz w:val="20"/>
          <w:szCs w:val="20"/>
          <w:color w:val="auto"/>
        </w:rPr>
      </w:pPr>
      <w:r>
        <w:rPr>
          <w:rFonts w:ascii="Arial" w:cs="Arial" w:eastAsia="Arial" w:hAnsi="Arial"/>
          <w:sz w:val="17"/>
          <w:szCs w:val="17"/>
          <w:color w:val="auto"/>
        </w:rPr>
        <w:t>We rely extensively on various information systems, including data centers, hardware, software and applications to manage many aspects of our business, including to process and record transactions in our stores, to enable effective communication systems, to plan and track inventory flow, to manage logistics and to generate performance and financial reports. In addition, some aspects of our business, like that of most retailers, involve the receipt, storage and transmission of customers’ personal information and consumer preferences, as well as confidential information about our employees, our vendors and our Company, some of which is entrusted to third-party service providers and vendors. We are dependent on the integrity, security and consistent operations of these systems and related back-up systems, software, tools (including encryption technology) and monitoring to provide security and oversight for processing, transmission, storage and the protection of such confidential information.</w:t>
      </w:r>
    </w:p>
    <w:p>
      <w:pPr>
        <w:spacing w:after="0" w:line="69" w:lineRule="exact"/>
        <w:rPr>
          <w:sz w:val="20"/>
          <w:szCs w:val="20"/>
          <w:color w:val="auto"/>
        </w:rPr>
      </w:pPr>
    </w:p>
    <w:p>
      <w:pPr>
        <w:ind w:firstLine="595"/>
        <w:spacing w:after="0" w:line="289" w:lineRule="auto"/>
        <w:rPr>
          <w:sz w:val="20"/>
          <w:szCs w:val="20"/>
          <w:color w:val="auto"/>
        </w:rPr>
      </w:pPr>
      <w:r>
        <w:rPr>
          <w:rFonts w:ascii="Arial" w:cs="Arial" w:eastAsia="Arial" w:hAnsi="Arial"/>
          <w:sz w:val="16"/>
          <w:szCs w:val="16"/>
          <w:color w:val="auto"/>
        </w:rPr>
        <w:t>Like most major corporations, however, we, our customers and our third-party services providers face an evolving, increasing threat landscape in which cybercriminals, among others, employ a complex array of techniques designed to access personal and other information, including, for example, the use of fraudulent or stolen access credentials, malware, ransomware, phishing, denial of service and other types of attacks. Hardware, software or applications we develop or obtain from third parties may contain defects in design or manufacture or other problems that are not presently known and could unexpectedly compromise information security. In addition, our employees, contractors or third parties with which we do business or to which we outsource business operations may attempt to circumvent our security measures in order to misappropriate such information, and may purposefully or inadvertently cause a breach involving such information or become subject to various other cyber-crimes. Further, our computer systems and the third-party systems of our vendors are also subject to damage or interruption from a number of non-criminal causes, including power outages; computer and telecommunications failures; computer viruses; and design or usage errors by our employees or contractors.</w:t>
      </w:r>
    </w:p>
    <w:p>
      <w:pPr>
        <w:spacing w:after="0" w:line="58" w:lineRule="exact"/>
        <w:rPr>
          <w:sz w:val="20"/>
          <w:szCs w:val="20"/>
          <w:color w:val="auto"/>
        </w:rPr>
      </w:pPr>
    </w:p>
    <w:p>
      <w:pPr>
        <w:ind w:right="460" w:firstLine="595"/>
        <w:spacing w:after="0" w:line="263" w:lineRule="auto"/>
        <w:rPr>
          <w:sz w:val="20"/>
          <w:szCs w:val="20"/>
          <w:color w:val="auto"/>
        </w:rPr>
      </w:pPr>
      <w:r>
        <w:rPr>
          <w:rFonts w:ascii="Arial" w:cs="Arial" w:eastAsia="Arial" w:hAnsi="Arial"/>
          <w:sz w:val="18"/>
          <w:szCs w:val="18"/>
          <w:color w:val="auto"/>
        </w:rPr>
        <w:t>If we or third parties with which we do business were to fall victim to successful cyber-attacks or experience other cybersecurity incidents, including the loss of individually identifiable customer or other sensitive data, we may incur substantial costs and suffer other negative consequences, which may include:</w:t>
      </w:r>
    </w:p>
    <w:p>
      <w:pPr>
        <w:spacing w:after="0" w:line="76" w:lineRule="exact"/>
        <w:rPr>
          <w:sz w:val="20"/>
          <w:szCs w:val="20"/>
          <w:color w:val="auto"/>
        </w:rPr>
      </w:pPr>
    </w:p>
    <w:p>
      <w:pPr>
        <w:ind w:left="740" w:right="58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or replacement of systems, and incentives to customers or business partners in an effort to maintain relationships after an attack;</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to continuing to make organizational changes, deploy additional personnel and protection technologies, train employees, and engage third party consultants;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lost revenues resulting from the unauthorized use of proprietary information or the failure to retain or attract customers following an attack;</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governmental authorities;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cybersecurity and other insurance premiums;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reputational damage that adversely affects customer or investor confidence;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competitiveness, stock price, and long-term stockholder value.</w:t>
      </w:r>
    </w:p>
    <w:p>
      <w:pPr>
        <w:spacing w:after="0" w:line="117" w:lineRule="exact"/>
        <w:rPr>
          <w:sz w:val="20"/>
          <w:szCs w:val="20"/>
          <w:color w:val="auto"/>
        </w:rPr>
      </w:pPr>
    </w:p>
    <w:p>
      <w:pPr>
        <w:jc w:val="both"/>
        <w:ind w:firstLine="595"/>
        <w:spacing w:after="0" w:line="311" w:lineRule="auto"/>
        <w:rPr>
          <w:sz w:val="20"/>
          <w:szCs w:val="20"/>
          <w:color w:val="auto"/>
        </w:rPr>
      </w:pPr>
      <w:r>
        <w:rPr>
          <w:rFonts w:ascii="Arial" w:cs="Arial" w:eastAsia="Arial" w:hAnsi="Arial"/>
          <w:sz w:val="16"/>
          <w:szCs w:val="16"/>
          <w:color w:val="auto"/>
        </w:rPr>
        <w:t>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and there is no guarantee that the proactive measures we put in place will be adequate to safeguard against all data security breaches or misuses of data.</w:t>
      </w:r>
    </w:p>
    <w:p>
      <w:pPr>
        <w:spacing w:after="0" w:line="41" w:lineRule="exact"/>
        <w:rPr>
          <w:sz w:val="20"/>
          <w:szCs w:val="20"/>
          <w:color w:val="auto"/>
        </w:rPr>
      </w:pPr>
    </w:p>
    <w:p>
      <w:pPr>
        <w:ind w:right="160" w:firstLine="595"/>
        <w:spacing w:after="0" w:line="271" w:lineRule="auto"/>
        <w:rPr>
          <w:sz w:val="20"/>
          <w:szCs w:val="20"/>
          <w:color w:val="auto"/>
        </w:rPr>
      </w:pPr>
      <w:r>
        <w:rPr>
          <w:rFonts w:ascii="Arial" w:cs="Arial" w:eastAsia="Arial" w:hAnsi="Arial"/>
          <w:sz w:val="17"/>
          <w:szCs w:val="17"/>
          <w:color w:val="auto"/>
        </w:rPr>
        <w:t>Although we endeavor to protect consumer identity and payment information through the implementation and modification of security technologies, processes and procedures, including training programs for employees to raise awareness about phishing, malware and other cyber risks and certification of our major technology suppliers and any outsourced services through accepted security certification measures, we could experience increased costs associated with maintaining these protections as threats of cyber-attacks increase in sophistication and complexity. In addition, there are additional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Compliance with increasingly rigorous privacy and data security regulations could be costly, affect or limit our business opportunities and how we collect and/or use data, and potentially subject us to fines and lawsuits.</w:t>
      </w:r>
    </w:p>
    <w:p>
      <w:pPr>
        <w:spacing w:after="0" w:line="170"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As described above, the protection of customer, employee, vendor and Company data is critical to our business. As the regulatory environment relating to retailers’ and other companies’ obligation to protect such sensitive data becomes increasingly rigorous, with new and evolving requirements applicable to our business, compliance with those requirements could result in additional costs; could have a significant impact on our current and planned privacy, data protection and information security-related practices, our collection, use, sharing, retention and safeguarding of customer and/or employee information, and some of our current or future business plans; and a material failure on our part to comply could subject us to fines or other regulatory sanctions and potentially to lawsuits.</w:t>
      </w:r>
    </w:p>
    <w:p>
      <w:pPr>
        <w:spacing w:after="0" w:line="192"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color w:val="auto"/>
        </w:rPr>
        <w:t>In recent years, there has been increasing regulatory enforcement and litigation activity in the area of privacy, data protection and information security in various states in which we operate. Notably, on January 1, 2020, the California Consumer Privacy Act of 2018 (the “CCPA”) became effective. The CCPA requires certain companies to satisfy new requirements regarding the handling of personal and sensitive data, including its use, protection and the ability of California residents whose data is stored to know specifically what data types each company has collected on them and, if they so choose, the right to demand that such companies delete their data. While we believe we have sufficient measures in place to comply with our obligations under the CCPA, failure to comply with its requirements could result in civil penalties, and it additionally provides a private right of action that allows consumers to seek, either individually or as a class, statutory or actual damages and injunctive and other relief, if their sensitive personal information is subject to unauthorized access and exfiltration, theft or disclosure as a result of a business’s failure to implement and maintain required reasonable security procedures. Compliance with the CCPA and other similar laws will likely increase the costs of doing business, especially if we face differing regulatory requirements across multiple jurisdictions and/or a lack of adequate regulatory guidance. New legislation or regulations such as the CCPA, including any potential comprehensive federal privacy legislation, as well as any associated inquiries or investigations or any other government actions, could also result in negative publicity, require significant management time and attention, and subject us to remedies that may harm our business, including fines or demands or orders that we modify or cease existing business practices.</w:t>
      </w:r>
    </w:p>
    <w:p>
      <w:pPr>
        <w:spacing w:after="0" w:line="1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62" w:lineRule="exact"/>
        <w:rPr>
          <w:sz w:val="20"/>
          <w:szCs w:val="20"/>
          <w:color w:val="auto"/>
        </w:rPr>
      </w:pPr>
    </w:p>
    <w:p>
      <w:pPr>
        <w:ind w:right="100" w:firstLine="595"/>
        <w:spacing w:after="0" w:line="279" w:lineRule="auto"/>
        <w:rPr>
          <w:sz w:val="20"/>
          <w:szCs w:val="20"/>
          <w:color w:val="auto"/>
        </w:rPr>
      </w:pPr>
      <w:r>
        <w:rPr>
          <w:rFonts w:ascii="Arial" w:cs="Arial" w:eastAsia="Arial" w:hAnsi="Arial"/>
          <w:sz w:val="17"/>
          <w:szCs w:val="17"/>
          <w:color w:val="auto"/>
        </w:rPr>
        <w:t>We accept payments using a variety of methods, including cash, checks, credit and debit cards, and gift cards, and we may offer new payment options over time. Acceptance of these payment methods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or costly.</w:t>
      </w:r>
    </w:p>
    <w:p>
      <w:pPr>
        <w:spacing w:after="0" w:line="63" w:lineRule="exact"/>
        <w:rPr>
          <w:sz w:val="20"/>
          <w:szCs w:val="20"/>
          <w:color w:val="auto"/>
        </w:rPr>
      </w:pPr>
    </w:p>
    <w:p>
      <w:pPr>
        <w:ind w:right="80" w:firstLine="595"/>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ind w:right="80"/>
        <w:spacing w:after="0" w:line="301" w:lineRule="auto"/>
        <w:rPr>
          <w:sz w:val="20"/>
          <w:szCs w:val="20"/>
          <w:color w:val="auto"/>
        </w:rPr>
      </w:pPr>
      <w:r>
        <w:rPr>
          <w:rFonts w:ascii="Arial" w:cs="Arial" w:eastAsia="Arial" w:hAnsi="Arial"/>
          <w:sz w:val="16"/>
          <w:szCs w:val="16"/>
          <w:color w:val="auto"/>
        </w:rPr>
        <w:t>we accept, or if payment-related data is compromised due to a breach or misuse of data, we may be liable for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As a result, our business and operating results could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with merchandise safety could damage our reputation, sales and financial results.</w:t>
      </w:r>
    </w:p>
    <w:p>
      <w:pPr>
        <w:spacing w:after="0" w:line="117" w:lineRule="exact"/>
        <w:rPr>
          <w:sz w:val="20"/>
          <w:szCs w:val="20"/>
          <w:color w:val="auto"/>
        </w:rPr>
      </w:pPr>
    </w:p>
    <w:p>
      <w:pPr>
        <w:ind w:firstLine="595"/>
        <w:spacing w:after="0" w:line="254" w:lineRule="auto"/>
        <w:rPr>
          <w:sz w:val="20"/>
          <w:szCs w:val="20"/>
          <w:color w:val="auto"/>
        </w:rPr>
      </w:pPr>
      <w:r>
        <w:rPr>
          <w:rFonts w:ascii="Arial" w:cs="Arial" w:eastAsia="Arial" w:hAnsi="Arial"/>
          <w:sz w:val="18"/>
          <w:szCs w:val="18"/>
          <w:color w:val="auto"/>
        </w:rPr>
        <w:t>Various governmental authorities in the jurisdictions where we do business regulate the safety of the merchandise we sell to consumers. Regulations and standards in this area, including those related to the U.S. Consumer Product Safety Improvement Act of 2008, state regulations like California’s Proposition 65, and similar legislation, impose restrictions and requirements on the merchandise we sell in our stores. These regulations change from time to time as new federal, state or local regulations are enacted. If we or our merchandise vendors are unable to comply with regulatory requirements on a timely basis or at all, or to adequately monitor new regulations that may apply to existing or new merchandise categories, significant fines or penalties could be incurred or we could have to curtail some aspects of our sales or operations, which could have a material adverse effect on our financial results.</w:t>
      </w:r>
    </w:p>
    <w:p>
      <w:pPr>
        <w:spacing w:after="0" w:line="87" w:lineRule="exact"/>
        <w:rPr>
          <w:sz w:val="20"/>
          <w:szCs w:val="20"/>
          <w:color w:val="auto"/>
        </w:rPr>
      </w:pPr>
    </w:p>
    <w:p>
      <w:pPr>
        <w:ind w:right="80" w:firstLine="572"/>
        <w:spacing w:after="0" w:line="255" w:lineRule="auto"/>
        <w:rPr>
          <w:sz w:val="20"/>
          <w:szCs w:val="20"/>
          <w:color w:val="auto"/>
        </w:rPr>
      </w:pPr>
      <w:r>
        <w:rPr>
          <w:rFonts w:ascii="Arial" w:cs="Arial" w:eastAsia="Arial" w:hAnsi="Arial"/>
          <w:sz w:val="18"/>
          <w:szCs w:val="18"/>
          <w:color w:val="auto"/>
        </w:rPr>
        <w:t>We rely on our vendors to provide quality merchandise that complies with applicable product safety laws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Issues with the safety of merchandise, and issues with the authenticity of merchandise, or customer concerns about such issues, regardless of our fault, could cause damage to our reputation and could result in lost sales, uninsured product liability claims or losses, merchandise recalls and increased costs, and regulatory, civil or criminal fines or penalties, any of which could have a material adverse effect on our financial results.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Difficulty complying with existing laws, rules, regulations and local codes, or changes in existing laws, rules, regulations and local codes, could negatively affect our business operations and financial performance.</w:t>
      </w:r>
    </w:p>
    <w:p>
      <w:pPr>
        <w:spacing w:after="0" w:line="62" w:lineRule="exact"/>
        <w:rPr>
          <w:sz w:val="20"/>
          <w:szCs w:val="20"/>
          <w:color w:val="auto"/>
        </w:rPr>
      </w:pPr>
    </w:p>
    <w:p>
      <w:pPr>
        <w:ind w:right="20" w:firstLine="595"/>
        <w:spacing w:after="0" w:line="273" w:lineRule="auto"/>
        <w:rPr>
          <w:sz w:val="20"/>
          <w:szCs w:val="20"/>
          <w:color w:val="auto"/>
        </w:rPr>
      </w:pPr>
      <w:r>
        <w:rPr>
          <w:rFonts w:ascii="Arial" w:cs="Arial" w:eastAsia="Arial" w:hAnsi="Arial"/>
          <w:sz w:val="17"/>
          <w:szCs w:val="17"/>
          <w:color w:val="auto"/>
        </w:rPr>
        <w:t>We are subject to federal, state and local laws, rules and regulations in the operation of our business. In addition to complying with current laws, rules and regulations, we must also comply with new and changing laws and regulations, new regulatory initiatives, evolving interpretation of existing laws by judicial and regulatory authorities, and reforms in jurisdictions where we do business. Complying with local zoning codes, real estate land use restrictions, employment-related laws, and other local laws across numerous jurisdictions is particularly challenging as we grow the number of our stores in new municipalities and need to stay abreast of changes in such local laws. The increasing proliferation of local laws, some of which may be conflicting, further complicates our efforts to comply with all of the various laws, rules and regulations that apply to our business.</w:t>
      </w:r>
    </w:p>
    <w:p>
      <w:pPr>
        <w:spacing w:after="0" w:line="70" w:lineRule="exact"/>
        <w:rPr>
          <w:sz w:val="20"/>
          <w:szCs w:val="20"/>
          <w:color w:val="auto"/>
        </w:rPr>
      </w:pPr>
    </w:p>
    <w:p>
      <w:pPr>
        <w:ind w:firstLine="595"/>
        <w:spacing w:after="0" w:line="255" w:lineRule="auto"/>
        <w:rPr>
          <w:sz w:val="20"/>
          <w:szCs w:val="20"/>
          <w:color w:val="auto"/>
        </w:rPr>
      </w:pPr>
      <w:r>
        <w:rPr>
          <w:rFonts w:ascii="Arial" w:cs="Arial" w:eastAsia="Arial" w:hAnsi="Arial"/>
          <w:sz w:val="18"/>
          <w:szCs w:val="18"/>
          <w:color w:val="auto"/>
        </w:rPr>
        <w:t>All of the above legal, regulatory and administrative requirements collectively affect multiple aspects of our business, including those involving labor and employment benefits; health, welfare and finance; real estate management; consumer protection and product safety; climate change, supply chain, energy and waste; electronic communications, data protection and privacy; and protection of third party intellectual property rights. Changes to these laws and regulations could increase our costs of compliance or of doing business, and could adversely affect our operating results. In addition, if we fail to comply with these laws, rules and regulations, we may be subject to judgments, fines or other costs or penalties, which could materially adversely affect our business operations and financial performance.</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62" w:lineRule="exact"/>
        <w:rPr>
          <w:sz w:val="20"/>
          <w:szCs w:val="20"/>
          <w:color w:val="auto"/>
        </w:rPr>
      </w:pPr>
    </w:p>
    <w:p>
      <w:pPr>
        <w:ind w:right="180" w:firstLine="595"/>
        <w:spacing w:after="0" w:line="279" w:lineRule="auto"/>
        <w:rPr>
          <w:sz w:val="20"/>
          <w:szCs w:val="20"/>
          <w:color w:val="auto"/>
        </w:rPr>
      </w:pPr>
      <w:r>
        <w:rPr>
          <w:rFonts w:ascii="Arial" w:cs="Arial" w:eastAsia="Arial" w:hAnsi="Arial"/>
          <w:sz w:val="17"/>
          <w:szCs w:val="17"/>
          <w:color w:val="auto"/>
        </w:rPr>
        <w:t>Generally accepted accounting principles and related accounting pronouncements, implementation guidelines and interpretations with regard to a wide range of matters that are relevant to our business, such as inventories, leases, and self-insurance reserves,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advertising and marketing programs are not effective in generating sufficient levels of customer awareness and traffic.</w:t>
      </w:r>
    </w:p>
    <w:p>
      <w:pPr>
        <w:spacing w:after="0" w:line="62" w:lineRule="exact"/>
        <w:rPr>
          <w:sz w:val="20"/>
          <w:szCs w:val="20"/>
          <w:color w:val="auto"/>
        </w:rPr>
      </w:pPr>
    </w:p>
    <w:p>
      <w:pPr>
        <w:ind w:right="80" w:firstLine="595"/>
        <w:spacing w:after="0" w:line="259" w:lineRule="auto"/>
        <w:rPr>
          <w:sz w:val="20"/>
          <w:szCs w:val="20"/>
          <w:color w:val="auto"/>
        </w:rPr>
      </w:pPr>
      <w:r>
        <w:rPr>
          <w:rFonts w:ascii="Arial" w:cs="Arial" w:eastAsia="Arial" w:hAnsi="Arial"/>
          <w:sz w:val="18"/>
          <w:szCs w:val="18"/>
          <w:color w:val="auto"/>
        </w:rPr>
        <w:t>We rely on advertising to increase consumer awareness of our product offerings and pricing to drive traffic to our stores. In addition, we rely and will increasingly rely on other forms of media advertising, including digital, social media and e-marketing. Our future growth and profitability will depend in part upon the effectiveness and efficiency of our advertising and marketing programs. Our advertising and marketing programs may not be successful if we do not:</w:t>
      </w:r>
    </w:p>
    <w:p>
      <w:pPr>
        <w:spacing w:after="0" w:line="119" w:lineRule="exact"/>
        <w:rPr>
          <w:sz w:val="20"/>
          <w:szCs w:val="20"/>
          <w:color w:val="auto"/>
        </w:rPr>
      </w:pPr>
    </w:p>
    <w:p>
      <w:pPr>
        <w:ind w:left="820" w:right="1820" w:hanging="704"/>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advertising and marketing costs effectively in order to maintain acceptable operating margins and return on our marketing investment;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820" w:hanging="70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convert customer awareness into actual store visits and product purchases.</w:t>
      </w:r>
    </w:p>
    <w:p>
      <w:pPr>
        <w:spacing w:after="0" w:line="239" w:lineRule="exact"/>
        <w:rPr>
          <w:sz w:val="20"/>
          <w:szCs w:val="20"/>
          <w:color w:val="auto"/>
        </w:rPr>
      </w:pPr>
    </w:p>
    <w:p>
      <w:pPr>
        <w:ind w:right="140" w:firstLine="618"/>
        <w:spacing w:after="0" w:line="311" w:lineRule="auto"/>
        <w:rPr>
          <w:sz w:val="20"/>
          <w:szCs w:val="20"/>
          <w:color w:val="auto"/>
        </w:rPr>
      </w:pPr>
      <w:r>
        <w:rPr>
          <w:rFonts w:ascii="Arial" w:cs="Arial" w:eastAsia="Arial" w:hAnsi="Arial"/>
          <w:sz w:val="16"/>
          <w:szCs w:val="16"/>
          <w:color w:val="auto"/>
        </w:rPr>
        <w:t>Our planned advertising and marketing expenditures may not result in increased total or comparable store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corporate reputation or brand could adversely affect our sales and operating results.</w:t>
      </w:r>
    </w:p>
    <w:p>
      <w:pPr>
        <w:spacing w:after="0" w:line="117" w:lineRule="exact"/>
        <w:rPr>
          <w:sz w:val="20"/>
          <w:szCs w:val="20"/>
          <w:color w:val="auto"/>
        </w:rPr>
      </w:pPr>
    </w:p>
    <w:p>
      <w:pPr>
        <w:jc w:val="both"/>
        <w:ind w:right="20" w:firstLine="572"/>
        <w:spacing w:after="0" w:line="286" w:lineRule="auto"/>
        <w:rPr>
          <w:sz w:val="20"/>
          <w:szCs w:val="20"/>
          <w:color w:val="auto"/>
        </w:rPr>
      </w:pPr>
      <w:r>
        <w:rPr>
          <w:rFonts w:ascii="Arial" w:cs="Arial" w:eastAsia="Arial" w:hAnsi="Arial"/>
          <w:sz w:val="16"/>
          <w:szCs w:val="16"/>
          <w:color w:val="auto"/>
        </w:rPr>
        <w:t>Building brand reputation is important to our continuing success. 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In addition, information concerning us, whether or not true, may be instantly and easily posted on social media platforms and similar devices at any time, which information may be adverse to our reputation or business.</w:t>
      </w:r>
    </w:p>
    <w:p>
      <w:pPr>
        <w:spacing w:after="0" w:line="1" w:lineRule="exact"/>
        <w:rPr>
          <w:sz w:val="20"/>
          <w:szCs w:val="20"/>
          <w:color w:val="auto"/>
        </w:rPr>
      </w:pPr>
    </w:p>
    <w:p>
      <w:pPr>
        <w:jc w:val="both"/>
        <w:ind w:right="60"/>
        <w:spacing w:after="0" w:line="323" w:lineRule="auto"/>
        <w:rPr>
          <w:sz w:val="20"/>
          <w:szCs w:val="20"/>
          <w:color w:val="auto"/>
        </w:rPr>
      </w:pPr>
      <w:r>
        <w:rPr>
          <w:rFonts w:ascii="Arial" w:cs="Arial" w:eastAsia="Arial" w:hAnsi="Arial"/>
          <w:sz w:val="16"/>
          <w:szCs w:val="16"/>
          <w:color w:val="auto"/>
        </w:rPr>
        <w:t>The harm may be immediate without affording us an opportunity for redress or correction. Damage to our reputation in any form could result in declines in customer loyalty and sales, affect our vendor relationships, development opportunities and associate retention, and otherwise adversely affect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by the Company or third parties at our direction may adversely impact our reputation or subject us to fines or other penalties.</w:t>
      </w:r>
    </w:p>
    <w:p>
      <w:pPr>
        <w:spacing w:after="0" w:line="140" w:lineRule="exact"/>
        <w:rPr>
          <w:sz w:val="20"/>
          <w:szCs w:val="20"/>
          <w:color w:val="auto"/>
        </w:rPr>
      </w:pPr>
    </w:p>
    <w:p>
      <w:pPr>
        <w:ind w:firstLine="595"/>
        <w:spacing w:after="0" w:line="254" w:lineRule="auto"/>
        <w:rPr>
          <w:sz w:val="20"/>
          <w:szCs w:val="20"/>
          <w:color w:val="auto"/>
        </w:rPr>
      </w:pPr>
      <w:r>
        <w:rPr>
          <w:rFonts w:ascii="Arial" w:cs="Arial" w:eastAsia="Arial" w:hAnsi="Arial"/>
          <w:sz w:val="18"/>
          <w:szCs w:val="18"/>
          <w:color w:val="auto"/>
        </w:rPr>
        <w:t>There has been a substantial increase in the use of social media platforms, including blogs, social media websites, and other forms of internet-based communications, which allow individuals access to a broad audience of consumers and other interested persons. We have increasingly utilized social media in our marketing and employment recruiting efforts in order to reach as many current and potential new customers and potential employment candidates as efficiently and cost effectively as possible, and have also retained third parties with expertise and distinction in the social media realm to bolster our social media efforts. As laws and regulations rapidly evolve to govern the use of these platforms, the failure by us, our employees or third parties acting at our direction to abide by applicable laws and regulations in the use of these platforms could adversely impact our reputation or subject us to fines or other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 could have an adverse impact on our results of operations.</w:t>
      </w:r>
    </w:p>
    <w:p>
      <w:pPr>
        <w:spacing w:after="0" w:line="117" w:lineRule="exact"/>
        <w:rPr>
          <w:sz w:val="20"/>
          <w:szCs w:val="20"/>
          <w:color w:val="auto"/>
        </w:rPr>
      </w:pPr>
    </w:p>
    <w:p>
      <w:pPr>
        <w:ind w:right="20" w:firstLine="595"/>
        <w:spacing w:after="0" w:line="290" w:lineRule="auto"/>
        <w:rPr>
          <w:sz w:val="20"/>
          <w:szCs w:val="20"/>
          <w:color w:val="auto"/>
        </w:rPr>
      </w:pPr>
      <w:r>
        <w:rPr>
          <w:rFonts w:ascii="Arial" w:cs="Arial" w:eastAsia="Arial" w:hAnsi="Arial"/>
          <w:sz w:val="16"/>
          <w:szCs w:val="16"/>
          <w:color w:val="auto"/>
        </w:rPr>
        <w:t>We are subject to various legal and regulatory proceedings relating to our business, certain of which may involve jurisdictions with reputations for aggressive application of laws and procedures against corporate defendants. We are impacted by trends in litigation, such as representative claims under the California Private Attorneys’ General Act and class action litigation brought under various consumer protection, employment, and privacy and information security laws, including wage and hour lawsuits alleging employee misclassification as discussed in Note 17 to our Consolidated Financial Statements, “Commitments and Contingencies.” Accruals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we devote substantial time and expense to defend our Company. Unfavorable rulings could result in a material adverse impact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impacted as a result of actions by activist stockholders or others.</w:t>
      </w:r>
    </w:p>
    <w:p>
      <w:pPr>
        <w:spacing w:after="0" w:line="117" w:lineRule="exact"/>
        <w:rPr>
          <w:sz w:val="20"/>
          <w:szCs w:val="20"/>
          <w:color w:val="auto"/>
        </w:rPr>
      </w:pPr>
    </w:p>
    <w:p>
      <w:pPr>
        <w:ind w:right="20" w:firstLine="595"/>
        <w:spacing w:after="0" w:line="273" w:lineRule="auto"/>
        <w:rPr>
          <w:sz w:val="20"/>
          <w:szCs w:val="20"/>
          <w:color w:val="auto"/>
        </w:rPr>
      </w:pPr>
      <w:r>
        <w:rPr>
          <w:rFonts w:ascii="Arial" w:cs="Arial" w:eastAsia="Arial" w:hAnsi="Arial"/>
          <w:sz w:val="17"/>
          <w:szCs w:val="17"/>
          <w:color w:val="auto"/>
        </w:rPr>
        <w:t>From time to time, we may be subject to legal and business challenges in the operation of our Company due to stockholder proposals, media campaigns, proxy contests, and other such actions instituted by activist stockholders or others. Responding to such actions could be costly and time-consuming, disrupt our operations, may not align with our business strategies and could divert the attention of our Board of Directors and senior management from the pursuit of current business strategies. Perceived uncertainties as to our future direction as a result of stockholder activism or potential changes to the composition of the Board of Directors may lead to the perception of a change in the direction of the business or other instability, and may make it more difficult to attract and retain qualified personnel and business partners.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Circumstances limiting our ability, or the ability of our vendors, to access capital markets could adversely affect our business or financial condition.</w:t>
      </w:r>
    </w:p>
    <w:p>
      <w:pPr>
        <w:spacing w:after="0" w:line="152" w:lineRule="exact"/>
        <w:rPr>
          <w:sz w:val="20"/>
          <w:szCs w:val="20"/>
          <w:color w:val="auto"/>
        </w:rPr>
      </w:pPr>
    </w:p>
    <w:p>
      <w:pPr>
        <w:ind w:right="160" w:firstLine="595"/>
        <w:spacing w:after="0" w:line="279" w:lineRule="auto"/>
        <w:rPr>
          <w:sz w:val="20"/>
          <w:szCs w:val="20"/>
          <w:color w:val="auto"/>
        </w:rPr>
      </w:pPr>
      <w:r>
        <w:rPr>
          <w:rFonts w:ascii="Arial" w:cs="Arial" w:eastAsia="Arial" w:hAnsi="Arial"/>
          <w:sz w:val="17"/>
          <w:szCs w:val="17"/>
          <w:color w:val="auto"/>
        </w:rPr>
        <w:t>Changes in the credit and capital markets, including market disruptions, limited liquidity and interest rate fluctuations, may increase the cost of financing or restrict our access to this potential source of future liquidity. A decrease in the ratings that rating agencies assign to our short- and long-term debt may also negatively impact our access to the debt financing markets and increase our cost of borrowing. These circumstances may negatively impact our access to capital markets, which could have a materially adverse impact on our business or financial condition.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180" w:firstLine="595"/>
        <w:spacing w:after="0" w:line="263" w:lineRule="auto"/>
        <w:rPr>
          <w:sz w:val="20"/>
          <w:szCs w:val="20"/>
          <w:color w:val="auto"/>
        </w:rPr>
      </w:pPr>
      <w:r>
        <w:rPr>
          <w:rFonts w:ascii="Arial" w:cs="Arial" w:eastAsia="Arial" w:hAnsi="Arial"/>
          <w:sz w:val="18"/>
          <w:szCs w:val="18"/>
          <w:color w:val="auto"/>
        </w:rPr>
        <w:t>In many cases, our vendors depend upon commercial credit to finance their operations. If they are unable to secure commercial financing, our vendors could seek to change the terms on which they sell to us, which could negatively affect our liquidity. In addition, the inability of vendors to access liquidity, or the insolvency of vendors, could lead to their failure to deliver merchandise to us.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substantial indebtedness requires a significant amount of cash. Our ability to generate sufficient cash depends on numerous factors beyond our control, and we may be unable to generate sufficient cash flow to service our debt obligations.</w:t>
      </w:r>
    </w:p>
    <w:p>
      <w:pPr>
        <w:spacing w:after="0" w:line="62" w:lineRule="exact"/>
        <w:rPr>
          <w:sz w:val="20"/>
          <w:szCs w:val="20"/>
          <w:color w:val="auto"/>
        </w:rPr>
      </w:pPr>
    </w:p>
    <w:p>
      <w:pPr>
        <w:ind w:right="20" w:firstLine="544"/>
        <w:spacing w:after="0" w:line="279" w:lineRule="auto"/>
        <w:rPr>
          <w:sz w:val="20"/>
          <w:szCs w:val="20"/>
          <w:color w:val="auto"/>
        </w:rPr>
      </w:pPr>
      <w:r>
        <w:rPr>
          <w:rFonts w:ascii="Arial" w:cs="Arial" w:eastAsia="Arial" w:hAnsi="Arial"/>
          <w:sz w:val="17"/>
          <w:szCs w:val="17"/>
          <w:color w:val="auto"/>
        </w:rPr>
        <w:t>As of February 1, 2020, our obligations include $957.5 million, inclusive of original issue discount, under our $1,200.0 million senior secured term loan facility (Term Loan Facility). We had no outstanding balance on our $600.0 million asset-based lending facility (ABL Line of Credit) as of February 1, 2020. Our debt obligations also include $50.1 million of finance lease obligations as of February 1, 2020. Estimated cash required to make interest payments for these debt obligations amounts to approximately $44.7 million for the fiscal year ending January 30, 2021.</w:t>
      </w:r>
    </w:p>
    <w:p>
      <w:pPr>
        <w:spacing w:after="0" w:line="63" w:lineRule="exact"/>
        <w:rPr>
          <w:sz w:val="20"/>
          <w:szCs w:val="20"/>
          <w:color w:val="auto"/>
        </w:rPr>
      </w:pPr>
    </w:p>
    <w:p>
      <w:pPr>
        <w:ind w:right="20" w:firstLine="595"/>
        <w:spacing w:after="0" w:line="272" w:lineRule="auto"/>
        <w:rPr>
          <w:sz w:val="20"/>
          <w:szCs w:val="20"/>
          <w:color w:val="auto"/>
        </w:rPr>
      </w:pPr>
      <w:r>
        <w:rPr>
          <w:rFonts w:ascii="Arial" w:cs="Arial" w:eastAsia="Arial" w:hAnsi="Arial"/>
          <w:sz w:val="17"/>
          <w:szCs w:val="17"/>
          <w:color w:val="auto"/>
        </w:rPr>
        <w:t>Our ability to make payments on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timely basis, on commercially reasonable terms or at all, or be assured that these actions would be sufficient to meet our capital requirements. In addition, the terms of our existing or future debt agreements, including the Term Loan Facility and the ABL Line of Credit, may restrict us from affecting any of these alternatives.</w:t>
      </w:r>
    </w:p>
    <w:p>
      <w:pPr>
        <w:spacing w:after="0" w:line="17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spacing w:after="0" w:line="38" w:lineRule="exact"/>
        <w:rPr>
          <w:sz w:val="20"/>
          <w:szCs w:val="20"/>
          <w:color w:val="auto"/>
        </w:rPr>
      </w:pPr>
    </w:p>
    <w:p>
      <w:pPr>
        <w:ind w:right="140" w:firstLine="599"/>
        <w:spacing w:after="0" w:line="273" w:lineRule="auto"/>
        <w:rPr>
          <w:sz w:val="20"/>
          <w:szCs w:val="20"/>
          <w:color w:val="auto"/>
        </w:rPr>
      </w:pPr>
      <w:r>
        <w:rPr>
          <w:rFonts w:ascii="Arial" w:cs="Arial" w:eastAsia="Arial" w:hAnsi="Arial"/>
          <w:sz w:val="17"/>
          <w:szCs w:val="17"/>
          <w:color w:val="auto"/>
        </w:rPr>
        <w:t>If an event of default under any of the agreements relating to our outstanding indebtedness occurred,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Further, if we are unable to repay, refinance or restructure our secured indebtedness, the holders of such debt could proceed against the collateral securing that indebtedness through foreclosure proceedings and/or by forcing us into bankruptcy or liquidation. In addition, any event of default or declaration of acceleration under one debt instrument could also result in an event of default under one or more of our other debt instruments.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It is unclear how increased regulatory oversight and changes in the method for determining LIBOR may affect the financial obligations owed by us that are linked to LIBOR, or how such changes could affect our results of operations or financial condition.</w:t>
      </w:r>
    </w:p>
    <w:p>
      <w:pPr>
        <w:spacing w:after="0" w:line="170"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In the recent past, concerns have been publicized that some of the member banks surveyed by British Bankers’ Association, or (the BBA), in connection with the calculation of LIBOR across a range of maturities and currencies may have been under-reporting, over-reporting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 Other member banks may also enter into such settlements with, or have proceedings brought by, their regulators or law enforcement agencies in the future. If manipulation of LIBOR occurred, it may have resulted in LIBOR having been artificially lower (or higher) than it would otherwise have been. Any such manipulation could have occurred over a substantial period of time.</w:t>
      </w:r>
    </w:p>
    <w:p>
      <w:pPr>
        <w:spacing w:after="0" w:line="196"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whether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announced an alternative to U.S. dollar LIBOR with a new index calculated by short term repurchase agreements, backed by Treasury securities, called the Secured Overnight Financing Rate (SOFR). Whether or not SOFR attains market traction as a LIBOR alternative or replacement for U.S. dollar-denominated instruments remains in question and future of LIBOR at this time is uncertain. To address a potential transition away from LIBOR, the Term Loan Facility and ABL Line of Credit agreements each provide for an agreed upon methodology to amend such agreements to substitute LIBOR with an agreed replacement rate, subject to our consent and the applicable administrative agent, and in each case subject to a short lender negative consent period. However, there is no guarantee that any such replacement rate would be agreed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spacing w:after="0" w:line="219" w:lineRule="exact"/>
        <w:rPr>
          <w:sz w:val="20"/>
          <w:szCs w:val="20"/>
          <w:color w:val="auto"/>
        </w:rPr>
      </w:pPr>
      <w:r>
        <w:rPr>
          <w:rFonts w:ascii="Arial" w:cs="Arial" w:eastAsia="Arial" w:hAnsi="Arial"/>
          <w:sz w:val="18"/>
          <w:szCs w:val="18"/>
          <w:color w:val="auto"/>
        </w:rPr>
        <w:t>the applicable agents and lenders or that such consents would be obtained, and in such event we would be required to pay a rate of interest higher than expected on the amount owed under such agreements where the interest rate is subject to LIBOR. We have also entered into LIBOR</w:t>
      </w:r>
      <w:r>
        <w:rPr>
          <w:rFonts w:ascii="MS PGothic" w:cs="MS PGothic" w:eastAsia="MS PGothic" w:hAnsi="MS PGothic"/>
          <w:sz w:val="18"/>
          <w:szCs w:val="18"/>
          <w:color w:val="auto"/>
        </w:rPr>
        <w:t>‑</w:t>
      </w:r>
      <w:r>
        <w:rPr>
          <w:rFonts w:ascii="Arial" w:cs="Arial" w:eastAsia="Arial" w:hAnsi="Arial"/>
          <w:sz w:val="18"/>
          <w:szCs w:val="18"/>
          <w:color w:val="auto"/>
        </w:rPr>
        <w:t>based interest rate swap agreements to manage our exposure to interest rate movements resulting from changes in the benchmark interest rate of LIBOR. Any replacement of LIBOR as the basis on which interest on our floating-rate debt and/or under our interest rate swaps is calculated may result in interest rates and/or payments that do not correlate over time with the interest rates and/or payments that would have been made on our obligations if LIBOR was available in its current form.</w:t>
      </w:r>
    </w:p>
    <w:p>
      <w:pPr>
        <w:spacing w:after="0" w:line="230" w:lineRule="exact"/>
        <w:rPr>
          <w:sz w:val="20"/>
          <w:szCs w:val="20"/>
          <w:color w:val="auto"/>
        </w:rPr>
      </w:pPr>
    </w:p>
    <w:p>
      <w:pPr>
        <w:jc w:val="both"/>
        <w:ind w:firstLine="599"/>
        <w:spacing w:after="0" w:line="308" w:lineRule="auto"/>
        <w:rPr>
          <w:sz w:val="20"/>
          <w:szCs w:val="20"/>
          <w:color w:val="auto"/>
        </w:rPr>
      </w:pPr>
      <w:r>
        <w:rPr>
          <w:rFonts w:ascii="Arial" w:cs="Arial" w:eastAsia="Arial" w:hAnsi="Arial"/>
          <w:sz w:val="17"/>
          <w:szCs w:val="17"/>
          <w:color w:val="auto"/>
        </w:rPr>
        <w:t>In addition, any further changes or reforms to the determination or supervision of LIBOR may result in a sudden or prolonged increase or decrease in reported LIBOR, which could have a material adverse effect on our business, financial condition and results of operations.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62" w:lineRule="exact"/>
        <w:rPr>
          <w:sz w:val="20"/>
          <w:szCs w:val="20"/>
          <w:color w:val="auto"/>
        </w:rPr>
      </w:pPr>
    </w:p>
    <w:p>
      <w:pPr>
        <w:ind w:right="280" w:firstLine="599"/>
        <w:spacing w:after="0" w:line="263"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60" w:firstLine="599"/>
        <w:spacing w:after="0" w:line="293" w:lineRule="auto"/>
        <w:rPr>
          <w:sz w:val="20"/>
          <w:szCs w:val="20"/>
          <w:color w:val="auto"/>
        </w:rPr>
      </w:pPr>
      <w:r>
        <w:rPr>
          <w:rFonts w:ascii="Arial" w:cs="Arial" w:eastAsia="Arial" w:hAnsi="Arial"/>
          <w:sz w:val="16"/>
          <w:szCs w:val="16"/>
          <w:color w:val="auto"/>
        </w:rPr>
        <w:t>The market price of our common stock has fluctuated substantially in the past and may continue to fluctuate significantly. For example, in Fiscal 2019, our stock price fluctuated from a high of $236.02 to a low of $136.30.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spacing w:after="0" w:line="1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might discourage or delay acquisition attempts for us that stockholders might consider favorable.</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amended and restated certificate of incorporation and amended and restated bylaws contain provisions that may make the acquisition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more difficult without the approval of our Board of Directors. These provisions:</w:t>
      </w:r>
    </w:p>
    <w:p>
      <w:pPr>
        <w:spacing w:after="0" w:line="319" w:lineRule="exact"/>
        <w:rPr>
          <w:sz w:val="20"/>
          <w:szCs w:val="20"/>
          <w:color w:val="auto"/>
        </w:rPr>
      </w:pPr>
    </w:p>
    <w:p>
      <w:pPr>
        <w:jc w:val="both"/>
        <w:ind w:left="1240" w:right="1480" w:hanging="719"/>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183" w:lineRule="exact"/>
        <w:rPr>
          <w:rFonts w:ascii="Arial" w:cs="Arial" w:eastAsia="Arial" w:hAnsi="Arial"/>
          <w:sz w:val="18"/>
          <w:szCs w:val="18"/>
          <w:color w:val="auto"/>
        </w:rPr>
      </w:pPr>
    </w:p>
    <w:p>
      <w:pPr>
        <w:ind w:left="1240" w:hanging="719"/>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238" w:lineRule="exact"/>
        <w:rPr>
          <w:rFonts w:ascii="Arial" w:cs="Arial" w:eastAsia="Arial" w:hAnsi="Arial"/>
          <w:sz w:val="18"/>
          <w:szCs w:val="18"/>
          <w:color w:val="auto"/>
        </w:rPr>
      </w:pPr>
    </w:p>
    <w:p>
      <w:pPr>
        <w:ind w:left="1240" w:right="1180" w:hanging="719"/>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70" w:lineRule="exact"/>
        <w:rPr>
          <w:rFonts w:ascii="Arial" w:cs="Arial" w:eastAsia="Arial" w:hAnsi="Arial"/>
          <w:sz w:val="18"/>
          <w:szCs w:val="18"/>
          <w:color w:val="auto"/>
        </w:rPr>
      </w:pPr>
    </w:p>
    <w:p>
      <w:pPr>
        <w:jc w:val="both"/>
        <w:ind w:left="1240" w:right="1520" w:hanging="719"/>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our Board of Directors is divided into three classes, with each class serving for staggered three-year terms, which prevents stockholders from electing an entirely new Board of Directors at an annual meeting;</w:t>
      </w:r>
    </w:p>
    <w:p>
      <w:pPr>
        <w:spacing w:after="0" w:line="183" w:lineRule="exact"/>
        <w:rPr>
          <w:rFonts w:ascii="Arial" w:cs="Arial" w:eastAsia="Arial" w:hAnsi="Arial"/>
          <w:sz w:val="18"/>
          <w:szCs w:val="18"/>
          <w:color w:val="auto"/>
        </w:rPr>
      </w:pPr>
    </w:p>
    <w:p>
      <w:pPr>
        <w:ind w:left="1240" w:right="1380" w:hanging="719"/>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 and only upon the affirmative vote of at least 75% of the outstanding shares of our common stock;</w:t>
      </w:r>
    </w:p>
    <w:p>
      <w:pPr>
        <w:spacing w:after="0" w:line="170" w:lineRule="exact"/>
        <w:rPr>
          <w:rFonts w:ascii="Arial" w:cs="Arial" w:eastAsia="Arial" w:hAnsi="Arial"/>
          <w:sz w:val="18"/>
          <w:szCs w:val="18"/>
          <w:color w:val="auto"/>
        </w:rPr>
      </w:pPr>
    </w:p>
    <w:p>
      <w:pPr>
        <w:ind w:left="1240" w:hanging="719"/>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25" w:lineRule="exact"/>
        <w:rPr>
          <w:rFonts w:ascii="Arial" w:cs="Arial" w:eastAsia="Arial" w:hAnsi="Arial"/>
          <w:sz w:val="18"/>
          <w:szCs w:val="18"/>
          <w:color w:val="auto"/>
        </w:rPr>
      </w:pPr>
    </w:p>
    <w:p>
      <w:pPr>
        <w:ind w:left="1240" w:hanging="719"/>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alter or repeal our amended and restated bylaws; and</w:t>
      </w:r>
    </w:p>
    <w:p>
      <w:pPr>
        <w:spacing w:after="0" w:line="225" w:lineRule="exact"/>
        <w:rPr>
          <w:rFonts w:ascii="Arial" w:cs="Arial" w:eastAsia="Arial" w:hAnsi="Arial"/>
          <w:sz w:val="18"/>
          <w:szCs w:val="18"/>
          <w:color w:val="auto"/>
        </w:rPr>
      </w:pPr>
    </w:p>
    <w:p>
      <w:pPr>
        <w:ind w:left="1240" w:right="1760" w:hanging="719"/>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the approval of holders of at least 75% of the outstanding shares of our voting common stock to amend the amended and restated bylaws and certain provisions of the amended and restated certificate of incorporation.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80" w:firstLine="618"/>
        <w:spacing w:after="0" w:line="263" w:lineRule="auto"/>
        <w:rPr>
          <w:sz w:val="20"/>
          <w:szCs w:val="20"/>
          <w:color w:val="auto"/>
        </w:rPr>
      </w:pPr>
      <w:r>
        <w:rPr>
          <w:rFonts w:ascii="Arial" w:cs="Arial" w:eastAsia="Arial" w:hAnsi="Arial"/>
          <w:sz w:val="18"/>
          <w:szCs w:val="18"/>
          <w:color w:val="auto"/>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of their choosing and to cause us to take other corporate actions they desire.</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60" w:firstLine="595"/>
        <w:spacing w:after="0" w:line="257"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(iv) any other action asserting a claim against us that is governed by the internal affairs doctrine.</w:t>
      </w:r>
    </w:p>
    <w:p>
      <w:pPr>
        <w:spacing w:after="0" w:line="80" w:lineRule="exact"/>
        <w:rPr>
          <w:sz w:val="20"/>
          <w:szCs w:val="20"/>
          <w:color w:val="auto"/>
        </w:rPr>
      </w:pPr>
    </w:p>
    <w:p>
      <w:pPr>
        <w:ind w:right="60" w:firstLine="595"/>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cash dividends in the near term, stockholders may not receive any return on investment unless they are able to sell their common stock for a price greater than their purchase price.</w:t>
      </w:r>
    </w:p>
    <w:p>
      <w:pPr>
        <w:spacing w:after="0" w:line="62" w:lineRule="exact"/>
        <w:rPr>
          <w:sz w:val="20"/>
          <w:szCs w:val="20"/>
          <w:color w:val="auto"/>
        </w:rPr>
      </w:pPr>
    </w:p>
    <w:p>
      <w:pPr>
        <w:ind w:firstLine="595"/>
        <w:spacing w:after="0" w:line="255" w:lineRule="auto"/>
        <w:rPr>
          <w:sz w:val="20"/>
          <w:szCs w:val="20"/>
          <w:color w:val="auto"/>
        </w:rPr>
      </w:pPr>
      <w:r>
        <w:rPr>
          <w:rFonts w:ascii="Arial" w:cs="Arial" w:eastAsia="Arial" w:hAnsi="Arial"/>
          <w:sz w:val="18"/>
          <w:szCs w:val="18"/>
          <w:color w:val="auto"/>
        </w:rPr>
        <w:t>The continued operation and expansion of our business will require substantial funding. Accordingly, we do not anticipate that we will pay any cash dividends on shares of our common stock in the near term. Any determination to pay dividends in the future will be at the discretion of our Board of Directors and will depend upon results of operations, financial condition, contractual restrictions, including those under our ABL Line of Credit and Term Loan Facility, any potential future indebtedness we may incur, restrictions imposed by applicable law and other factors our Board of Directors deems relevant. Accordingly, if stockholders purchase shares of our common stock, realization of a gain on investment will depend on the appreciation of the price of our common stock, which may never occur.</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own the land and/or buildings for 36 of our stores and have leases for 690 of our stores. Our new stores are generally leased for an initial term of ten to fifteen years, the majority of which are subject to our option to renew such leases for several additional five-year periods. Store leases generally provide for fixed monthly rental payments, plus the payment, in most cases, of real estate taxes and other charges with escalation clauses. In many locations, our store leases contain formulas providing for the payment of additional rent based on sales. Most of our stores are freestanding or located in regional power centers, strip shopping centers or in malls.</w:t>
      </w:r>
    </w:p>
    <w:tbl>
      <w:tblPr>
        <w:tblLayout w:type="fixed"/>
        <w:tblInd w:w="1140" w:type="dxa"/>
        <w:tblCellMar>
          <w:top w:w="0" w:type="dxa"/>
          <w:left w:w="0" w:type="dxa"/>
          <w:bottom w:w="0" w:type="dxa"/>
          <w:right w:w="0" w:type="dxa"/>
        </w:tblCellMar>
      </w:tblPr>
      <w:tr>
        <w:trPr>
          <w:trHeight w:val="143"/>
        </w:trPr>
        <w:tc>
          <w:tcPr>
            <w:tcW w:w="5340" w:type="dxa"/>
            <w:vAlign w:val="bottom"/>
          </w:tcPr>
          <w:p>
            <w:pPr>
              <w:spacing w:after="0"/>
              <w:rPr>
                <w:sz w:val="12"/>
                <w:szCs w:val="12"/>
                <w:color w:val="auto"/>
              </w:rPr>
            </w:pPr>
          </w:p>
        </w:tc>
        <w:tc>
          <w:tcPr>
            <w:tcW w:w="1240" w:type="dxa"/>
            <w:vAlign w:val="bottom"/>
            <w:gridSpan w:val="2"/>
          </w:tcPr>
          <w:p>
            <w:pPr>
              <w:ind w:left="220"/>
              <w:spacing w:after="0" w:line="143" w:lineRule="exact"/>
              <w:rPr>
                <w:sz w:val="20"/>
                <w:szCs w:val="20"/>
                <w:color w:val="auto"/>
              </w:rPr>
            </w:pPr>
            <w:r>
              <w:rPr>
                <w:rFonts w:ascii="Arial" w:cs="Arial" w:eastAsia="Arial" w:hAnsi="Arial"/>
                <w:sz w:val="14"/>
                <w:szCs w:val="14"/>
                <w:b w:val="1"/>
                <w:bCs w:val="1"/>
                <w:color w:val="auto"/>
              </w:rPr>
              <w:t>Calendar</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Size</w:t>
            </w: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Year</w:t>
            </w:r>
          </w:p>
        </w:tc>
        <w:tc>
          <w:tcPr>
            <w:tcW w:w="12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71"/>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Primary Distribution Centers:</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Operational</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(sq. feet)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Edgewater Park, New Jersey(a)</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Burlington, New Jersey (Daniels Way)</w:t>
            </w:r>
          </w:p>
        </w:tc>
        <w:tc>
          <w:tcPr>
            <w:tcW w:w="1040" w:type="dxa"/>
            <w:vAlign w:val="bottom"/>
          </w:tcPr>
          <w:p>
            <w:pPr>
              <w:ind w:left="36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678,000</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San Bernardino, California</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Redlands, California (Pioneer Ave)</w:t>
            </w:r>
          </w:p>
        </w:tc>
        <w:tc>
          <w:tcPr>
            <w:tcW w:w="1040" w:type="dxa"/>
            <w:vAlign w:val="bottom"/>
          </w:tcPr>
          <w:p>
            <w:pPr>
              <w:ind w:left="36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Riverside, California (Cactus Ave)(b)</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b w:val="1"/>
                <w:bCs w:val="1"/>
                <w:color w:val="auto"/>
              </w:rPr>
              <w:t>Warehousing Facilities: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Burlington, New Jersey (Route 130 North)(a)</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1987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Burlington, New Jersey (Richards Run)</w:t>
            </w:r>
          </w:p>
        </w:tc>
        <w:tc>
          <w:tcPr>
            <w:tcW w:w="1040" w:type="dxa"/>
            <w:vAlign w:val="bottom"/>
          </w:tcPr>
          <w:p>
            <w:pPr>
              <w:ind w:left="36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511,000</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Redlands, California (River Bluff Ave)</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Inclusive of corporate offices.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for this distribution center was signed during Fiscal 2018.</w:t>
      </w:r>
    </w:p>
    <w:p>
      <w:pPr>
        <w:spacing w:after="0" w:line="22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own approximately 235 acres of land in Burlington and Florence, New Jersey on which we have constructed our corporate campus, which includes our corporate headquarters and a warehouse facility. We own approximately 43 acres of land in Edgewater Park, New Jersey on which we have constructed our Edgewater Park, New Jersey distribution center and an office facility. We lease approximately 35,000 square feet of office space in New York City (east coast buying office), and we are relocating our 10,000 square feet of office space in Los Angeles, California (west coast buying office) to a larger space consisting of approximately 25,000 square feet.</w:t>
      </w:r>
    </w:p>
    <w:p>
      <w:pPr>
        <w:spacing w:after="0" w:line="3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Like many retailers, the Company has been named in potential class or collective actions on behalf of groups alleging violations of federal and state wage and hour and other labor statutes, and alleged violation of state consumer and/or privacy protection and other statutes. In the normal course of business, we are also party to representative claims under the California Private Attorneys’ General Act and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Refer to Note 17 to our Consolidated Financial Statements, “Commitments and Contingencies,” for further detail.</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New York Stock Exchange under the symbol “BURL.”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of February 28, 2020, we had 277 holders of record of our common stock. This figure does not include the significantly greater number of beneficial holders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During the past two fiscal years, 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Any determination to pay dividends in the future will be at the discretion of our Board of Directors and will depend upon results of operations, financial condition, contractual restrictions, including those under our ABL Line of Credit and Term Loan Facility, any potential future indebtedness we may incur, restrictions imposed by applicable law and other factors our Board of Directors deems relevant.</w:t>
      </w:r>
    </w:p>
    <w:p>
      <w:pPr>
        <w:spacing w:after="0" w:line="19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performance graph below and related information shall not be deemed “soliciting material” or to be “filed” with the SEC for purposes of Section 18 of the Exchange Act, or otherwise subject to the liabilities under that Section, and shall not be deemed to be incorporated by reference into any future filing under the Securities Act or the Exchange Act, except to the extent that we specifically incorporate it by reference into such filing.</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2" w:name="page23"/>
    <w:bookmarkEnd w:id="22"/>
    <w:p>
      <w:pPr>
        <w:ind w:right="40" w:firstLine="510"/>
        <w:spacing w:after="0" w:line="259" w:lineRule="auto"/>
        <w:rPr>
          <w:sz w:val="20"/>
          <w:szCs w:val="20"/>
          <w:color w:val="auto"/>
        </w:rPr>
      </w:pPr>
      <w:r>
        <w:rPr>
          <w:rFonts w:ascii="Arial" w:cs="Arial" w:eastAsia="Arial" w:hAnsi="Arial"/>
          <w:sz w:val="18"/>
          <w:szCs w:val="18"/>
          <w:color w:val="auto"/>
        </w:rPr>
        <w:t>The following graph compares the cumulative total stockholder return on our common stock from the closing prices as of the end of each fiscal year from January 31, 2015 through February 1, 2020, with the return on the Standard &amp; Poor’s (S&amp;P) 500 Index and the S&amp;P Retailing Index over the same period. This graph assumes an initial investment of $100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127635</wp:posOffset>
            </wp:positionV>
            <wp:extent cx="5340350" cy="3951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035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Base Period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Indexed Returns for Fiscal Years Ended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 Index</w:t>
            </w:r>
          </w:p>
        </w:tc>
        <w:tc>
          <w:tcPr>
            <w:tcW w:w="8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January 30,</w:t>
            </w:r>
          </w:p>
        </w:tc>
        <w:tc>
          <w:tcPr>
            <w:tcW w:w="900" w:type="dxa"/>
            <w:vAlign w:val="bottom"/>
            <w:tcBorders>
              <w:top w:val="single" w:sz="8" w:color="auto"/>
            </w:tcBorders>
            <w:gridSpan w:val="2"/>
          </w:tcPr>
          <w:p>
            <w:pPr>
              <w:jc w:val="right"/>
              <w:ind w:right="17"/>
              <w:spacing w:after="0" w:line="133" w:lineRule="exact"/>
              <w:rPr>
                <w:sz w:val="20"/>
                <w:szCs w:val="20"/>
                <w:color w:val="auto"/>
              </w:rPr>
            </w:pPr>
            <w:r>
              <w:rPr>
                <w:rFonts w:ascii="Arial" w:cs="Arial" w:eastAsia="Arial" w:hAnsi="Arial"/>
                <w:sz w:val="14"/>
                <w:szCs w:val="14"/>
                <w:b w:val="1"/>
                <w:bCs w:val="1"/>
                <w:color w:val="auto"/>
              </w:rPr>
              <w:t>January 28,</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February 3,</w:t>
            </w:r>
          </w:p>
        </w:tc>
        <w:tc>
          <w:tcPr>
            <w:tcW w:w="112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February 2,</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2"/>
              </w:rPr>
              <w:t>February 1,</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Burlington Stores, Inc.</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435.90</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97.26</w:t>
            </w:r>
          </w:p>
        </w:tc>
        <w:tc>
          <w:tcPr>
            <w:tcW w:w="2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115.02</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138.45</w:t>
            </w:r>
          </w:p>
        </w:tc>
        <w:tc>
          <w:tcPr>
            <w:tcW w:w="2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135.67</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Retailing Index</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135.54</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648"/>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information regarding our purchases of common stock during the three fiscal months ended February 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Month</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Paid Per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71"/>
        </w:trPr>
        <w:tc>
          <w:tcPr>
            <w:tcW w:w="5840" w:type="dxa"/>
            <w:vAlign w:val="bottom"/>
            <w:gridSpan w:val="3"/>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November 3, 2019 through November 30, 2019</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Arial" w:cs="Arial" w:eastAsia="Arial" w:hAnsi="Arial"/>
                <w:sz w:val="18"/>
                <w:szCs w:val="18"/>
                <w:color w:val="auto"/>
              </w:rPr>
              <w:t>December 1, 2019 through January 4, 2020</w:t>
            </w:r>
          </w:p>
        </w:tc>
        <w:tc>
          <w:tcPr>
            <w:tcW w:w="1140" w:type="dxa"/>
            <w:vAlign w:val="bottom"/>
          </w:tcPr>
          <w:p>
            <w:pPr>
              <w:jc w:val="right"/>
              <w:spacing w:after="0"/>
              <w:rPr>
                <w:sz w:val="20"/>
                <w:szCs w:val="20"/>
                <w:color w:val="auto"/>
              </w:rPr>
            </w:pPr>
            <w:r>
              <w:rPr>
                <w:rFonts w:ascii="Arial" w:cs="Arial" w:eastAsia="Arial" w:hAnsi="Arial"/>
                <w:sz w:val="18"/>
                <w:szCs w:val="18"/>
                <w:color w:val="auto"/>
              </w:rPr>
              <w:t>236,574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224.90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236,145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January 5, 2020 through February 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227.43</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65,653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3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right="80" w:hanging="492"/>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purchased between November 3, 2019 and November 30, 2019, between December 1, 2019 and January 4, 2020 and between January 5, 2020 and February 1, 2020 include 6,731 shares, 429 shares and 11,480 shares, respectively, which were withheld for tax payments due upon the vesting of employee restricted stock awards, and do not reduce the dollar value that may yet be purchased under our publicly announced share repurchase program.</w:t>
      </w:r>
    </w:p>
    <w:p>
      <w:pPr>
        <w:spacing w:after="0" w:line="2" w:lineRule="exact"/>
        <w:rPr>
          <w:rFonts w:ascii="Arial" w:cs="Arial" w:eastAsia="Arial" w:hAnsi="Arial"/>
          <w:sz w:val="18"/>
          <w:szCs w:val="18"/>
          <w:color w:val="auto"/>
        </w:rPr>
      </w:pPr>
    </w:p>
    <w:p>
      <w:pPr>
        <w:ind w:left="500" w:right="80" w:hanging="492"/>
        <w:spacing w:after="0" w:line="25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15, 2018, our Board of Directors authorized the repurchase of up to $300 million of common stock, which was completed during the fourth quarter of Fiscal 2019. On August 14, 2019, our Board of Directors authorized the repurchase of up to an additional $400 million of common stock, which is authorized to be executed through August 2021. For a further discussion of our share repurchase programs, see Part II, Item 7, Management’s Discussion and Analysis of Financial Condition and Results of Operations—Liquidity and Capital Resources—Share Repurchase Program.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following table presents selected historical consolidated financial data. The historical consolidated balance sheet data and consolidated statement of operations data for Fiscal 2019, Fiscal 2018 and Fiscal 2017 and for the fiscal years ended January 28, 2017 (Fiscal 2016) and January 30, 2016 (Fiscal 2015) have been derived from our historical audited Consolidated Financial Statements.</w:t>
      </w:r>
    </w:p>
    <w:p>
      <w:pPr>
        <w:spacing w:after="0" w:line="184"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historical consolidated financial data presented below should only be read in conjunction with our audited Consolidated Financial Statements (and the related notes thereto) and Item 7, Management’s Discussion and Analysis of Financial Condition and Results of Operations, each of which are included elsewhere in this Annual Report. Our historical consolidated financial data may not be indicative of our future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Fiscal Year Ended (1)</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1"/>
                <w:szCs w:val="11"/>
                <w:color w:val="auto"/>
              </w:rPr>
            </w:pPr>
          </w:p>
        </w:tc>
        <w:tc>
          <w:tcPr>
            <w:tcW w:w="1120" w:type="dxa"/>
            <w:vAlign w:val="bottom"/>
            <w:gridSpan w:val="2"/>
          </w:tcPr>
          <w:p>
            <w:pPr>
              <w:jc w:val="right"/>
              <w:ind w:right="288"/>
              <w:spacing w:after="0" w:line="133" w:lineRule="exact"/>
              <w:rPr>
                <w:sz w:val="20"/>
                <w:szCs w:val="20"/>
                <w:color w:val="auto"/>
              </w:rPr>
            </w:pPr>
            <w:r>
              <w:rPr>
                <w:rFonts w:ascii="Arial" w:cs="Arial" w:eastAsia="Arial" w:hAnsi="Arial"/>
                <w:sz w:val="14"/>
                <w:szCs w:val="14"/>
                <w:b w:val="1"/>
                <w:bCs w:val="1"/>
                <w:color w:val="auto"/>
                <w:w w:val="97"/>
              </w:rPr>
              <w:t>February 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February 3,</w:t>
            </w:r>
          </w:p>
        </w:tc>
        <w:tc>
          <w:tcPr>
            <w:tcW w:w="120" w:type="dxa"/>
            <w:vAlign w:val="bottom"/>
          </w:tcPr>
          <w:p>
            <w:pPr>
              <w:spacing w:after="0"/>
              <w:rPr>
                <w:sz w:val="11"/>
                <w:szCs w:val="11"/>
                <w:color w:val="auto"/>
              </w:rPr>
            </w:pPr>
          </w:p>
        </w:tc>
        <w:tc>
          <w:tcPr>
            <w:tcW w:w="110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w w:val="93"/>
              </w:rPr>
              <w:t>January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9"/>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(dollar amounts in thousands, except per share data)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7,261,243</w:t>
            </w:r>
          </w:p>
        </w:tc>
        <w:tc>
          <w:tcPr>
            <w:tcW w:w="2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6,643,051</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6,084,766</w:t>
            </w:r>
          </w:p>
        </w:tc>
        <w:tc>
          <w:tcPr>
            <w:tcW w:w="2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5,566,038</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5,098,932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465,116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share—basic:</w:t>
            </w: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FF0FC"/>
            </w:tcBorders>
            <w:gridSpan w:val="2"/>
            <w:vMerge w:val="continue"/>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per common share—diluted:</w:t>
            </w:r>
          </w:p>
        </w:tc>
        <w:tc>
          <w:tcPr>
            <w:tcW w:w="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Consolidated Balance Sheet Data (end of the period):</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777,248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954,183</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752,562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701,891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783,528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5,593,859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3,079,172</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2,812,829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2,574,483</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2,571,813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1,001,723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983,643</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1,295,163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528,149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322,710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86,774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(49,812)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(99,022)</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Other Financial Data:</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Adjusted Net Income(2)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498,784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442,540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405,753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232,268</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174,555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883,905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792,215</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696,066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584,562</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484,029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Comparable store sales growth(4)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 rate</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Store payroll as a percentage of net sales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increase (decrease)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(26,930)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60,682</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Working capital (deficit)(5)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(46,998)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(96,310)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stores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Gross square footage (in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46,773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44,736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square footage (in thousands)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2019, Fiscal 2018, Fiscal 2016 and Fiscal 2015 consisted of 52 weeks. Fiscal 2017 consisted of 53 weeks.</w:t>
      </w:r>
    </w:p>
    <w:p>
      <w:pPr>
        <w:spacing w:after="0" w:line="23" w:lineRule="exact"/>
        <w:rPr>
          <w:rFonts w:ascii="Arial" w:cs="Arial" w:eastAsia="Arial" w:hAnsi="Arial"/>
          <w:sz w:val="18"/>
          <w:szCs w:val="18"/>
          <w:color w:val="auto"/>
        </w:rPr>
      </w:pPr>
    </w:p>
    <w:p>
      <w:pPr>
        <w:ind w:left="500" w:right="20" w:hanging="492"/>
        <w:spacing w:after="0" w:line="28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Net Income as net income, exclusive of the following items: (i) net favorable lease costs, (ii) costs related to debt amendments and secondary offerings, (iii) stock option modification expense, (iv) loss on extinguishment of debt, (v) impairment charges, (vi) advisory fees, (vii) amounts related to certain litigation and (viii) other unusual, non-recurring or extraordinary expenses, losses, charges or gains, all of which are tax effected to arrive at Adjusted Net Income. For further discussion of Adjusted Net Income, including a reconciliation of Adjusted Net Income to net income, see Part II, Item 7. Management’s Discussion and Analysis of Financial Condition and Results of Operations—Key Performance Measures.</w:t>
      </w:r>
    </w:p>
    <w:p>
      <w:pPr>
        <w:spacing w:after="0" w:line="2" w:lineRule="exact"/>
        <w:rPr>
          <w:rFonts w:ascii="Arial" w:cs="Arial" w:eastAsia="Arial" w:hAnsi="Arial"/>
          <w:sz w:val="16"/>
          <w:szCs w:val="16"/>
          <w:color w:val="auto"/>
        </w:rPr>
      </w:pPr>
    </w:p>
    <w:p>
      <w:pPr>
        <w:ind w:left="500" w:right="6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Adjusted EBITDA as net income, exclusive of the following items: (i) interest expense, (ii) interest income, (iii) loss on extinguishment of debt, (iv) income tax expense (benefit), (v) depreciation and amortization, (vi) impairment charges, (vii) advisory fees, (viii) stock option modification expense, (ix) costs related to debt amendments and secondary offerings, (x) amounts related to certain litigation and (xi) other unusual, non-recurring or extraordinary expenses, losses, charges or gains. For further discussion of Adjusted EBITDA, including a reconciliation of Adjusted EBITDA to net income, see Part II, Item 7. Management’s Discussion and Analysis of Financial Condition and Results of Operations— Key Performance Measures.</w:t>
      </w:r>
    </w:p>
    <w:p>
      <w:pPr>
        <w:spacing w:after="0" w:line="2" w:lineRule="exact"/>
        <w:rPr>
          <w:rFonts w:ascii="Arial" w:cs="Arial" w:eastAsia="Arial" w:hAnsi="Arial"/>
          <w:sz w:val="18"/>
          <w:szCs w:val="18"/>
          <w:color w:val="auto"/>
        </w:rPr>
      </w:pPr>
    </w:p>
    <w:p>
      <w:pPr>
        <w:jc w:val="both"/>
        <w:ind w:left="500" w:right="12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comparable store sales as sales of those stores, including online sales, commencing on the first day of the fiscal month one year after the end of their grand opening activities, which normally conclude within the first two months of operations. Our comparable store sales are based on a 52-week basis.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working capital as current assets (excluding restricted cash) minus current liabilities.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i w:val="1"/>
          <w:iCs w:val="1"/>
          <w:color w:val="auto"/>
        </w:rPr>
        <w:t>For purposes of the following “Management’s Discussion and Analysis of Financial Condition and Results of Operations,” unless the context requires otherwise, references to “the Company,” “we,” “our,” or “us” refer to Burlington Stores, Inc. and its consolidated subsidiaries.</w:t>
      </w:r>
    </w:p>
    <w:p>
      <w:pPr>
        <w:spacing w:after="0" w:line="146" w:lineRule="exact"/>
        <w:rPr>
          <w:sz w:val="20"/>
          <w:szCs w:val="20"/>
          <w:color w:val="auto"/>
        </w:rPr>
      </w:pPr>
    </w:p>
    <w:p>
      <w:pPr>
        <w:jc w:val="both"/>
        <w:ind w:right="380" w:firstLine="510"/>
        <w:spacing w:after="0" w:line="286" w:lineRule="auto"/>
        <w:rPr>
          <w:sz w:val="20"/>
          <w:szCs w:val="20"/>
          <w:color w:val="auto"/>
        </w:rPr>
      </w:pPr>
      <w:r>
        <w:rPr>
          <w:rFonts w:ascii="Arial" w:cs="Arial" w:eastAsia="Arial" w:hAnsi="Arial"/>
          <w:sz w:val="17"/>
          <w:szCs w:val="17"/>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“Item 6, Selected Financial Data” and our Consolidated Financial Statements, including the notes thereto, appearing elsewhere in this Annual Report.</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set forth under the caption above entitled “Cautionary Statement Regarding Forward-Looking Statements.” Our actual results and the timing of events may differ materially from those anticipated in these forward-looking statements as a result of various factors, including those set forth in Item 1A, Risk Factors and elsewhere in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a nationally recognized retailer of high-quality, branded apparel at everyday low prices. We opened our first store in Burlington, New Jersey in 1972, selling primarily coats and outerwear. Since then, we have expanded our store base to 727 stores as of February 1, 2020, inclusive of an internet store, in 45 states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nationally-recognized manufacturers and other suppliers.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Fiscal 2019 Operating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Highlights from Fiscal 2019 compared with Fiscal 2018 include the following:</w:t>
      </w:r>
    </w:p>
    <w:p>
      <w:pPr>
        <w:spacing w:after="0" w:line="11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total revenues of $7,286.4 million compared with $6,668.5 million.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improved $618.2 million to $7,261.2 million. Comparable store sales increased 2.7%.</w:t>
      </w:r>
    </w:p>
    <w:p>
      <w:pPr>
        <w:spacing w:after="0" w:line="117"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margin as a percentage of net sales remained consistent at 41.8%. Product sourcing costs, which are included in selling, general and administrative expenses, remained flat as a percentage of net sales. Product sourcing costs include the costs of processing goods through our supply chain and buying costs.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increased to 30.7% compared with 30.4%.</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earned net income of $465.1 million compared with $414.7 million, an increase of $50.4 million.</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(as defined in the section below entitled “Key Performance Measures”), exclusive of management transition costs, improved $56.2 million to $498.8 million.</w:t>
      </w:r>
    </w:p>
    <w:p>
      <w:pPr>
        <w:spacing w:after="0" w:line="62"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(as defined in the section below entitled “Key Performance Measures”), exclusive of management transition costs, improved $91.7 million to $883.9 million.</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 (as defined in the section below entitled “Key Performance Measures”), exclusive of management transition costs, improved $73.1 million to $673.6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Openings, Closings and Relocations</w:t>
      </w:r>
    </w:p>
    <w:p>
      <w:pPr>
        <w:spacing w:after="0" w:line="117" w:lineRule="exact"/>
        <w:rPr>
          <w:sz w:val="20"/>
          <w:szCs w:val="20"/>
          <w:color w:val="auto"/>
        </w:rPr>
      </w:pPr>
    </w:p>
    <w:p>
      <w:pPr>
        <w:jc w:val="both"/>
        <w:ind w:right="420" w:firstLine="510"/>
        <w:spacing w:after="0" w:line="311" w:lineRule="auto"/>
        <w:rPr>
          <w:sz w:val="20"/>
          <w:szCs w:val="20"/>
          <w:color w:val="auto"/>
        </w:rPr>
      </w:pPr>
      <w:r>
        <w:rPr>
          <w:rFonts w:ascii="Arial" w:cs="Arial" w:eastAsia="Arial" w:hAnsi="Arial"/>
          <w:sz w:val="16"/>
          <w:szCs w:val="16"/>
          <w:color w:val="auto"/>
        </w:rPr>
        <w:t>During Fiscal 2019, we opened 76 new stores, inclusive of 16 relocations, and closed eight stores, exclusive of the aforementioned relocations, bringing our store count as of February 1, 2020 to 727 stores, inclusive of an internet store. We will wind down operations of the internet store during Fiscal 2020. We continue to pursue our growth plans and invest in capital projects that meet our financial requirements. During the fiscal year ending</w:t>
      </w:r>
    </w:p>
    <w:p>
      <w:pPr>
        <w:ind w:right="780"/>
        <w:spacing w:after="0" w:line="293" w:lineRule="auto"/>
        <w:rPr>
          <w:sz w:val="20"/>
          <w:szCs w:val="20"/>
          <w:color w:val="auto"/>
        </w:rPr>
      </w:pPr>
      <w:r>
        <w:rPr>
          <w:rFonts w:ascii="Arial" w:cs="Arial" w:eastAsia="Arial" w:hAnsi="Arial"/>
          <w:sz w:val="18"/>
          <w:szCs w:val="18"/>
          <w:color w:val="auto"/>
        </w:rPr>
        <w:t>January 30, 2021 (Fiscal 2020), we plan to open approximately 54 net new stores, which includes approximately 80 gross new stores, along with approximately 26 store relocations and closings.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Ongoing Initiatives for Fiscal 2020</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continue to focus on a number of ongoing initiatives aimed at driving merchandise value and increasing our overall profitability by improving our comparable store sales trends, increasing total sales growth and reducing expenses. These initiatives include:</w:t>
      </w:r>
    </w:p>
    <w:p>
      <w:pPr>
        <w:spacing w:after="0" w:line="58"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85" w:lineRule="exact"/>
        <w:rPr>
          <w:sz w:val="20"/>
          <w:szCs w:val="20"/>
          <w:color w:val="auto"/>
        </w:rPr>
      </w:pPr>
    </w:p>
    <w:p>
      <w:pPr>
        <w:ind w:left="1520" w:hanging="500"/>
        <w:spacing w:after="0" w:line="206" w:lineRule="auto"/>
        <w:tabs>
          <w:tab w:leader="none" w:pos="1520" w:val="left"/>
        </w:tabs>
        <w:numPr>
          <w:ilvl w:val="1"/>
          <w:numId w:val="16"/>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More Effectively Chasing the Sales Trend. </w:t>
      </w:r>
      <w:r>
        <w:rPr>
          <w:rFonts w:ascii="Arial" w:cs="Arial" w:eastAsia="Arial" w:hAnsi="Arial"/>
          <w:sz w:val="18"/>
          <w:szCs w:val="18"/>
          <w:color w:val="auto"/>
        </w:rPr>
        <w:t>We are planning a more conservative comparable stores sales growth, holding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liquidity, closely analyzing the sales trend by business, and being ready to chase that trend. We believe that these actions should not only enable us to more effectively chase the trend, but they will also allow us to take more advantage of great opportunistic buys.</w:t>
      </w:r>
    </w:p>
    <w:p>
      <w:pPr>
        <w:spacing w:after="0" w:line="97" w:lineRule="exact"/>
        <w:rPr>
          <w:rFonts w:ascii="Arial" w:cs="Arial" w:eastAsia="Arial" w:hAnsi="Arial"/>
          <w:sz w:val="36"/>
          <w:szCs w:val="36"/>
          <w:color w:val="auto"/>
          <w:vertAlign w:val="superscript"/>
        </w:rPr>
      </w:pPr>
    </w:p>
    <w:p>
      <w:pPr>
        <w:ind w:left="1520" w:right="140" w:hanging="500"/>
        <w:spacing w:after="0" w:line="259" w:lineRule="auto"/>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Making a Greater Investment in Merchandising Capabilities. </w:t>
      </w:r>
      <w:r>
        <w:rPr>
          <w:rFonts w:ascii="Arial" w:cs="Arial" w:eastAsia="Arial" w:hAnsi="Arial"/>
          <w:sz w:val="18"/>
          <w:szCs w:val="18"/>
          <w:color w:val="auto"/>
        </w:rPr>
        <w:t>We intend to invest in incremental headcount, especially in growing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under-developed businesses, training and coaching, improved tools and reporting, and other forms of merchant support. We believe that these investments should improve our ability to develop vendor relationships, source great merchandise buys, more accurately assess value, and better forecast and chase the sales trend.</w:t>
      </w:r>
    </w:p>
    <w:p>
      <w:pPr>
        <w:spacing w:after="0" w:line="146" w:lineRule="exact"/>
        <w:rPr>
          <w:rFonts w:ascii="Arial" w:cs="Arial" w:eastAsia="Arial" w:hAnsi="Arial"/>
          <w:sz w:val="18"/>
          <w:szCs w:val="18"/>
          <w:color w:val="auto"/>
        </w:rPr>
      </w:pPr>
    </w:p>
    <w:p>
      <w:pPr>
        <w:ind w:left="1520" w:right="40" w:hanging="500"/>
        <w:spacing w:after="0" w:line="195" w:lineRule="auto"/>
        <w:tabs>
          <w:tab w:leader="none" w:pos="1520" w:val="left"/>
        </w:tabs>
        <w:numPr>
          <w:ilvl w:val="1"/>
          <w:numId w:val="16"/>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Operating with Leaner Inventories. </w:t>
      </w:r>
      <w:r>
        <w:rPr>
          <w:rFonts w:ascii="Arial" w:cs="Arial" w:eastAsia="Arial" w:hAnsi="Arial"/>
          <w:sz w:val="18"/>
          <w:szCs w:val="18"/>
          <w:color w:val="auto"/>
        </w:rPr>
        <w:t>We are planning to carry less inventory going forward, which we believe should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finding a higher mix of fresh receipts and great merchandise values within the racks. We believe that this should drive faster turns and lower markdowns, while simultaneously improving our customers’ shopping experience.</w:t>
      </w:r>
    </w:p>
    <w:p>
      <w:pPr>
        <w:spacing w:after="0" w:line="96" w:lineRule="exact"/>
        <w:rPr>
          <w:rFonts w:ascii="Arial" w:cs="Arial" w:eastAsia="Arial" w:hAnsi="Arial"/>
          <w:sz w:val="36"/>
          <w:szCs w:val="36"/>
          <w:color w:val="auto"/>
          <w:vertAlign w:val="superscript"/>
        </w:rPr>
      </w:pPr>
    </w:p>
    <w:p>
      <w:pPr>
        <w:ind w:left="1520" w:right="120" w:hanging="500"/>
        <w:spacing w:after="0" w:line="259" w:lineRule="auto"/>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Enhancing Existing Categories and Introducing New Categories. </w:t>
      </w:r>
      <w:r>
        <w:rPr>
          <w:rFonts w:ascii="Arial" w:cs="Arial" w:eastAsia="Arial" w:hAnsi="Arial"/>
          <w:sz w:val="18"/>
          <w:szCs w:val="18"/>
          <w:color w:val="auto"/>
        </w:rPr>
        <w:t>We have opportunities to expand the depth and breadth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categories, such as ladies’ apparel, children’s products, bath and cosmetic merchandise, housewares, décor for the home and beauty as we continue to de-weather our business, and maintain the flexibility to introduce new categories as we expand our merchandising capabilities.</w:t>
      </w:r>
    </w:p>
    <w:p>
      <w:pPr>
        <w:spacing w:after="0" w:line="18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Expanding and Enhancing Our Retail Store Base.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17" w:lineRule="exact"/>
        <w:rPr>
          <w:sz w:val="20"/>
          <w:szCs w:val="20"/>
          <w:color w:val="auto"/>
        </w:rPr>
      </w:pPr>
    </w:p>
    <w:p>
      <w:pPr>
        <w:ind w:left="1520" w:right="20" w:hanging="500"/>
        <w:spacing w:after="0" w:line="259"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Adhering to a Market Focused and Financially Disciplined Real Estate Strategy. </w:t>
      </w:r>
      <w:r>
        <w:rPr>
          <w:rFonts w:ascii="Arial" w:cs="Arial" w:eastAsia="Arial" w:hAnsi="Arial"/>
          <w:sz w:val="18"/>
          <w:szCs w:val="18"/>
          <w:color w:val="auto"/>
        </w:rPr>
        <w:t>We have grown our store base consistently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in 1972, developing more than 99% of our stores organically. We believe there is significant opportunity to expand our retail store base in the United States. We have identified numerous market opportunities that we believe will allow us to operate at least 1,000 stores over the long term.</w:t>
      </w:r>
    </w:p>
    <w:p>
      <w:pPr>
        <w:spacing w:after="0" w:line="78" w:lineRule="exact"/>
        <w:rPr>
          <w:rFonts w:ascii="Arial" w:cs="Arial" w:eastAsia="Arial" w:hAnsi="Arial"/>
          <w:sz w:val="18"/>
          <w:szCs w:val="18"/>
          <w:color w:val="auto"/>
        </w:rPr>
      </w:pPr>
    </w:p>
    <w:p>
      <w:pPr>
        <w:ind w:left="1520" w:right="120" w:hanging="500"/>
        <w:spacing w:after="0" w:line="255"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Maintaining Focus on Unit Economics and Returns. </w:t>
      </w:r>
      <w:r>
        <w:rPr>
          <w:rFonts w:ascii="Arial" w:cs="Arial" w:eastAsia="Arial" w:hAnsi="Arial"/>
          <w:sz w:val="18"/>
          <w:szCs w:val="18"/>
          <w:color w:val="auto"/>
        </w:rPr>
        <w:t>We have adopted a market focused approach to new store openings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focus on maximizing sales while achieving attractive unit economics and returns. This focus is demonstrated by the fact that more than 98% of our existing stores had positive Adjusted EBIT for Fiscal 2019. By focusing on opening stores with attractive unit economics, we believe that we are able to achieve attractive returns on capital and continue to grow our margins. We believe that as we continue to reduce our comparable store inventory, we will be able to reduce the square footage of our stores while continuing to maintain our broad assortment.</w:t>
      </w:r>
    </w:p>
    <w:p>
      <w:pPr>
        <w:spacing w:after="0" w:line="84" w:lineRule="exact"/>
        <w:rPr>
          <w:rFonts w:ascii="Arial" w:cs="Arial" w:eastAsia="Arial" w:hAnsi="Arial"/>
          <w:sz w:val="18"/>
          <w:szCs w:val="18"/>
          <w:color w:val="auto"/>
        </w:rPr>
      </w:pPr>
    </w:p>
    <w:p>
      <w:pPr>
        <w:ind w:left="1520" w:hanging="500"/>
        <w:spacing w:after="0" w:line="255"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Enhancing the Store Experience Through Store Remodels and Relocations. </w:t>
      </w:r>
      <w:r>
        <w:rPr>
          <w:rFonts w:ascii="Arial" w:cs="Arial" w:eastAsia="Arial" w:hAnsi="Arial"/>
          <w:sz w:val="18"/>
          <w:szCs w:val="18"/>
          <w:color w:val="auto"/>
        </w:rPr>
        <w:t>We continue to invest in store remodels on a store-by-store</w:t>
      </w:r>
      <w:r>
        <w:rPr>
          <w:rFonts w:ascii="Arial" w:cs="Arial" w:eastAsia="Arial" w:hAnsi="Arial"/>
          <w:sz w:val="18"/>
          <w:szCs w:val="18"/>
          <w:i w:val="1"/>
          <w:iCs w:val="1"/>
          <w:color w:val="auto"/>
        </w:rPr>
        <w:t xml:space="preserve"> </w:t>
      </w:r>
      <w:r>
        <w:rPr>
          <w:rFonts w:ascii="Arial" w:cs="Arial" w:eastAsia="Arial" w:hAnsi="Arial"/>
          <w:sz w:val="18"/>
          <w:szCs w:val="18"/>
          <w:color w:val="auto"/>
        </w:rPr>
        <w:t>basis where appropriate, taking into consideration the age, sales and profitability of a store, as well as the potential impact to the customer shopping experience. During Fiscal 2019, we remodeled 28 of our stores and relocated 16 stores. In our remodeled stores, we have typically incorporated new flooring, painting, lighting and graphics, relocated our fitting rooms to maximize productive selling space, enhanced certain departments such as home and accessories and made various other improvements as appropriate by location.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7" w:name="page28"/>
    <w:bookmarkEnd w:id="27"/>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Enhancing Operating Margins.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17" w:lineRule="exact"/>
        <w:rPr>
          <w:sz w:val="20"/>
          <w:szCs w:val="20"/>
          <w:color w:val="auto"/>
        </w:rPr>
      </w:pPr>
    </w:p>
    <w:p>
      <w:pPr>
        <w:ind w:left="1520" w:right="120" w:hanging="500"/>
        <w:spacing w:after="0" w:line="286" w:lineRule="auto"/>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Improving Operational Flexibility. </w:t>
      </w:r>
      <w:r>
        <w:rPr>
          <w:rFonts w:ascii="Arial" w:cs="Arial" w:eastAsia="Arial" w:hAnsi="Arial"/>
          <w:sz w:val="17"/>
          <w:szCs w:val="17"/>
          <w:color w:val="auto"/>
        </w:rPr>
        <w:t>Our store and supply chain teams must continue to respond to the challenge of becoming more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responsive to the sales chase, enhancing their ability at flexing up and down based on trends. Their ability to appropriately flex based on the ongoing trends allows us to maximize leverage on sales, regardless of the trend.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Optimizing Markdowns. </w:t>
      </w:r>
      <w:r>
        <w:rPr>
          <w:rFonts w:ascii="Arial" w:cs="Arial" w:eastAsia="Arial" w:hAnsi="Arial"/>
          <w:sz w:val="18"/>
          <w:szCs w:val="18"/>
          <w:color w:val="auto"/>
        </w:rPr>
        <w:t>We believe that our markdown system allows us to maximize sales and gross margin dollars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sales forecasts, sell-through targets and exit dates. Additionally, as we plan to carry less inventory in our stores, we expect to drive faster turns, which in turn will reduce the amount of markdowns taken.</w:t>
      </w:r>
    </w:p>
    <w:p>
      <w:pPr>
        <w:spacing w:after="0" w:line="102" w:lineRule="exact"/>
        <w:rPr>
          <w:rFonts w:ascii="Arial" w:cs="Arial" w:eastAsia="Arial" w:hAnsi="Arial"/>
          <w:sz w:val="18"/>
          <w:szCs w:val="18"/>
          <w:color w:val="auto"/>
        </w:rPr>
      </w:pPr>
    </w:p>
    <w:p>
      <w:pPr>
        <w:ind w:left="1520" w:right="160" w:hanging="500"/>
        <w:spacing w:after="0" w:line="263"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Enhancing Purchasing Power. </w:t>
      </w:r>
      <w:r>
        <w:rPr>
          <w:rFonts w:ascii="Arial" w:cs="Arial" w:eastAsia="Arial" w:hAnsi="Arial"/>
          <w:sz w:val="18"/>
          <w:szCs w:val="18"/>
          <w:color w:val="auto"/>
        </w:rPr>
        <w:t>We believe that increasing our store footprint and expanding our west coast buying office provides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opportunity to capture incremental buying opportunities and realize economies of scale in our merchandising and non-merchandising purchasing activities.</w:t>
      </w:r>
    </w:p>
    <w:p>
      <w:pPr>
        <w:spacing w:after="0" w:line="75" w:lineRule="exact"/>
        <w:rPr>
          <w:rFonts w:ascii="Arial" w:cs="Arial" w:eastAsia="Arial" w:hAnsi="Arial"/>
          <w:sz w:val="18"/>
          <w:szCs w:val="18"/>
          <w:color w:val="auto"/>
        </w:rPr>
      </w:pPr>
    </w:p>
    <w:p>
      <w:pPr>
        <w:ind w:left="1520" w:hanging="500"/>
        <w:spacing w:after="0" w:line="25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Challenging Expenses to Drive Operating Leverage. </w:t>
      </w:r>
      <w:r>
        <w:rPr>
          <w:rFonts w:ascii="Arial" w:cs="Arial" w:eastAsia="Arial" w:hAnsi="Arial"/>
          <w:sz w:val="18"/>
          <w:szCs w:val="18"/>
          <w:color w:val="auto"/>
        </w:rPr>
        <w:t>We believe that we will be able to leverage our growing sales over the fixed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business. In addition, by more conservatively planning our comparable store sales growth, we are forcing even tighter expense control. We believe that this should put us in a strong position to drive operating leverage on any sales ahead of the plan. Additionally, we plan to continue challenging the processes and operating norms throughout the organization with the belief that this will lead to incremental efficiency improvements and savings.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5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i w:val="1"/>
          <w:iCs w:val="1"/>
          <w:color w:val="auto"/>
        </w:rPr>
        <w:t>Seasonality of Sales and Weather Conditions</w:t>
      </w:r>
      <w:r>
        <w:rPr>
          <w:rFonts w:ascii="Arial" w:cs="Arial" w:eastAsia="Arial" w:hAnsi="Arial"/>
          <w:sz w:val="17"/>
          <w:szCs w:val="17"/>
          <w:color w:val="auto"/>
        </w:rPr>
        <w:t>. Our business, like that of most retailers, is subject to seasonal influences. In the second 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which includes the back-to-school and holiday seasons, we generally realize a higher level of sales and net income.</w:t>
      </w:r>
    </w:p>
    <w:p>
      <w:pPr>
        <w:spacing w:after="0" w:line="14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18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i w:val="1"/>
          <w:iCs w:val="1"/>
          <w:color w:val="auto"/>
        </w:rPr>
        <w:t xml:space="preserve">General Economic Conditions. </w:t>
      </w:r>
      <w:r>
        <w:rPr>
          <w:rFonts w:ascii="Arial" w:cs="Arial" w:eastAsia="Arial" w:hAnsi="Arial"/>
          <w:sz w:val="17"/>
          <w:szCs w:val="17"/>
          <w:color w:val="auto"/>
        </w:rPr>
        <w:t>Consumer spending habits, including spending for the merchandise that we sell, are affected by,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17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A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taxes and healthcare. The outbreak or escalation of war, the occurrence of terrorist acts or other hostilities in or affecting the U.S., or public health issues such as pandemics or epidemics, including the recent outbreak of a novel strain of coronavirus (COVID-19), could lead to a decrease in spending by consumers. We are continuing to monitor and assess the effects of the COVID-19 outbreak on our operations. In addition, natural disasters, industrial accidents, acts of war in various parts of the world and public health issues could have the effect of disrupting supplies and raising prices globally which, in turn, may have adverse effects on the world and U.S. economies and lead to a downturn in consumer confidence and spending.</w:t>
      </w:r>
    </w:p>
    <w:p>
      <w:pPr>
        <w:spacing w:after="0" w:line="165"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closely monitor our net sales, gross margin and expenses. We have performed scenario planning such that, if our net sales decline, we have identified variable costs that could be reduced to partially mitigate the impact of these declines. If we were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experience adverse economic trends and our efforts to counteract the impacts of these trends are not sufficiently effective, there could be a negative impact on our financial performance and position in future fiscal periods.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Competition and Margin Pressure. </w:t>
      </w:r>
      <w:r>
        <w:rPr>
          <w:rFonts w:ascii="Arial" w:cs="Arial" w:eastAsia="Arial" w:hAnsi="Arial"/>
          <w:sz w:val="18"/>
          <w:szCs w:val="18"/>
          <w:color w:val="auto"/>
        </w:rPr>
        <w:t>We believe that in order to remain competitive with retailers, including off-price retailers and discount stores,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continue to offer brand-name merchandise at a discount to prices offered by other retailers as well as an assortment of merchandise that is appealing to our customers.</w:t>
      </w:r>
    </w:p>
    <w:p>
      <w:pPr>
        <w:spacing w:after="0" w:line="184"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U.S. retail apparel and home furnishings markets are highly fragmented and competitive. We compete for business with department stores, off-price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6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Ongoing international trade and tariff negotiations could have a direct impact on our income and an indirect impact on consumer prices.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4" w:lineRule="exact"/>
        <w:rPr>
          <w:sz w:val="20"/>
          <w:szCs w:val="20"/>
          <w:color w:val="auto"/>
        </w:rPr>
      </w:pPr>
    </w:p>
    <w:p>
      <w:pPr>
        <w:ind w:right="300" w:firstLine="510"/>
        <w:spacing w:after="0" w:line="341" w:lineRule="auto"/>
        <w:rPr>
          <w:sz w:val="20"/>
          <w:szCs w:val="20"/>
          <w:color w:val="auto"/>
        </w:rPr>
      </w:pPr>
      <w:r>
        <w:rPr>
          <w:rFonts w:ascii="Arial" w:cs="Arial" w:eastAsia="Arial" w:hAnsi="Arial"/>
          <w:sz w:val="16"/>
          <w:szCs w:val="16"/>
          <w:color w:val="auto"/>
        </w:rPr>
        <w:t>We consider numerous factors in assessing our performance. Key performance measures used by management include net income</w:t>
      </w:r>
      <w:r>
        <w:rPr>
          <w:rFonts w:ascii="Arial" w:cs="Arial" w:eastAsia="Arial" w:hAnsi="Arial"/>
          <w:sz w:val="19"/>
          <w:szCs w:val="19"/>
          <w:color w:val="auto"/>
        </w:rPr>
        <w:t>,</w:t>
      </w:r>
      <w:r>
        <w:rPr>
          <w:rFonts w:ascii="Arial" w:cs="Arial" w:eastAsia="Arial" w:hAnsi="Arial"/>
          <w:sz w:val="16"/>
          <w:szCs w:val="16"/>
          <w:color w:val="auto"/>
        </w:rPr>
        <w:t xml:space="preserve"> Adjusted Net Income, Adjusted EBITDA, Adjusted EBIT, comparable store sales, gross margin, inventory, store payroll as a percentage of net sales and liquidity.</w:t>
      </w:r>
    </w:p>
    <w:p>
      <w:pPr>
        <w:spacing w:after="0" w:line="11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We earned net income of $465.1 million during Fiscal 2019 compared with net income of $414.7 million during Fiscal 2018. This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was primarily driven by our improved gross margin dollars, partially offset by an increase in our selling, general and administrative expenses. Refer to the section below entitled “Results of Operations” for further explanation.</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i w:val="1"/>
          <w:iCs w:val="1"/>
          <w:color w:val="auto"/>
        </w:rPr>
        <w:t>Adjusted Net Income, Adjusted EBITDA and Adjusted EBIT</w:t>
      </w:r>
      <w:r>
        <w:rPr>
          <w:rFonts w:ascii="Arial" w:cs="Arial" w:eastAsia="Arial" w:hAnsi="Arial"/>
          <w:sz w:val="18"/>
          <w:szCs w:val="18"/>
          <w:color w:val="auto"/>
        </w:rPr>
        <w:t>: Adjusted Net Income, Adjusted EBITDA and Adjusted EBIT are non-GAAP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of our performance.</w:t>
      </w:r>
    </w:p>
    <w:p>
      <w:pPr>
        <w:spacing w:after="0" w:line="170" w:lineRule="exact"/>
        <w:rPr>
          <w:sz w:val="20"/>
          <w:szCs w:val="20"/>
          <w:color w:val="auto"/>
        </w:rPr>
      </w:pPr>
    </w:p>
    <w:p>
      <w:pPr>
        <w:jc w:val="both"/>
        <w:ind w:right="60" w:firstLine="578"/>
        <w:spacing w:after="0" w:line="286" w:lineRule="auto"/>
        <w:rPr>
          <w:sz w:val="20"/>
          <w:szCs w:val="20"/>
          <w:color w:val="auto"/>
        </w:rPr>
      </w:pPr>
      <w:r>
        <w:rPr>
          <w:rFonts w:ascii="Arial" w:cs="Arial" w:eastAsia="Arial" w:hAnsi="Arial"/>
          <w:sz w:val="17"/>
          <w:szCs w:val="17"/>
          <w:color w:val="auto"/>
        </w:rPr>
        <w:t>We define Adjusted Net Income as net income, exclusive of the following items, if applicable: (i) net favorable lease costs; (ii) costs related to debt amendments; (iii) stock option modification expense; (iv) loss on extinguishment of debt; (v) impairment charges; and (vi) other unusual, non-recurring or extraordinary expenses, losses, charges or gains, all of which are tax effected to arrive at Adjusted Net Income.</w:t>
      </w:r>
    </w:p>
    <w:p>
      <w:pPr>
        <w:spacing w:after="0" w:line="165" w:lineRule="exact"/>
        <w:rPr>
          <w:sz w:val="20"/>
          <w:szCs w:val="20"/>
          <w:color w:val="auto"/>
        </w:rPr>
      </w:pPr>
    </w:p>
    <w:p>
      <w:pPr>
        <w:ind w:right="260" w:firstLine="578"/>
        <w:spacing w:after="0" w:line="286" w:lineRule="auto"/>
        <w:rPr>
          <w:sz w:val="20"/>
          <w:szCs w:val="20"/>
          <w:color w:val="auto"/>
        </w:rPr>
      </w:pPr>
      <w:r>
        <w:rPr>
          <w:rFonts w:ascii="Arial" w:cs="Arial" w:eastAsia="Arial" w:hAnsi="Arial"/>
          <w:sz w:val="17"/>
          <w:szCs w:val="17"/>
          <w:color w:val="auto"/>
        </w:rPr>
        <w:t>We define Adjusted EBITDA as net income, exclusive of the following items, if applicable: (i) interest expense; (ii) interest income; (iii) loss on extinguishment of debt; (iv) income tax expense; (v) depreciation and amortization; (vi) impairment charges; (vii) stock option modification expense; (viii) costs related to debt amendments; and (ix) other unusual, non-recurring or extraordinary expenses, losses, charges or gains.</w:t>
      </w:r>
    </w:p>
    <w:p>
      <w:pPr>
        <w:spacing w:after="0" w:line="165" w:lineRule="exact"/>
        <w:rPr>
          <w:sz w:val="20"/>
          <w:szCs w:val="20"/>
          <w:color w:val="auto"/>
        </w:rPr>
      </w:pPr>
    </w:p>
    <w:p>
      <w:pPr>
        <w:ind w:right="40" w:firstLine="578"/>
        <w:spacing w:after="0" w:line="286" w:lineRule="auto"/>
        <w:rPr>
          <w:sz w:val="20"/>
          <w:szCs w:val="20"/>
          <w:color w:val="auto"/>
        </w:rPr>
      </w:pPr>
      <w:r>
        <w:rPr>
          <w:rFonts w:ascii="Arial" w:cs="Arial" w:eastAsia="Arial" w:hAnsi="Arial"/>
          <w:sz w:val="17"/>
          <w:szCs w:val="17"/>
          <w:color w:val="auto"/>
        </w:rPr>
        <w:t>We define Adjusted EBIT as net income, exclusive of the following items, if applicable: (i) interest expense; (ii) interest income (iii) loss on extinguishment of debt; (iv) income tax expense; (v) impairment charges; (vi) stock option modification expense; (vii) net favorable lease costs; (viii) costs related to debt amendments; and (ix) other unusual, non-recurring or extraordinary expenses, losses, charges or gains.</w:t>
      </w:r>
    </w:p>
    <w:p>
      <w:pPr>
        <w:spacing w:after="0" w:line="165"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investors and management in evaluating our ability to generate earnings and leverage sales, and to more readily compare these metrics between past and future periods. Additionally, Adjusted Net Income per share (subject to further adjustment by the Compensation Committee of the board of directors) is used for purposes of determining 50% of the awards made under our corporate annual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20" w:firstLine="510"/>
        <w:spacing w:after="0" w:line="342" w:lineRule="auto"/>
        <w:rPr>
          <w:sz w:val="20"/>
          <w:szCs w:val="20"/>
          <w:color w:val="auto"/>
        </w:rPr>
      </w:pPr>
      <w:r>
        <w:rPr>
          <w:rFonts w:ascii="Arial" w:cs="Arial" w:eastAsia="Arial" w:hAnsi="Arial"/>
          <w:sz w:val="16"/>
          <w:szCs w:val="16"/>
          <w:color w:val="auto"/>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spacing w:after="0" w:line="1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favorable lease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debt amendments;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on extinguishment of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on long-lived assets;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Fiscal 2019, Adjusted Net Income, exclusive of management transition costs, improved $56.2 million to $498.8 million. This improvement was primarily driven by our improved gross margin dollars, partially offset by an increase in our selling, general and administrative expenses. Refer to the section below entitled “Results of Operations” for further explanation.</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The following table shows our reconciliation of net income to Adjusted Net Income for Fiscal 2019, Fiscal 2018 and Fiscal 2017:</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1"/>
              </w:rPr>
              <w:t>(unaudited)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5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7"/>
              </w:rPr>
              <w:t>February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February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4"/>
              <w:spacing w:after="0" w:line="147" w:lineRule="exact"/>
              <w:rPr>
                <w:sz w:val="20"/>
                <w:szCs w:val="20"/>
                <w:color w:val="auto"/>
              </w:rPr>
            </w:pPr>
            <w:r>
              <w:rPr>
                <w:rFonts w:ascii="Arial" w:cs="Arial" w:eastAsia="Arial" w:hAnsi="Arial"/>
                <w:sz w:val="14"/>
                <w:szCs w:val="14"/>
                <w:b w:val="1"/>
                <w:bCs w:val="1"/>
                <w:color w:val="auto"/>
                <w:w w:val="97"/>
              </w:rPr>
              <w:t>February 3,</w:t>
            </w:r>
          </w:p>
        </w:tc>
        <w:tc>
          <w:tcPr>
            <w:tcW w:w="10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(53 Weeks)</w:t>
            </w: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465,116</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414,745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favorable lease costs (a)</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Costs related to debt amendments (b)</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 modification expense (c)</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Loss on extinguishment of debt (d)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charges (e)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Tax effect (f)</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(9,836)</w:t>
            </w:r>
          </w:p>
        </w:tc>
      </w:tr>
      <w:tr>
        <w:trPr>
          <w:trHeight w:val="223"/>
        </w:trPr>
        <w:tc>
          <w:tcPr>
            <w:tcW w:w="5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Adjusted Net Income</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494,734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Management transition costs, net of tax effect (g)</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Adjusted Net Income, exclusive of management transition costs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91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30" w:lineRule="exact"/>
        <w:rPr>
          <w:sz w:val="20"/>
          <w:szCs w:val="20"/>
          <w:color w:val="auto"/>
        </w:rPr>
      </w:pPr>
    </w:p>
    <w:p>
      <w:pPr>
        <w:ind w:left="500" w:right="60" w:hanging="492"/>
        <w:spacing w:after="0" w:line="26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favorable lease costs represents the non-cash expense associated with favorable and unfavorable leases that were recorded as a result of purchase accounting related to the April 13, 2006 Bain Capital acquisition of Burlington Coat Factory Warehouse Corporation (the Merger Transaction). As a result of adoption of Accounting Standards Update (ASU) 2016-02, “Leases” (ASU 2016-02), these expenses are recorded in the line item “Selling, general and administrative expenses” in our Consolidated Statement of Income for Fiscal 2019. These expenses are recorded in the line item “Depreciation and amortization” in our Consolidated Statements of Income for Fiscal 2018 and Fiscal 2017.</w:t>
      </w:r>
    </w:p>
    <w:p>
      <w:pPr>
        <w:spacing w:after="0" w:line="2" w:lineRule="exact"/>
        <w:rPr>
          <w:rFonts w:ascii="Arial" w:cs="Arial" w:eastAsia="Arial" w:hAnsi="Arial"/>
          <w:sz w:val="17"/>
          <w:szCs w:val="17"/>
          <w:color w:val="auto"/>
        </w:rPr>
      </w:pPr>
    </w:p>
    <w:p>
      <w:pPr>
        <w:ind w:left="500" w:hanging="492"/>
        <w:spacing w:after="0" w:line="25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costs incurred in connection with review and execution of refinancing opportunities and the reversal of previously estimated costs related to the repricing of our senior secured term loan facility (the Term Loan Facility) in Fiscal 2018.</w:t>
      </w:r>
    </w:p>
    <w:p>
      <w:pPr>
        <w:ind w:left="500" w:right="32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500" w:right="16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Fiscal 2018, amounts relate to the refinancing of our Term Loan Facility, the $150.0 million prepayment on the Term Loan Facility and an amendment to our Second Amended and Restated Credit Agreement, dated September 2, 2011 governing our ABL Line of Credit (the ABL Credit Agreement). For Fiscal 2017, amounts relate to the repricing and extension of our Term Loan Facility.</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Tax effect is calculated based on the effective tax rates (before discrete items) for the respective periods, for the tax impact of items (a) through (e).</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costs incurred as a result of hiring a new Chief Executive Officer, primarily related to sign-on and duplicative compensation costs.</w:t>
      </w:r>
    </w:p>
    <w:p>
      <w:pPr>
        <w:spacing w:after="0" w:line="200" w:lineRule="exact"/>
        <w:rPr>
          <w:sz w:val="20"/>
          <w:szCs w:val="20"/>
          <w:color w:val="auto"/>
        </w:rPr>
      </w:pPr>
    </w:p>
    <w:p>
      <w:pPr>
        <w:spacing w:after="0" w:line="23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or other data prepared in accordance with GAAP. Among other limitations, Adjusted EBITDA does not reflect:</w:t>
      </w:r>
    </w:p>
    <w:p>
      <w:pPr>
        <w:spacing w:after="0" w:line="6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expense on our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debt amendments;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requirements for replacement of assets. Although depreciation and amortization are non-cash charges, the assets being depreciated and amortized will likely have to be replaced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expense;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firstLine="510"/>
        <w:spacing w:after="0" w:line="263" w:lineRule="auto"/>
        <w:rPr>
          <w:sz w:val="20"/>
          <w:szCs w:val="20"/>
          <w:color w:val="auto"/>
        </w:rPr>
      </w:pPr>
      <w:r>
        <w:rPr>
          <w:rFonts w:ascii="Arial" w:cs="Arial" w:eastAsia="Arial" w:hAnsi="Arial"/>
          <w:sz w:val="18"/>
          <w:szCs w:val="18"/>
          <w:color w:val="auto"/>
        </w:rPr>
        <w:t>During Fiscal 2019, Adjusted EBITDA, exclusive of management transition costs, improved $91.7 million to $883.9 million. This improvement was primarily driven by our improved gross margin dollars, partially offset by an increase in selling, general and administrative expenses. Refer to the section below entitled “Results of Operations” for further explanation.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reconciliation of net income to Adjusted EBITDA for Fiscal 2019, Fiscal 2018 and Fiscal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i w:val="1"/>
                <w:iCs w:val="1"/>
                <w:color w:val="auto"/>
                <w:w w:val="91"/>
              </w:rPr>
              <w:t>(unaudited)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Fiscal Year Ended</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w w:val="95"/>
              </w:rPr>
              <w:t>February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7"/>
              </w:rPr>
              <w:t>February 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4"/>
              <w:spacing w:after="0" w:line="147"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465,116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Loss on extinguishment of debt (a)</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Costs related to debt amendments (b)</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Stock option modification expense (c)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 (d)</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Impairment charges (e)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Adjusted EBITDA</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879,680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Management transition costs (f)</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Adjusted EBITDA, exclusive of management transition costs</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883,905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right="440" w:hanging="492"/>
        <w:spacing w:after="0" w:line="29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Fiscal 2018, amounts relate to the refinancing of our Term Loan Facility, the $150.0 million prepayment on the Term Loan Facility and the amendment of the ABL Credit Agreement. For Fiscal 2017, amounts relate to the repricing and extension of our Term Loan Facility.</w:t>
      </w:r>
    </w:p>
    <w:p>
      <w:pPr>
        <w:ind w:left="500" w:right="20" w:hanging="492"/>
        <w:spacing w:after="0" w:line="258"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costs incurred in connection with review and execution of refinancing opportunities and the reversal of previously estimated costs related to the repricing of our Term Loan Facility in Fiscal 2018.</w:t>
      </w:r>
    </w:p>
    <w:p>
      <w:pPr>
        <w:ind w:left="500" w:right="34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500" w:right="20" w:hanging="492"/>
        <w:spacing w:after="0" w:line="265"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$35.4 million of favorable lease cost included in the line item “Selling, general and administrative expenses” in our Consolidated Statement of Income for Fiscal 2019. Net favorable lease cost represents the non-cash expense associated with favorable and unfavorable leases that were recorded as a result of the Merger Transaction. As a result of adoption of ASU 2016-02, these expenses are recorded in the line item “Selling, general and administrative expenses” in our Consolidated Statement of Income for Fiscal 2019. These expenses are recorded in the line item “Depreciation and amortization” in our Consolidated Statements of Income for Fiscal 2018 and Fiscal 2017.</w:t>
      </w: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costs incurred as a result of hiring a new Chief Executive Officer, primarily related to sign-on and duplicative compensation costs.</w:t>
      </w:r>
    </w:p>
    <w:p>
      <w:pPr>
        <w:spacing w:after="0" w:line="222" w:lineRule="exact"/>
        <w:rPr>
          <w:sz w:val="20"/>
          <w:szCs w:val="20"/>
          <w:color w:val="auto"/>
        </w:rPr>
      </w:pPr>
    </w:p>
    <w:p>
      <w:pPr>
        <w:ind w:right="200" w:firstLine="578"/>
        <w:spacing w:after="0" w:line="277" w:lineRule="auto"/>
        <w:rPr>
          <w:sz w:val="20"/>
          <w:szCs w:val="20"/>
          <w:color w:val="auto"/>
        </w:rPr>
      </w:pPr>
      <w:r>
        <w:rPr>
          <w:rFonts w:ascii="Arial" w:cs="Arial" w:eastAsia="Arial" w:hAnsi="Arial"/>
          <w:sz w:val="18"/>
          <w:szCs w:val="18"/>
          <w:color w:val="auto"/>
        </w:rPr>
        <w:t>Adjusted EBIT has limitations as an analytical tool, and should not be considered either in isolation or as a substitute for net income or other data prepared in accordance with GAAP. Among other limitations, Adjusted EBIT does not reflect:</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 on our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debt amendments;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lease cost;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 expense;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both"/>
        <w:ind w:right="200" w:firstLine="578"/>
        <w:spacing w:after="0" w:line="263" w:lineRule="auto"/>
        <w:rPr>
          <w:sz w:val="20"/>
          <w:szCs w:val="20"/>
          <w:color w:val="auto"/>
        </w:rPr>
      </w:pPr>
      <w:r>
        <w:rPr>
          <w:rFonts w:ascii="Arial" w:cs="Arial" w:eastAsia="Arial" w:hAnsi="Arial"/>
          <w:sz w:val="18"/>
          <w:szCs w:val="18"/>
          <w:color w:val="auto"/>
        </w:rPr>
        <w:t>During Fiscal 2019, Adjusted EBIT, exclusive of management transition costs, improved $73.1 million to $673.6 million. This improvement was primarily driven by our improved gross margin dollars, partially offset by an increase in selling, general and administrative expenses. Refer to the section below entitled “Results of Operations” for further explanation.</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reconciliation of net income to Adjusted EBIT for Fiscal 2019, Fiscal 2018 and Fiscal 2017: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(unaudited)</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1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jc w:val="right"/>
              <w:ind w:right="180"/>
              <w:spacing w:after="0" w:line="147" w:lineRule="exact"/>
              <w:rPr>
                <w:sz w:val="20"/>
                <w:szCs w:val="20"/>
                <w:color w:val="auto"/>
              </w:rPr>
            </w:pPr>
            <w:r>
              <w:rPr>
                <w:rFonts w:ascii="Arial" w:cs="Arial" w:eastAsia="Arial" w:hAnsi="Arial"/>
                <w:sz w:val="14"/>
                <w:szCs w:val="14"/>
                <w:b w:val="1"/>
                <w:bCs w:val="1"/>
                <w:color w:val="auto"/>
              </w:rPr>
              <w:t>February 1,</w:t>
            </w: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February 2,</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February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31"/>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Reconciliation of net income to Adjusted EBIT:</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223"/>
        </w:trPr>
        <w:tc>
          <w:tcPr>
            <w:tcW w:w="632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465,116</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6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Loss on extinguishment of debt (a)</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Costs related to debt amendments (b)</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Stock option modification expense (c)</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favorable lease costs (d)</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Impairment charges (e)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Adjusted EBIT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600,412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Management transition costs (f)</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Adjusted EBIT, exclusive of management transition costs</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600,412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right="440" w:hanging="492"/>
        <w:spacing w:after="0" w:line="29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Fiscal 2018, amounts relate to the refinancing of our Term Loan Facility, the $150.0 million prepayment on the Term Loan Facility and the amendment of the ABL Credit Agreement. For Fiscal 2017, amounts relate to the repricing and extension of our Term Loan Facility.</w:t>
      </w:r>
    </w:p>
    <w:p>
      <w:pPr>
        <w:ind w:left="500" w:right="20" w:hanging="492"/>
        <w:spacing w:after="0" w:line="258"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costs incurred in connection with review and execution of refinancing opportunities and the reversal of previously estimated costs related to the repricing of our Term Loan Facility in Fiscal 2018.</w:t>
      </w:r>
    </w:p>
    <w:p>
      <w:pPr>
        <w:ind w:left="500" w:right="340" w:hanging="492"/>
        <w:spacing w:after="0" w:line="25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spacing w:after="0" w:line="1" w:lineRule="exact"/>
        <w:rPr>
          <w:rFonts w:ascii="Arial" w:cs="Arial" w:eastAsia="Arial" w:hAnsi="Arial"/>
          <w:sz w:val="18"/>
          <w:szCs w:val="18"/>
          <w:color w:val="auto"/>
        </w:rPr>
      </w:pPr>
    </w:p>
    <w:p>
      <w:pPr>
        <w:ind w:left="500" w:right="40" w:hanging="492"/>
        <w:spacing w:after="0" w:line="269"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favorable lease cost represents the non-cash expense associated with favorable and unfavorable leases that were recorded as a result of purchase accounting related to the Merger Transaction. As a result of adoption of ASU 2016-02, these expenses are recorded in the line item “Selling, general and administrative expenses” in our Consolidated Statement of Income for Fiscal 2019. These expenses are recorded in the line item “Depreciation and amortization” in our Consolidated Statements of Income for Fiscal 2018 and Fiscal 2017.</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22"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costs incurred as a result of hiring a new Chief Executive Officer, primarily related to sign-on and duplicative compensation costs.</w:t>
      </w:r>
    </w:p>
    <w:p>
      <w:pPr>
        <w:spacing w:after="0" w:line="22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i w:val="1"/>
          <w:iCs w:val="1"/>
          <w:color w:val="auto"/>
        </w:rPr>
        <w:t>Comparable Store Sales</w:t>
      </w:r>
      <w:r>
        <w:rPr>
          <w:rFonts w:ascii="Arial" w:cs="Arial" w:eastAsia="Arial" w:hAnsi="Arial"/>
          <w:sz w:val="18"/>
          <w:szCs w:val="18"/>
          <w:color w:val="auto"/>
        </w:rPr>
        <w:t>. Comparable store sales measure performance of a store during the current reporting period against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in the corresponding period of the previous year. The method of calculating comparable store sales varies across the retail industry. As a result, our definition of comparable store sales may differ from other retailers. This metric is also used for purposes of determining 50% of the awards made under our corporate annual incentive plan.</w:t>
      </w:r>
    </w:p>
    <w:p>
      <w:pPr>
        <w:spacing w:after="0" w:line="18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define comparable store sales as sales of those stores, including our online store, commencing on the first day of the fiscal month one year after the end of their grand opening activities, which normally conclude within the first two months of operations. If a store is closed for seven or more days during a month, our policy is to remove that store from our calculation of comparable stores sales for any such month, as well as during the month(s) of their grand re-opening activities. The table below depicts our comparable store sales during Fiscal 2019, Fiscal 2018 and Fiscal 2017, all of which are calculated on a 52-week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Comparable</w:t>
            </w:r>
          </w:p>
        </w:tc>
        <w:tc>
          <w:tcPr>
            <w:tcW w:w="224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Store Sales</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2019</w:t>
            </w:r>
          </w:p>
        </w:tc>
        <w:tc>
          <w:tcPr>
            <w:tcW w:w="35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right w:val="single" w:sz="8" w:color="CFF0FC"/>
            </w:tcBorders>
            <w:shd w:val="clear" w:color="auto" w:fill="CFF0FC"/>
          </w:tcPr>
          <w:p>
            <w:pPr>
              <w:jc w:val="center"/>
              <w:ind w:right="22"/>
              <w:spacing w:after="0"/>
              <w:rPr>
                <w:sz w:val="20"/>
                <w:szCs w:val="20"/>
                <w:color w:val="auto"/>
              </w:rPr>
            </w:pPr>
            <w:r>
              <w:rPr>
                <w:rFonts w:ascii="Arial" w:cs="Arial" w:eastAsia="Arial" w:hAnsi="Arial"/>
                <w:sz w:val="18"/>
                <w:szCs w:val="18"/>
                <w:color w:val="auto"/>
                <w:w w:val="87"/>
              </w:rPr>
              <w:t>2.7%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Fiscal 2018</w:t>
            </w:r>
          </w:p>
        </w:tc>
        <w:tc>
          <w:tcPr>
            <w:tcW w:w="4680" w:type="dxa"/>
            <w:vAlign w:val="bottom"/>
            <w:gridSpan w:val="2"/>
          </w:tcPr>
          <w:p>
            <w:pPr>
              <w:jc w:val="center"/>
              <w:ind w:left="3310"/>
              <w:spacing w:after="0"/>
              <w:rPr>
                <w:sz w:val="20"/>
                <w:szCs w:val="20"/>
                <w:color w:val="auto"/>
              </w:rPr>
            </w:pPr>
            <w:r>
              <w:rPr>
                <w:rFonts w:ascii="Arial" w:cs="Arial" w:eastAsia="Arial" w:hAnsi="Arial"/>
                <w:sz w:val="18"/>
                <w:szCs w:val="18"/>
                <w:color w:val="auto"/>
                <w:w w:val="87"/>
              </w:rPr>
              <w:t>3.2%</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4680" w:type="dxa"/>
            <w:vAlign w:val="bottom"/>
            <w:tcBorders>
              <w:right w:val="single" w:sz="8" w:color="CFF0FC"/>
            </w:tcBorders>
            <w:gridSpan w:val="2"/>
            <w:shd w:val="clear" w:color="auto" w:fill="CFF0FC"/>
          </w:tcPr>
          <w:p>
            <w:pPr>
              <w:jc w:val="center"/>
              <w:ind w:left="3310"/>
              <w:spacing w:after="0"/>
              <w:rPr>
                <w:sz w:val="20"/>
                <w:szCs w:val="20"/>
                <w:color w:val="auto"/>
              </w:rPr>
            </w:pPr>
            <w:r>
              <w:rPr>
                <w:rFonts w:ascii="Arial" w:cs="Arial" w:eastAsia="Arial" w:hAnsi="Arial"/>
                <w:sz w:val="18"/>
                <w:szCs w:val="18"/>
                <w:color w:val="auto"/>
                <w:w w:val="87"/>
              </w:rPr>
              <w:t>3.4%</w:t>
            </w:r>
          </w:p>
        </w:tc>
        <w:tc>
          <w:tcPr>
            <w:tcW w:w="2240" w:type="dxa"/>
            <w:vAlign w:val="bottom"/>
          </w:tcPr>
          <w:p>
            <w:pPr>
              <w:spacing w:after="0"/>
              <w:rPr>
                <w:sz w:val="19"/>
                <w:szCs w:val="19"/>
                <w:color w:val="auto"/>
              </w:rPr>
            </w:pPr>
          </w:p>
        </w:tc>
      </w:tr>
      <w:tr>
        <w:trPr>
          <w:trHeight w:val="675"/>
        </w:trPr>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00" w:type="dxa"/>
            <w:vAlign w:val="bottom"/>
          </w:tcPr>
          <w:p>
            <w:pPr>
              <w:jc w:val="right"/>
              <w:ind w:right="2010"/>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740" w:firstLine="510"/>
        <w:spacing w:after="0" w:line="263" w:lineRule="auto"/>
        <w:rPr>
          <w:sz w:val="20"/>
          <w:szCs w:val="20"/>
          <w:color w:val="auto"/>
        </w:rPr>
      </w:pPr>
      <w:r>
        <w:rPr>
          <w:rFonts w:ascii="Arial" w:cs="Arial" w:eastAsia="Arial" w:hAnsi="Arial"/>
          <w:sz w:val="18"/>
          <w:szCs w:val="18"/>
          <w:color w:val="auto"/>
        </w:rPr>
        <w:t>Various factors affect comparable store sales, including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4"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is the difference between net sales and the cost of sales. Our cost of sales and gross margin may not be comparable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those of other entities, since some entities include all of the costs related to their buying and distribution functions, and other costs, in cost of sales. We include certain of these costs in the line items “Selling, general and administrative expenses” and “Depreciation and amortization” in our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remained consistent at 41.8% during Fiscal 2019. Increased merchandise margin was offset by higher freight costs.</w:t>
      </w:r>
    </w:p>
    <w:p>
      <w:pPr>
        <w:spacing w:after="0" w:line="16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Inventory at February 1, 2020 decreased to $777.2 million from $954.2 million at February 2, 2019. This decrease was primarily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pack-and hold inventory levels, which were 26% of total inventory at the end of Fiscal 2019 compared to 30% at the end of Fiscal 2018, as well as a 15% decrease in comparable store inventory and a decrease in short stay inventory. These decreases were partially offset by our 52 net new stores opened since February 2, 2019.</w:t>
      </w:r>
    </w:p>
    <w:p>
      <w:pPr>
        <w:spacing w:after="0" w:line="18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w:t>
      </w:r>
    </w:p>
    <w:p>
      <w:pPr>
        <w:spacing w:after="0" w:line="16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Inventory turnover and comparable store inventory turnover are performance metrics that indicate how efficiently inventory is bought and sold. They each measure the length of time that we own our inventory.</w:t>
      </w:r>
    </w:p>
    <w:p>
      <w:pPr>
        <w:spacing w:after="0" w:line="170" w:lineRule="exact"/>
        <w:rPr>
          <w:sz w:val="20"/>
          <w:szCs w:val="20"/>
          <w:color w:val="auto"/>
        </w:rPr>
      </w:pPr>
    </w:p>
    <w:p>
      <w:pPr>
        <w:ind w:right="880" w:firstLine="555"/>
        <w:spacing w:after="0" w:line="277" w:lineRule="auto"/>
        <w:rPr>
          <w:sz w:val="20"/>
          <w:szCs w:val="20"/>
          <w:color w:val="auto"/>
        </w:rPr>
      </w:pPr>
      <w:r>
        <w:rPr>
          <w:rFonts w:ascii="Arial" w:cs="Arial" w:eastAsia="Arial" w:hAnsi="Arial"/>
          <w:sz w:val="18"/>
          <w:szCs w:val="18"/>
          <w:color w:val="auto"/>
        </w:rPr>
        <w:t>Inventory turnover is calculated by dividing cost of goods sold by the 13-month average cost value of our inventory for the period being measured. Our inventory turnover rate improved approximately 6% during Fiscal 2019, compared with Fiscal 2018.</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Comparable store inventory turnover is calculated by dividing comparable store sales by the average comparable store retail value of inventory for the period being measured. The comparable store retail value of inventories is estimated based on the original sales price of items on hand reduced by retail reductions, which include sales, markdowns taken, an estimated shortage adjustment and employee discounts, for our comparable stores. The calculation is based on a rolling 13-month average of inventory (at estimated retail value) and the last 12 months’ comparable store sales. Our comparable store inventory turnover rate improved approximately 13% during Fiscal 2019 compared with Fiscal 2018.</w:t>
      </w:r>
    </w:p>
    <w:p>
      <w:pPr>
        <w:spacing w:after="0" w:line="176"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auto"/>
        </w:rPr>
        <w:t>The difference between inventory turnover and comparable store inventory turnover is primarily the result of the latter not including distribution center and warehouse inventory or inventory at new and non-comparable stores. Inventory held at our warehouses and distribution centers includes merchandise being readied for shipment to our stores and pack-and-hold inventory acquired opportunistically for future store release. The magnitude of pack-and-hold inventory, at any one point in time, is dependent on the buying opportunities identified in the marketplace.</w:t>
      </w:r>
    </w:p>
    <w:p>
      <w:pPr>
        <w:spacing w:after="0" w:line="15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present inventory turnover because it demonstrates how effective we are at managing our inventory. We present comparable store inventory turnover as we believe this is a useful supplemental metric in evaluating the effectiveness of our merchandising efforts, as a faster comparable store inventory turnover generally leads to reduced markdowns and more fresh merchandise in our stores.</w:t>
      </w:r>
    </w:p>
    <w:p>
      <w:pPr>
        <w:spacing w:after="0" w:line="1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Store Payroll as a Percentage of Net Sales</w:t>
      </w:r>
      <w:r>
        <w:rPr>
          <w:rFonts w:ascii="Arial" w:cs="Arial" w:eastAsia="Arial" w:hAnsi="Arial"/>
          <w:sz w:val="18"/>
          <w:szCs w:val="18"/>
          <w:color w:val="auto"/>
        </w:rPr>
        <w:t>. Store payroll as a percentage of net sales measures our ability to manage our payroll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payroll charges related to corporate and warehouse employees. Store payroll as a percentage of net sales was 8.6% during Fiscal 2019, compared with 8.5% during Fiscal 2018.</w:t>
      </w:r>
    </w:p>
    <w:p>
      <w:pPr>
        <w:spacing w:after="0" w:line="18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Liquidity measures our ability to generate cash. Management measures liquidity through cash flow, which is the measure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or used in operating, financing, and investing activities. Cash and cash equivalents, including restricted cash and cash equivalents, increased $275.5 million during Fiscal 2019, compared with a decrease of $26.9 million during Fiscal 2018. Refer to the section below entitled “Liquidity and Capital Resources” for further explanation.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items in the Consolidated Statements of Income as a percentage of net sales for the periods indicated.</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Percentage of Net Sales</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0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0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6"/>
        </w:trPr>
        <w:tc>
          <w:tcPr>
            <w:tcW w:w="6000" w:type="dxa"/>
            <w:vAlign w:val="bottom"/>
          </w:tcPr>
          <w:p>
            <w:pPr>
              <w:spacing w:after="0"/>
              <w:rPr>
                <w:sz w:val="12"/>
                <w:szCs w:val="12"/>
                <w:color w:val="auto"/>
              </w:rPr>
            </w:pPr>
          </w:p>
        </w:tc>
        <w:tc>
          <w:tcPr>
            <w:tcW w:w="122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February 2,</w:t>
            </w: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February 3,</w:t>
            </w:r>
          </w:p>
        </w:tc>
        <w:tc>
          <w:tcPr>
            <w:tcW w:w="180" w:type="dxa"/>
            <w:vAlign w:val="bottom"/>
          </w:tcPr>
          <w:p>
            <w:pPr>
              <w:spacing w:after="0"/>
              <w:rPr>
                <w:sz w:val="12"/>
                <w:szCs w:val="12"/>
                <w:color w:val="auto"/>
              </w:rPr>
            </w:pPr>
          </w:p>
        </w:tc>
      </w:tr>
      <w:tr>
        <w:trPr>
          <w:trHeight w:val="171"/>
        </w:trPr>
        <w:tc>
          <w:tcPr>
            <w:tcW w:w="6000" w:type="dxa"/>
            <w:vAlign w:val="bottom"/>
          </w:tcPr>
          <w:p>
            <w:pPr>
              <w:spacing w:after="0"/>
              <w:rPr>
                <w:sz w:val="14"/>
                <w:szCs w:val="14"/>
                <w:color w:val="auto"/>
              </w:rPr>
            </w:pP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(53 Weeks)</w:t>
            </w:r>
          </w:p>
        </w:tc>
        <w:tc>
          <w:tcPr>
            <w:tcW w:w="180" w:type="dxa"/>
            <w:vAlign w:val="bottom"/>
            <w:tcBorders>
              <w:bottom w:val="single" w:sz="8" w:color="CFF0FC"/>
            </w:tcBorders>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revenue</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3"/>
        </w:trPr>
        <w:tc>
          <w:tcPr>
            <w:tcW w:w="6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3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Costs related to debt amendments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Stock option modification expense</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charges - long-lived assets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Other income - net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r>
      <w:tr>
        <w:trPr>
          <w:trHeight w:val="223"/>
        </w:trPr>
        <w:tc>
          <w:tcPr>
            <w:tcW w:w="6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expenses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6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for Fiscal Year Ended February 1, 2020 (Fiscal 2019) Compared with Fiscal Year Ended February 2, 2019 (Fiscal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improved $618.2 million, or 9.3%, to $7,261.2 million, driven by the following:</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$503.3 million from our new and non-comparable stores;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comparable store sales of $172.8 million, to $6,537.9 million; partially offset by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$57.9 million decrease related to the net impact of permanently closed stores and other sales adjustments.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Cost of sales as a percentage of net sales remained consistent at 58.2% during Fiscal 2019. Increased merchandise margins were offset by higher freight costs. Product sourcing costs, which are included in the line item “Selling, general and administrative expenses” in our Consolidated Statements of Income, remained flat as a percentage of net sales. On a dollar basis, cost of sales increased $360.6 million, or 9.3%, primarily driven by our overall increase in sales.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Selling, general and administrative expenses as a percentage of net sales increased 30 basis points during Fiscal 2019. The following table details selling, general and administrative expenses for Fiscal 2019 compared with Fiscal 2018:</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February 1,</w:t>
            </w: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February 2,</w:t>
            </w:r>
          </w:p>
        </w:tc>
        <w:tc>
          <w:tcPr>
            <w:tcW w:w="12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 Variance</w:t>
            </w:r>
          </w:p>
        </w:tc>
        <w:tc>
          <w:tcPr>
            <w:tcW w:w="220" w:type="dxa"/>
            <w:vAlign w:val="bottom"/>
            <w:vMerge w:val="restart"/>
          </w:tcPr>
          <w:p>
            <w:pPr>
              <w:spacing w:after="0"/>
              <w:rPr>
                <w:sz w:val="12"/>
                <w:szCs w:val="12"/>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 cost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Selling, general and administrative</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r>
              <w:rPr>
                <w:rFonts w:ascii="Arial" w:cs="Arial" w:eastAsia="Arial" w:hAnsi="Arial"/>
                <w:sz w:val="18"/>
                <w:szCs w:val="18"/>
                <w:u w:val="single" w:color="auto"/>
                <w:color w:val="auto"/>
              </w:rPr>
              <w:t>2</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r>
              <w:rPr>
                <w:rFonts w:ascii="Arial" w:cs="Arial" w:eastAsia="Arial" w:hAnsi="Arial"/>
                <w:sz w:val="18"/>
                <w:szCs w:val="18"/>
                <w:u w:val="single" w:color="auto"/>
                <w:color w:val="auto"/>
              </w:rPr>
              <w:t>7</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increase in selling, general and administrative expenses as a percentage of sales was primarily driven by the reclassification of favorable lease cost from depreciation and amortization expense to selling, general and administrative expense as a result of adopting ASU 2016-02, which resulted in a 50 basis point increase. This increase was partially offset by a 20 basis point improvement in our national television advertising and direct marketing efforts. Store related costs remained consistent, due to a 10 basis point improvement in store occupancy costs, offset by a 10 basis point increase in store payroll.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amendments</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During Fiscal 2018, we recorded total estimated costs related to debt amendments of $2.5 million, primarily as a result of the repricing of our Term Loan Facility. During Fiscal 2019, we reversed $0.4 million of this estimated expense based on actual expenses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580" w:firstLine="510"/>
        <w:spacing w:after="0" w:line="301" w:lineRule="auto"/>
        <w:rPr>
          <w:sz w:val="20"/>
          <w:szCs w:val="20"/>
          <w:color w:val="auto"/>
        </w:rPr>
      </w:pPr>
      <w:r>
        <w:rPr>
          <w:rFonts w:ascii="Arial" w:cs="Arial" w:eastAsia="Arial" w:hAnsi="Arial"/>
          <w:sz w:val="16"/>
          <w:szCs w:val="16"/>
          <w:color w:val="auto"/>
        </w:rPr>
        <w:t>Depreciation and amortization expense amounted to $210.7 million during Fiscal 2019, primarily related to the depreciation of fixed assets, compared with $217.9 million during Fiscal 2018, primarily related to the depreciation of fixed assets and the amortization of favorable leases. The decrease was primarily driven by the reclassification of favorable lease cost from depreciation and amortization expense to selling, general and administrative expense as a result of adopting ASU 2016-02, partially offset by our capital expenditures related to new and non-comparable stores.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Impairment charges related to long-lived assets were $4.3 million and $6.8 million during Fiscal 2019 and Fiscal 2018, respectively. We recorded impairment charges related to store-level assets for two stores as well as the online store during Fiscal 2019, and eight stores during Fiscal 2018. Refer to Note 6 to our Consolidated Financial Statements, “Impairment Charges,” for further discussion.</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Other income, net (consisting of stored value card breakage income, gains and losses on disposition of assets, gains and losses on insurance proceeds and other miscellaneous items) improved $5.5 million to $16.5 million during Fiscal 2019. The improvement in other income was primarily driven by gains on insurance recoveries.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During Fiscal 2018, we recorded a loss on extinguishment of debt of $1.8 million related to transactions associated with our Term Loan Facility and ABL Credit Agreement. Refer to Note 7, “Long Term Debt,” to our Consolidated Financial Statements for further details regarding our debt transactions. There were no debt extinguishments during Fiscal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Interest expense improved $5.2 million to $50.8 million. The improvement was primarily driven by the $150 million paydown and repricing of our Term Loan Facility during Fiscal 2018. Refer to Note 7, “Long Term Debt,” to our Consolidated Financial Statements for further details on our debt transactions.</w:t>
      </w:r>
    </w:p>
    <w:p>
      <w:pPr>
        <w:spacing w:after="0" w:line="1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average interest rates and average balances related to our ABL Line of Credit and our Term Loan Facility for Fiscal 2019 compared with Fiscal 2018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117475</wp:posOffset>
            </wp:positionV>
            <wp:extent cx="2263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Fiscal Year Ended</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ind w:left="200"/>
              <w:spacing w:after="0" w:line="147" w:lineRule="exact"/>
              <w:rPr>
                <w:sz w:val="20"/>
                <w:szCs w:val="20"/>
                <w:color w:val="auto"/>
              </w:rPr>
            </w:pPr>
            <w:r>
              <w:rPr>
                <w:rFonts w:ascii="Arial" w:cs="Arial" w:eastAsia="Arial" w:hAnsi="Arial"/>
                <w:sz w:val="14"/>
                <w:szCs w:val="14"/>
                <w:b w:val="1"/>
                <w:bCs w:val="1"/>
                <w:color w:val="auto"/>
                <w:w w:val="95"/>
              </w:rPr>
              <w:t>February 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February 2,</w:t>
            </w:r>
          </w:p>
        </w:tc>
        <w:tc>
          <w:tcPr>
            <w:tcW w:w="80" w:type="dxa"/>
            <w:vAlign w:val="bottom"/>
          </w:tcPr>
          <w:p>
            <w:pPr>
              <w:spacing w:after="0"/>
              <w:rPr>
                <w:sz w:val="12"/>
                <w:szCs w:val="12"/>
                <w:color w:val="auto"/>
              </w:rPr>
            </w:pPr>
          </w:p>
        </w:tc>
      </w:tr>
      <w:tr>
        <w:trPr>
          <w:trHeight w:val="171"/>
        </w:trPr>
        <w:tc>
          <w:tcPr>
            <w:tcW w:w="46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96"/>
              <w:spacing w:after="0"/>
              <w:rPr>
                <w:sz w:val="20"/>
                <w:szCs w:val="20"/>
                <w:color w:val="auto"/>
              </w:rPr>
            </w:pPr>
            <w:r>
              <w:rPr>
                <w:rFonts w:ascii="Arial" w:cs="Arial" w:eastAsia="Arial" w:hAnsi="Arial"/>
                <w:sz w:val="18"/>
                <w:szCs w:val="18"/>
                <w:color w:val="auto"/>
                <w:w w:val="87"/>
              </w:rPr>
              <w:t>3.7%</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356"/>
              <w:spacing w:after="0"/>
              <w:rPr>
                <w:sz w:val="20"/>
                <w:szCs w:val="20"/>
                <w:color w:val="auto"/>
              </w:rPr>
            </w:pPr>
            <w:r>
              <w:rPr>
                <w:rFonts w:ascii="Arial" w:cs="Arial" w:eastAsia="Arial" w:hAnsi="Arial"/>
                <w:sz w:val="18"/>
                <w:szCs w:val="18"/>
                <w:color w:val="auto"/>
                <w:w w:val="92"/>
              </w:rPr>
              <w:t>3.4%</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left="96"/>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center"/>
              <w:ind w:right="356"/>
              <w:spacing w:after="0"/>
              <w:rPr>
                <w:sz w:val="20"/>
                <w:szCs w:val="20"/>
                <w:color w:val="auto"/>
              </w:rPr>
            </w:pPr>
            <w:r>
              <w:rPr>
                <w:rFonts w:ascii="Arial" w:cs="Arial" w:eastAsia="Arial" w:hAnsi="Arial"/>
                <w:sz w:val="18"/>
                <w:szCs w:val="18"/>
                <w:color w:val="auto"/>
                <w:w w:val="92"/>
              </w:rPr>
              <w:t>4.4%</w:t>
            </w:r>
          </w:p>
        </w:tc>
        <w:tc>
          <w:tcPr>
            <w:tcW w:w="8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81.5</w:t>
            </w:r>
          </w:p>
        </w:tc>
        <w:tc>
          <w:tcPr>
            <w:tcW w:w="11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Average balance – Term Loan Facility (in millions) (a)</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961.4</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6"/>
              <w:spacing w:after="0"/>
              <w:rPr>
                <w:sz w:val="20"/>
                <w:szCs w:val="20"/>
                <w:color w:val="auto"/>
              </w:rPr>
            </w:pPr>
            <w:r>
              <w:rPr>
                <w:rFonts w:ascii="Arial" w:cs="Arial" w:eastAsia="Arial" w:hAnsi="Arial"/>
                <w:sz w:val="18"/>
                <w:szCs w:val="18"/>
                <w:color w:val="auto"/>
              </w:rPr>
              <w:t>1,015.8</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Excludes original issue discount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Income tax expense was $115.4 million for Fiscal 2019 compared with $92.8 million for Fiscal 2018. The effective tax rate was 19.9% related to pretax income of $580.5 million for Fiscal 2019, and 18.3% related to pretax income of $507.6 million for Fiscal 2018. The lower tax rate in the prior year was primarily related to the impact of the changes to New Jersey tax law enacted during the second quarter of Fiscal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We earned net income of $465.1 million during Fiscal 2019 compared with net income of $414.7 million for Fiscal 2018. This improvement was primarily driven by our improved gross margin dollars, partially offset by an increase in our selling, general and administrative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for Fiscal Year Ended February 2, 2019 (Fiscal 2018) Compared with Fiscal Year Ended February 3, 2018 (Fiscal 2017)</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For a discussion related to Fiscal 2018 performance compared to Fiscal 2017 performance, refer to Part II, Item 7, “Management’s Discussion and Analysis of Financial Condition and Results of Operations,” included in our Annual Report on Form 10-K for the fiscal year ended February 2, 2019 (Fiscal 2018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ability to satisfy interest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88"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2019 Compared with Fiscal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generated $275.5 million of cash flows during Fiscal 2019 compared with a use of $26.9 million during Fiscal 2018.</w:t>
      </w:r>
    </w:p>
    <w:p>
      <w:pPr>
        <w:spacing w:after="0" w:line="117"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Net cash provided by operating activities amounted to $891.7 million and $639.7 million during Fiscal 2019 and Fiscal 2018, respectively. The increase in our operating cash flows was primarily driven by our improved operating results and changes in working capital.</w:t>
      </w:r>
    </w:p>
    <w:p>
      <w:pPr>
        <w:spacing w:after="0" w:line="14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Net cash used in investing activities was $324.6 million and $298.5 million during Fiscal 2019 and Fiscal 2018, respectively. This change was primarily the result of an increase in capital expenditures related to a new distribution center and our store expenditures (new stores, remodels and other store expenditures).</w:t>
      </w:r>
    </w:p>
    <w:p>
      <w:pPr>
        <w:spacing w:after="0" w:line="1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Net cash used in financing activities was $291.6 million during Fiscal 2019 compared to $368.1 million during Fiscal 2018. This change was primarily driven by an increase in the value of share repurchases, partially offset by a decrease in net payments on our debt and increased proceeds from stock option exercises.</w:t>
      </w:r>
    </w:p>
    <w:p>
      <w:pPr>
        <w:spacing w:after="0" w:line="184" w:lineRule="exact"/>
        <w:rPr>
          <w:sz w:val="20"/>
          <w:szCs w:val="20"/>
          <w:color w:val="auto"/>
        </w:rPr>
      </w:pPr>
    </w:p>
    <w:p>
      <w:pPr>
        <w:jc w:val="both"/>
        <w:ind w:right="40" w:firstLine="510"/>
        <w:spacing w:after="0" w:line="301" w:lineRule="auto"/>
        <w:rPr>
          <w:sz w:val="20"/>
          <w:szCs w:val="20"/>
          <w:color w:val="auto"/>
        </w:rPr>
      </w:pPr>
      <w:r>
        <w:rPr>
          <w:rFonts w:ascii="Arial" w:cs="Arial" w:eastAsia="Arial" w:hAnsi="Arial"/>
          <w:sz w:val="16"/>
          <w:szCs w:val="16"/>
          <w:color w:val="auto"/>
        </w:rPr>
        <w:t>Changes in working capital also impact our cash flows. Working capital equals current assets (exclusive of restricted cash) minus current liabilities. We had a working capital deficit at February 1, 2020 of $51.1 million compared with working capital of $2.3 million at February 2, 2019. The decrease in working capital was primarily related to our adoption of ASU 2016-02, which resulted in adding a portion of the new lease liability to current liabilities, as well as a decrease in merchandise inventories. This was partially offset by an increase in cash and a decrease in accounts payable.</w:t>
      </w:r>
    </w:p>
    <w:p>
      <w:pPr>
        <w:spacing w:after="0" w:line="15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For a discussion of our cash flows for Fiscal 2018 compared to Fiscal 2017, refer to Part II, Item 7, “Management’s Discussion and Analysis of Financial Condition and Results of Operations,” included in our Fiscal 2018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For Fiscal 2019, cash spend for capital expenditures, net of $56.3 million of landlord allowances and $5.1 million of insurance recoveries related to property and equipment, amounted to $268.9 million. These capital expenditures include approximately $140 million, net of the previously mentioned landlord allowances and insurance recoveries, for store expenditures (new stores, remodels and other store expenditures). In addition, we made capital expenditures of approximately $56 million to support our supply chain initiatives including a new distribution center, with the remaining capital to support information technology and other business initiatives. We incurred cash spend on capital expenditures of $253.7 million, net of approximately $50.8 million of landlord allowances and $2.8 million of insurance recoveries related to property and equipment, during Fiscal 2018.</w:t>
      </w:r>
    </w:p>
    <w:p>
      <w:pPr>
        <w:spacing w:after="0" w:line="16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estimate that we will spend approximately $400 million, net of approximately $30 million of landlord allowances, in capital expenditures during Fiscal 2020, including approximately $175 million, net of the previously mentioned landlord allowances, for store expenditures (new stores, remodels and other store expenditures). In addition, we estimate that we will spend approximately $80 million to support our supply chain initiatives, with the remaining capital used to support our information technology and other business initiatives.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August 15, 2018, our Board of Directors authorized the repurchase of up to $300 million of common stock, which was completed during the fourth quarter of Fiscal 2019. On August 14, 2019, our Board of Directors authorized the repurchase of up to an additional $400 million of common stock, which is authorized to be executed through August 2021.These repurchase programs are funded using our available cash and borrowings on our ABL Line of Credit.</w:t>
      </w:r>
    </w:p>
    <w:p>
      <w:pPr>
        <w:spacing w:after="0" w:line="18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Fiscal 2019, we repurchased 1,740,740 shares of common stock for $299.9 million, inclusive of commissions, under our share repurchase programs. As of February 1, 2020, we had $398.5 million remaining under our share repurchase authorizations.</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are authorized to repurchase shares of our outstanding common stock from time to time on the open market or in privately negotiated transactions under our repurchase programs.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During the past two fiscal years, 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Any determination to pay dividends in the future will be at the discretion of our Board of Directors and will depend upon results of operations, financial condition, contractual restrictions, including those under our ABL Line of Credit and Term Loan Facility, any potential future indebtedness we may incur, restrictions imposed by applicable law and other factors our Board of Directors deems relevant.</w:t>
      </w:r>
    </w:p>
    <w:p>
      <w:pPr>
        <w:spacing w:after="0" w:line="19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Hedging</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As of February 1, 2020, our obligations include $957.5 million, inclusive of original issue discount, under our Term Loan Facility. We had no outstanding balance on our ABL Line of Credit as of February 1, 2020. Our debt obligations also include $50.1 million of finance lease obligations as of February 1, 2020. Refer to Note 7 to our Consolidated Financial Statements, “Long Term Debt,” for an overview of the terms and conditions of these instruments.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February 1, 2020, our borrowing rate related to the Term Loan Facility was 3.7%.</w:t>
      </w:r>
    </w:p>
    <w:p>
      <w:pPr>
        <w:spacing w:after="0" w:line="225"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On February 26, 2020, we completed a repricing of our Term Loan Facility, which among other things, reduced the interest rate margins applicable to our Term Loan Facility from 1.00% to 0.75%, in the case of prime rate loans, and from 2.00% to 1.75%, in the case of LIBOR loans, with the LIBOR floor continuing to be 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At February 1, 2020, we had $501.8 million available under the ABL Line of Credit. The maximum borrowings under the ABL Line of Credit during Fiscal 2019 amounted to $255.0 million. Average borrowings during Fiscal 2019 amounted to $81.5 million at an average interest rate of 3.7%.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were hedged on $800 million of our Term Loan Facility through May 2019. On December 17, 2018, the Company entered into an interest rate swap contract, which was designated as a cash flow hedge. This interest rate swap, which hedges $450 million of our Term Loan Facility, became effective May 31, 2019 and matures December 29, 2023.</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Certain Information Concerning 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our obligations to make future payments under current contracts as of February 1, 2020:</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2"/>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1"/>
                <w:szCs w:val="11"/>
                <w:color w:val="auto"/>
              </w:rPr>
            </w:pPr>
          </w:p>
        </w:tc>
        <w:tc>
          <w:tcPr>
            <w:tcW w:w="86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2-3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obligations(1)</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Interest on debt obligations(2)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210,944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obligations(3)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lease obligations(4)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3,308,058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435,535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821,900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725,890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921,242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921,242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Other(6)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5,476,575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1,408,410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1,779,072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1,363,384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8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future principal payments on outstanding borrowings as of February 1, 2020.</w:t>
      </w:r>
    </w:p>
    <w:p>
      <w:pPr>
        <w:spacing w:after="0" w:line="49" w:lineRule="exact"/>
        <w:rPr>
          <w:rFonts w:ascii="Arial" w:cs="Arial" w:eastAsia="Arial" w:hAnsi="Arial"/>
          <w:sz w:val="18"/>
          <w:szCs w:val="18"/>
          <w:color w:val="auto"/>
        </w:rPr>
      </w:pPr>
    </w:p>
    <w:p>
      <w:pPr>
        <w:ind w:left="500" w:right="140" w:hanging="492"/>
        <w:spacing w:after="0" w:line="29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interest payments on (i) the outstanding balance of the Term Loan Facility, with an average interest rate of 4.2% during Fiscal 2019 and (ii) the average borrowings outstanding on our ABL Line of Credit during Fiscal 2019, with an average interest rate of 3.7% during Fiscal 2019.</w:t>
      </w: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Finance lease obligations include future interest payments.</w:t>
      </w:r>
    </w:p>
    <w:p>
      <w:pPr>
        <w:spacing w:after="0" w:line="2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minimum rent payments for operating leases under the current terms.</w:t>
      </w:r>
    </w:p>
    <w:p>
      <w:pPr>
        <w:spacing w:after="0" w:line="9"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commitments to purchase goods that have not been received as of February 1, 2020. The table above excludes estimated commitments for services used in our business of up to $105 million over the next five years.</w:t>
      </w:r>
    </w:p>
    <w:p>
      <w:pPr>
        <w:ind w:left="500" w:right="120" w:hanging="492"/>
        <w:spacing w:after="0" w:line="26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severance payments in the normal course of business that are included in the line item “Selling, general and administrative expenses” in our Consolidated Statements of Income.</w:t>
      </w:r>
    </w:p>
    <w:p>
      <w:pPr>
        <w:spacing w:after="0" w:line="185"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Our agreements with three former employees (including our former President and Chief Executive Officer) to pay their respective beneficiaries $1.0 million upon their deaths for a total of $3.0 million is not reflected in the table above because the timing of the payments is unpredictable.</w:t>
      </w:r>
    </w:p>
    <w:p>
      <w:pPr>
        <w:spacing w:after="0" w:line="146"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The table above excludes ASC Topic No. 740 “Income Taxes” (Topic No. 740) liabilities which represent uncertain tax positions related to temporary differences. The total Topic No. 740 liability was $20.1 million, inclusive of $12.0 million of interest and penalties included in our total Topic No. 740 liability neither of which is presented in the table above as we are not certain if and when these payments would be required.</w:t>
      </w:r>
    </w:p>
    <w:p>
      <w:pPr>
        <w:spacing w:after="0" w:line="16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table above excludes our irrevocable letters of credit guaranteeing payment and performance under certain leases, insurance contracts, debt agreements, merchandising agreements and utility agreements in the amount of $53.1 million as of February 1, 2020.</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February 1, 2020, insurance reserves amounted to $79.0 million. These amounts are excluded from the table above as we are not certain if and when these payments would be required.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On an ongoing basis, management evaluates its estimates and judgments, including those related to revenue recognition, inventories and insurance reserves.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right="180" w:firstLine="510"/>
        <w:spacing w:after="0" w:line="342" w:lineRule="auto"/>
        <w:rPr>
          <w:sz w:val="20"/>
          <w:szCs w:val="20"/>
          <w:color w:val="auto"/>
        </w:rPr>
      </w:pPr>
      <w:r>
        <w:rPr>
          <w:rFonts w:ascii="Arial" w:cs="Arial" w:eastAsia="Arial" w:hAnsi="Arial"/>
          <w:sz w:val="16"/>
          <w:szCs w:val="16"/>
          <w:color w:val="auto"/>
        </w:rPr>
        <w:t>While there are a number of accounting policies, methods and estimates affecting our Consolidated Financial Statements as addressed in Note 1 to our Consolidated Financial Statements, “Summary of Significant Accounting Policies,” areas that are particularly critical and significant include:</w:t>
      </w:r>
    </w:p>
    <w:p>
      <w:pPr>
        <w:spacing w:after="0" w:line="12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While revenue recognition for the Company does not involve significant judgment, it represents an important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policy. We record revenue at the time control of goods are transferred to the customer, which we determine to be at point of sale and delivery of merchandise, net of allowances for estimated future returns, which is estimated based on historical return rates. We present sales, net of sales taxes, in our Consolidated Statements of Income. We account for layaway sales and leased department revenue in compliance with ASC Topic No. 606 “Revenue from Contracts with Customers.” Layaway sales are recognized upon delivery of merchandise to the customer. The amount of cash received upon initiation of the layaway is recorded as a deposit liability within the line item “Other current liabilities” in our Consolidated Balance Sheets. Stored value cards (gift cards and store credits issued for merchandise returns) are recorded as a liability at the time of issuance, and the related sale is recorded upon redemption.</w:t>
      </w:r>
    </w:p>
    <w:p>
      <w:pPr>
        <w:spacing w:after="0" w:line="16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estimate and recognize stored value card breakage income in proportion to actual stored value card redemptions and record such income in the line item “Other income, net” in our Consolidated Statements of Income. We determine an estimated stored value card breakage rate by continuously evaluating historical redemption data. Breakage income is recognized on a monthly basis in proportion to the historical redemption patterns for those stored value cards for which the likelihood of redemption is remote.</w:t>
      </w:r>
    </w:p>
    <w:p>
      <w:pPr>
        <w:spacing w:after="0" w:line="18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 Our inventory is valued at the lower of cost or market using the retail inventory method. Under the retail inventory method, the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inventory and the resulting gross margin are determined by applying a calculated cost to retail ratio to the retail value of inventory. The retail inventory method is an averaging 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markon, markups, markdowns and shortage,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retail markdowns would have resulted in an increase in markdown dollars, at cost, of approximately $3.0 million for Fiscal 2019.</w:t>
      </w:r>
    </w:p>
    <w:p>
      <w:pPr>
        <w:spacing w:after="0" w:line="16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Typically, estimates are used to record inventory shortage at retail stores for the first three quarters of a fiscal year. Actual physical inventories are typically conducted annually during the second or fourth quarters to calculate actual shortage. While we make estimates on the basis of the best information available to us at the time the estimates are made, over accruals or under accruals of shortage may be identified as a result of the physical inventory counts, requiring adjustments. During the fourth quarter of Fiscal 2019, Fiscal 2018 and Fiscal 2017, we recorded shortage adjustments of $1.9 million, $1.9 million and $1.8 million, respectively, as a result of actual shortage being less than what we had estimated throughout the year.</w:t>
      </w:r>
    </w:p>
    <w:p>
      <w:pPr>
        <w:spacing w:after="0" w:line="16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Insurance Reserves</w:t>
      </w:r>
      <w:r>
        <w:rPr>
          <w:rFonts w:ascii="Arial" w:cs="Arial" w:eastAsia="Arial" w:hAnsi="Arial"/>
          <w:sz w:val="18"/>
          <w:szCs w:val="18"/>
          <w:color w:val="auto"/>
        </w:rPr>
        <w:t>. We have risk participation agreements with insurance carriers with respect to workers’ compensation, general liability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$79.0 million and $70.9 million at February 1, 2020 and February 2, 2019,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980" w:firstLine="510"/>
        <w:spacing w:after="0" w:line="277" w:lineRule="auto"/>
        <w:rPr>
          <w:sz w:val="20"/>
          <w:szCs w:val="20"/>
          <w:color w:val="auto"/>
        </w:rPr>
      </w:pPr>
      <w:r>
        <w:rPr>
          <w:rFonts w:ascii="Arial" w:cs="Arial" w:eastAsia="Arial" w:hAnsi="Arial"/>
          <w:sz w:val="18"/>
          <w:szCs w:val="18"/>
          <w:color w:val="auto"/>
        </w:rPr>
        <w:t>Refer to Note 2 to our Consolidated Financial Statements, “Recent Accounting Pronouncements,” for a discussion of recent accounting pronouncements and their impact in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expect that our revenues and operating results may fluctuate from fiscal quarter to fiscal quarter or over the longer term. Certain of the general factors that may cause such fluctuations are discussed in Item 1A, Risk Factors and elsewhere in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do not believe that our operating results have been materially affected by inflation during Fiscal 2019, Fiscal 2018 or Fiscal 2017. Historically, as the costs of merchandising and related operating expenses have increased, we have been able to mitigate the effect of such impact on our operations.</w:t>
      </w:r>
    </w:p>
    <w:p>
      <w:pPr>
        <w:spacing w:after="0" w:line="12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U.S. retail industry continues to face increased pressure on margins as commodity prices increase and the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We are exposed to market risks relating to fluctuations in interest rates. Our borrowings contain floating rate obligations and are subject to interest rate fluctuations. The objective of our financial risk management is to minimize the negative impact of interest rate fluctuations on our earnings and cash flows. We manage interest rate risk through the use of our interest rate cap contracts.</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more fully described in Note 8 to our Consolidated Financial Statements, “Derivative Instruments and Hedging Activities,” we enter into interest rate derivative contracts to manage interest rate risks associated with our long term debt obligations. The effective portion of changes in the fair value of derivatives designated and that qualify as cash flow hedges is recorded in the line item “Accumulated other comprehensive loss” on the Company’s Consolidated Balance Sheets and is subsequently reclassified into earnings in the period that the hedged forecasted transaction affects earnings. We continue to have exposure to interest rate risks to the extent they are not hedged.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Other than operating leases consummated in the normal course of business (prior to our adoption of ASU 2016-02) and letters of credit, as more fully described above under the caption “Certain Information Concerning Contractual Obligations,” we are not involved in any off-balance sheet arrangements that have or are reasonably likely to have a material current or future impact on our financial condition, changes in financial condition, revenues or expenses, results of operations, liquidity, capital expenditures or capital resources. As a result of adopting ASU 2016-02, our operating leases are included in our Consolidated Balance Sheet for Fiscal 2019.</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exposed to certain market risks as part of our ongoing business operations. Primary exposures include changes in interest rates, as borrowings under our ABL Line of Credit and Term Loan Facility bear interest at floating rates based on LIBOR or the base rate, in each case plus an applicable borrowing margin. The interest rate of our Term Loan Facility is also dependent on the prime rate, and the federal funds rate as further discussed in Note 7 to our Consolidated Financial Statements, “Long Term Debt.”</w:t>
      </w:r>
    </w:p>
    <w:p>
      <w:pPr>
        <w:spacing w:after="0" w:line="18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manage our interest rate risk through the use of interest rate derivative contracts. For our floating-rate debt, interest rate changes generally impact our earnings and cash flows, assuming other factors are held constant.</w:t>
      </w:r>
    </w:p>
    <w:p>
      <w:pPr>
        <w:spacing w:after="0" w:line="17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April 24, 2015, we entered into two interest rate cap contracts which were designated as cash flow hedges. These interest rate cap contracts had an aggregate notional principal amount of $800.0 million, cap rates of 1.0%, and matured on May 31, 2019.</w:t>
      </w:r>
    </w:p>
    <w:p>
      <w:pPr>
        <w:spacing w:after="0" w:line="170"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On December 17, 2018, we entered into an interest rate swap contract, which was designated as a cash flow hedge. This interest rate swap became effective on May 31, 2019. It has a notional principal amount of $450.0 million, a swap rate of 2.72%, and matures on December 29, 2023.</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2" w:name="page43"/>
    <w:bookmarkEnd w:id="42"/>
    <w:p>
      <w:pPr>
        <w:ind w:right="120" w:firstLine="510"/>
        <w:spacing w:after="0" w:line="263" w:lineRule="auto"/>
        <w:rPr>
          <w:sz w:val="20"/>
          <w:szCs w:val="20"/>
          <w:color w:val="auto"/>
        </w:rPr>
      </w:pPr>
      <w:r>
        <w:rPr>
          <w:rFonts w:ascii="Arial" w:cs="Arial" w:eastAsia="Arial" w:hAnsi="Arial"/>
          <w:sz w:val="18"/>
          <w:szCs w:val="18"/>
          <w:color w:val="auto"/>
        </w:rPr>
        <w:t>On November 2, 2018, we completed a repricing of our Term Loan Facility, which among other things, reduced the interest rate margins applicable to our Term Loan Facility from 1.50% to 1.00%, in the case of prime rate loans, and from 2.50% to 2.00%, in the case of LIBOR loans, with the LIBOR floor being reduced from 0.75% to 0.00%.</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February 26, 2020, we completed a repricing of our Term Loan Facility, which among other things, reduced the interest rate margins applicable to our Term Loan Facility from 1.00% to 0.75%, in the case of prime rate loans, and from 2.00% to 1.75%, in the case of LIBOR loans, with the LIBOR floor continuing to be 0.00%.</w:t>
      </w:r>
    </w:p>
    <w:p>
      <w:pPr>
        <w:spacing w:after="0" w:line="184"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have unlimited interest rate risk related to borrowings on our variable rate debt in excess of the notional principal amount of our interest rate swap contract.</w:t>
      </w:r>
    </w:p>
    <w:p>
      <w:pPr>
        <w:spacing w:after="0" w:line="1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 xml:space="preserve">At February 1, 2020, we had $961.4 million of floating-rate debt, exclusive of original issue discount. Based on $961.4 million outstanding as floating-rate debt, a one percentage point increase as of February 1, 2020 </w:t>
      </w:r>
      <w:r>
        <w:rPr>
          <w:rFonts w:ascii="Arial" w:cs="Arial" w:eastAsia="Arial" w:hAnsi="Arial"/>
          <w:sz w:val="17"/>
          <w:szCs w:val="17"/>
          <w:color w:val="auto"/>
        </w:rPr>
        <w:t>(</w:t>
      </w:r>
      <w:r>
        <w:rPr>
          <w:rFonts w:ascii="Arial" w:cs="Arial" w:eastAsia="Arial" w:hAnsi="Arial"/>
          <w:sz w:val="18"/>
          <w:szCs w:val="18"/>
          <w:color w:val="auto"/>
        </w:rPr>
        <w:t>after considering our interest rate swap contract), would cause an increase to cash interest expense of $5.2 million per year, resulting in $5.2 million less in our pre-tax earnings. This sensitivity analysis assumes our mix of financial instruments and all other variables will remain constant in future periods. These assumptions are made in order to facilitate the analysis and are not necessarily indicative of our future intentions.</w:t>
      </w:r>
    </w:p>
    <w:p>
      <w:pPr>
        <w:spacing w:after="0" w:line="18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If a one percentage point increase in interest rates were to occur as of February 1, 2020, such an increase would result in the following additional interest expenses (assuming current borrowing level remains constant):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1"/>
                <w:szCs w:val="11"/>
                <w:color w:val="auto"/>
              </w:rPr>
            </w:pPr>
          </w:p>
        </w:tc>
        <w:tc>
          <w:tcPr>
            <w:tcW w:w="9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90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Floating Rate Debt</w:t>
            </w: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at February 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Q1 2020</w:t>
            </w: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Q2 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Q3 2020</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Q4 2020</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 Facility (a)</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ABL Line of Credit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Principal balance represents carrying value of our Term Loan Facility exclusive of original issue discount.</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300" w:type="dxa"/>
            <w:vAlign w:val="bottom"/>
            <w:gridSpan w:val="12"/>
          </w:tcPr>
          <w:p>
            <w:pPr>
              <w:ind w:left="5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896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280" w:type="dxa"/>
            <w:vAlign w:val="bottom"/>
          </w:tcPr>
          <w:p>
            <w:pPr>
              <w:jc w:val="right"/>
              <w:ind w:right="1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8960" w:type="dxa"/>
            <w:vAlign w:val="bottom"/>
            <w:gridSpan w:val="14"/>
            <w:vMerge w:val="continu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220" w:type="dxa"/>
            <w:vAlign w:val="bottom"/>
            <w:tcBorders>
              <w:bottom w:val="single" w:sz="8" w:color="0000EE"/>
            </w:tcBorders>
            <w:gridSpan w:val="6"/>
          </w:tcPr>
          <w:p>
            <w:pPr>
              <w:spacing w:after="0" w:line="170"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Report of Independent Registered Public Accounting Firm</w:t>
              </w:r>
            </w:hyperlink>
          </w:p>
        </w:tc>
        <w:tc>
          <w:tcPr>
            <w:tcW w:w="1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jc w:val="right"/>
              <w:spacing w:after="0" w:line="190"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Income for the fiscal years ended February 1, 2020, February 2, 2019 and</w:t>
              </w:r>
            </w:hyperlink>
          </w:p>
        </w:tc>
        <w:tc>
          <w:tcPr>
            <w:tcW w:w="1180" w:type="dxa"/>
            <w:vAlign w:val="bottom"/>
            <w:gridSpan w:val="5"/>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February 3, 2018</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Comprehensive Income for the fiscal years ended February 1, 2020, February 2,</w:t>
              </w:r>
            </w:hyperlink>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2019 and February 3, 2018</w:t>
              </w:r>
            </w:hyperlink>
          </w:p>
        </w:tc>
        <w:tc>
          <w:tcPr>
            <w:tcW w:w="634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8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Balance Sheets as of February 1, 2020 and February 2, 2019</w:t>
              </w:r>
            </w:hyperlink>
          </w:p>
        </w:tc>
        <w:tc>
          <w:tcPr>
            <w:tcW w:w="3160" w:type="dxa"/>
            <w:vAlign w:val="bottom"/>
            <w:gridSpan w:val="6"/>
          </w:tcPr>
          <w:p>
            <w:pPr>
              <w:spacing w:after="0"/>
              <w:rPr>
                <w:sz w:val="17"/>
                <w:szCs w:val="17"/>
                <w:color w:val="auto"/>
              </w:rPr>
            </w:pPr>
          </w:p>
        </w:tc>
        <w:tc>
          <w:tcPr>
            <w:tcW w:w="22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 for the fiscal years ended February 1, 2020, February 2, 2019 and</w:t>
              </w:r>
            </w:hyperlink>
          </w:p>
        </w:tc>
        <w:tc>
          <w:tcPr>
            <w:tcW w:w="8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February 3, 2018</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Consolidated Statements of Stockholders’ Equity (Deficit) for the fiscal years ended February 1, 2020,</w:t>
              </w:r>
            </w:hyperlink>
          </w:p>
        </w:tc>
        <w:tc>
          <w:tcPr>
            <w:tcW w:w="112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February 2, 2019 and February 3, 2018</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 for the fiscal years ended February 1, 2020, February 2, 2019</w:t>
              </w:r>
            </w:hyperlink>
          </w:p>
        </w:tc>
        <w:tc>
          <w:tcPr>
            <w:tcW w:w="90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and February 3, 2018</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Burlington Stores,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Burlington Stores, Inc. and subsidiaries (the “Company”) as of February 1, 2020, and February 2, 2019, the related consolidated statements of income, comprehensive income, shareholders’ equity, and cash flows for each of the three years in the period ended February 1, 2020, and the related notes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fiscal years in the period ended February 1, 2020, in conformity with accounting principles generally accepted in the United States of America.</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13, 2020,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As discussed in Note 2 to the financial statements, effective February 3, 2019, the Company adopted Financial Accounting Standards Board (FASB) Update (ASU) 2016-12,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alternative transition method, which does not require prior periods to be recast. See below for a critical audit matter related to the change in accounting principle.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w:t>
      </w:r>
    </w:p>
    <w:p>
      <w:pPr>
        <w:ind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Incremental Borrowing Rate Used in Adoption of Topic No. 842—Refer to Notes 1 and 2 to the financial statements (also see Change in Accounting Principle explanatory paragraph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adopted the provisions of FASB ASU 2016-12 as of February 3, 2019. Accordingly, the Company recognized an operating lease liability of $2.1 billion based on the present value of its lease payments on the adoption date. The discount rates 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5" w:name="page46"/>
    <w:bookmarkEnd w:id="45"/>
    <w:p>
      <w:pPr>
        <w:jc w:val="both"/>
        <w:ind w:right="160"/>
        <w:spacing w:after="0" w:line="263" w:lineRule="auto"/>
        <w:rPr>
          <w:sz w:val="20"/>
          <w:szCs w:val="20"/>
          <w:color w:val="auto"/>
        </w:rPr>
      </w:pPr>
      <w:r>
        <w:rPr>
          <w:rFonts w:ascii="Arial" w:cs="Arial" w:eastAsia="Arial" w:hAnsi="Arial"/>
          <w:sz w:val="18"/>
          <w:szCs w:val="18"/>
          <w:color w:val="auto"/>
        </w:rPr>
        <w:t>in valuing the Company’s leases are not readily determinable and are based on the Company’s incremental borrowing rate (IBR) on a fully collateralized basis. The determination of the IBRs required management to make significant estimates and assumptions as to its use of the retail industry yield curve, credit profile adjustment, and estimate of the impact of collateral.</w:t>
      </w:r>
    </w:p>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Given the determination of the IBRs required management to make significant estimates and assumptions relating to its use of the retail industry yield curve, credit profile adjustment, and estimate for the impact of collateral, performing audit procedures to evaluate the reasonableness of such estimates and assumptions required a high degree of auditor judgment and an increased extent of effort, including the need to involve our valuation specialists.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IBRs that were used in the adoption of Topic 842 included the following:</w:t>
      </w:r>
    </w:p>
    <w:p>
      <w:pPr>
        <w:spacing w:after="0" w:line="17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review of methodology, inputs, and assumptions used in the determination of the IBRs.</w:t>
      </w:r>
    </w:p>
    <w:p>
      <w:pPr>
        <w:spacing w:after="0" w:line="194" w:lineRule="exact"/>
        <w:rPr>
          <w:rFonts w:ascii="Arial" w:cs="Arial" w:eastAsia="Arial" w:hAnsi="Arial"/>
          <w:sz w:val="16"/>
          <w:szCs w:val="16"/>
          <w:color w:val="auto"/>
        </w:rPr>
      </w:pPr>
    </w:p>
    <w:p>
      <w:pPr>
        <w:ind w:left="380" w:right="260" w:hanging="372"/>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methods and assumptions used by management to determine the IBRs, tested the reasonableness of the inputs used, and tested the mathematical accuracy of the IBR model.</w:t>
      </w:r>
    </w:p>
    <w:p>
      <w:pPr>
        <w:spacing w:after="0" w:line="116" w:lineRule="exact"/>
        <w:rPr>
          <w:sz w:val="20"/>
          <w:szCs w:val="20"/>
          <w:color w:val="auto"/>
        </w:rPr>
      </w:pPr>
    </w:p>
    <w:p>
      <w:pPr>
        <w:ind w:right="4200"/>
        <w:spacing w:after="0" w:line="438" w:lineRule="auto"/>
        <w:rPr>
          <w:sz w:val="20"/>
          <w:szCs w:val="20"/>
          <w:color w:val="auto"/>
        </w:rPr>
      </w:pPr>
      <w:r>
        <w:rPr>
          <w:rFonts w:ascii="Arial" w:cs="Arial" w:eastAsia="Arial" w:hAnsi="Arial"/>
          <w:sz w:val="18"/>
          <w:szCs w:val="18"/>
          <w:b w:val="1"/>
          <w:bCs w:val="1"/>
          <w:i w:val="1"/>
          <w:iCs w:val="1"/>
          <w:color w:val="auto"/>
        </w:rPr>
        <w:t xml:space="preserve">Retail Inventory Method—Impact of Markdowns—Refer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values merchandise inventories at the lower of cost or market using the retail inventory method. Under this method, the valuation of inventories at cost and the resulting gross margins are determined by applying a calculated cost-to-retail ratio to the retail value of inventories. The retail inventory method is an averaging method that results in valuing inventory at the lower of cost or market provided markdowns are taken timely to reduce the retail value of inventory. Merchandise inventories as of February 1, 2020, were $777.2 million.</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judgments involved in determining when to record markdowns can significantly impact the ending inventory valuation and the resulting gross profit. Given the significant judgments necessary to identify and record markdowns timely, performing audit procedures to evaluate the timeliness of markdowns involved a high degree of auditor judgment.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timing of markdowns taken included the following, among others:</w:t>
      </w:r>
    </w:p>
    <w:p>
      <w:pPr>
        <w:spacing w:after="0" w:line="171"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inventory valuation, specifically those over the determination and execution of markdowns.</w:t>
      </w:r>
    </w:p>
    <w:p>
      <w:pPr>
        <w:spacing w:after="0" w:line="171"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made selections of markdowns recorded after year-end to determine if the selected markdowns should have been taken as of the year-end balance sheet date.</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made selections of markdowns recorded throughout the year to test the accuracy and timeliness of markdowns taken.</w:t>
      </w:r>
    </w:p>
    <w:p>
      <w:pPr>
        <w:spacing w:after="0" w:line="171" w:lineRule="exact"/>
        <w:rPr>
          <w:rFonts w:ascii="Arial" w:cs="Arial" w:eastAsia="Arial" w:hAnsi="Arial"/>
          <w:sz w:val="18"/>
          <w:szCs w:val="18"/>
          <w:color w:val="auto"/>
        </w:rPr>
      </w:pPr>
    </w:p>
    <w:p>
      <w:pPr>
        <w:ind w:left="380" w:right="90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developed an expectation for markdowns based on historical amounts recorded as a percentage of sales and compared our estimate to management’s recorded markdowns.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February 2,</w:t>
            </w:r>
          </w:p>
        </w:tc>
        <w:tc>
          <w:tcPr>
            <w:tcW w:w="160" w:type="dxa"/>
            <w:vAlign w:val="bottom"/>
          </w:tcPr>
          <w:p>
            <w:pPr>
              <w:spacing w:after="0"/>
              <w:rPr>
                <w:sz w:val="23"/>
                <w:szCs w:val="2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February 3,</w:t>
            </w: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(53 Weeks)</w:t>
            </w: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7,261,243</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6,643,051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6,084,766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25,428</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7,286,398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6,668,479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4,228,740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3,868,119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2,228,178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2,018,737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1,863,501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related to debt amendments</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Stock option modification expense</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210,720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217,884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Impairment charges - long-lived assets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 net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(10,998)</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55,990</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6,705,873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6,160,895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507,584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115,409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92,839</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465,116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 basic</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diluted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basic</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65,943</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66,812</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 diluted</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67,293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68,679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4380230" cy="1157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8023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063740" cy="2640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264033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February 3,</w:t>
            </w:r>
          </w:p>
        </w:tc>
        <w:tc>
          <w:tcPr>
            <w:tcW w:w="120" w:type="dxa"/>
            <w:vAlign w:val="bottom"/>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(53 Weeks)</w:t>
            </w:r>
          </w:p>
        </w:tc>
      </w:tr>
      <w:tr>
        <w:trPr>
          <w:trHeight w:val="156"/>
        </w:trPr>
        <w:tc>
          <w:tcPr>
            <w:tcW w:w="5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derivative contracts:</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00" w:type="dxa"/>
            <w:vAlign w:val="bottom"/>
          </w:tcPr>
          <w:p>
            <w:pPr>
              <w:ind w:left="500"/>
              <w:spacing w:after="0"/>
              <w:rPr>
                <w:sz w:val="20"/>
                <w:szCs w:val="20"/>
                <w:color w:val="auto"/>
              </w:rPr>
            </w:pPr>
            <w:r>
              <w:rPr>
                <w:rFonts w:ascii="Arial" w:cs="Arial" w:eastAsia="Arial" w:hAnsi="Arial"/>
                <w:sz w:val="18"/>
                <w:szCs w:val="18"/>
                <w:color w:val="auto"/>
              </w:rPr>
              <w:t>Net unrealized (losses) gains arising during the period</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(16,606)</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Reclassification into earnings during the period</w:t>
            </w:r>
          </w:p>
        </w:tc>
        <w:tc>
          <w:tcPr>
            <w:tcW w:w="1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1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comprehensive income</w:t>
            </w:r>
          </w:p>
        </w:tc>
        <w:tc>
          <w:tcPr>
            <w:tcW w:w="1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449,769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413,019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76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403,074</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112,274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21,882</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 of allowance for doubtful accounts of $795 and $78, respectively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58,752</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777,248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954,183</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disposal</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124,809</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1,271,900</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1,403,173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1,253,705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2,397,111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Tradenames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164,324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47,064</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99,818</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5,593,859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3,079,172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759,107</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848,561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302,185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396,257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long term debt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1,461,901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1,247,742</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Long term debt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1,001,723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983,643</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 term operating lease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346,298</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Preferred stock, $0.0001 par value: authorized: 50,000,000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shares; no shares issued and outstanding</w:t>
            </w:r>
          </w:p>
        </w:tc>
        <w:tc>
          <w:tcPr>
            <w:tcW w:w="28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$0.0001 par value:</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Authorized: 500,000,000 shares;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79,882,506 shares and 79,224,669 shares, respectively;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Outstanding: 65,929,972 shares and 67,145,097 shares, respectively</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1,587,146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1,508,996</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Accumulated earnings (deficit)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204,797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(260,919)</w:t>
            </w: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(3,613)</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Treasury stock, at cost</w:t>
            </w:r>
          </w:p>
        </w:tc>
        <w:tc>
          <w:tcPr>
            <w:tcW w:w="2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(1,244,841)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(921,761)</w:t>
            </w:r>
          </w:p>
        </w:tc>
      </w:tr>
      <w:tr>
        <w:trPr>
          <w:trHeight w:val="223"/>
        </w:trPr>
        <w:tc>
          <w:tcPr>
            <w:tcW w:w="7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528,149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5,593,859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3,079,172</w:t>
            </w:r>
          </w:p>
        </w:tc>
        <w:tc>
          <w:tcPr>
            <w:tcW w:w="1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7"/>
              </w:rPr>
              <w:t>February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February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5"/>
                <w:szCs w:val="15"/>
                <w:b w:val="1"/>
                <w:bCs w:val="1"/>
                <w:color w:val="auto"/>
              </w:rPr>
              <w:t>OPERATING ACTIVITIES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169"/>
        </w:trPr>
        <w:tc>
          <w:tcPr>
            <w:tcW w:w="5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465,116</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414,745</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384,852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5"/>
                <w:szCs w:val="15"/>
                <w:color w:val="auto"/>
                <w:w w:val="98"/>
              </w:rPr>
              <w:t>Adjustments to reconcile net income to net cash provided by operating activities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210,720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217,884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rPr>
                <w:sz w:val="20"/>
                <w:szCs w:val="20"/>
                <w:color w:val="auto"/>
              </w:rPr>
            </w:pPr>
            <w:r>
              <w:rPr>
                <w:rFonts w:ascii="Arial" w:cs="Arial" w:eastAsia="Arial" w:hAnsi="Arial"/>
                <w:sz w:val="15"/>
                <w:szCs w:val="15"/>
                <w:color w:val="auto"/>
              </w:rPr>
              <w:t>Impairment charges—long-lived 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deferred financing costs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rPr>
                <w:sz w:val="20"/>
                <w:szCs w:val="20"/>
                <w:color w:val="auto"/>
              </w:rPr>
            </w:pPr>
            <w:r>
              <w:rPr>
                <w:rFonts w:ascii="Arial" w:cs="Arial" w:eastAsia="Arial" w:hAnsi="Arial"/>
                <w:sz w:val="15"/>
                <w:szCs w:val="15"/>
                <w:color w:val="auto"/>
              </w:rPr>
              <w:t>Accretion of long term debt instruments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9,070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(30,727)</w:t>
            </w: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rPr>
                <w:sz w:val="20"/>
                <w:szCs w:val="20"/>
                <w:color w:val="auto"/>
              </w:rPr>
            </w:pPr>
            <w:r>
              <w:rPr>
                <w:rFonts w:ascii="Arial" w:cs="Arial" w:eastAsia="Arial" w:hAnsi="Arial"/>
                <w:sz w:val="15"/>
                <w:szCs w:val="15"/>
                <w:color w:val="auto"/>
              </w:rPr>
              <w:t>Non-cash loss on extinguishment of debt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Non-cash stock compensation expense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43,928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35,485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rPr>
                <w:sz w:val="20"/>
                <w:szCs w:val="20"/>
                <w:color w:val="auto"/>
              </w:rPr>
            </w:pPr>
            <w:r>
              <w:rPr>
                <w:rFonts w:ascii="Arial" w:cs="Arial" w:eastAsia="Arial" w:hAnsi="Arial"/>
                <w:sz w:val="15"/>
                <w:szCs w:val="15"/>
                <w:color w:val="auto"/>
              </w:rPr>
              <w:t>Non-cash lease 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12,599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Non-cash rent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(25,568)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(24,689)</w:t>
            </w: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rPr>
                <w:sz w:val="20"/>
                <w:szCs w:val="20"/>
                <w:color w:val="auto"/>
              </w:rPr>
            </w:pPr>
            <w:r>
              <w:rPr>
                <w:rFonts w:ascii="Arial" w:cs="Arial" w:eastAsia="Arial" w:hAnsi="Arial"/>
                <w:sz w:val="15"/>
                <w:szCs w:val="15"/>
                <w:color w:val="auto"/>
              </w:rPr>
              <w:t>Cash received from landlord allowances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56,280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50,843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48,834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Changes in assets and liabilities: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(8,816)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(19,983)</w:t>
            </w: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Merchandise inventories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176,430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(201,621)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(50,671)</w:t>
            </w: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rPr>
                <w:sz w:val="20"/>
                <w:szCs w:val="20"/>
                <w:color w:val="auto"/>
              </w:rPr>
            </w:pPr>
            <w:r>
              <w:rPr>
                <w:rFonts w:ascii="Arial" w:cs="Arial" w:eastAsia="Arial" w:hAnsi="Arial"/>
                <w:sz w:val="15"/>
                <w:szCs w:val="15"/>
                <w:color w:val="auto"/>
              </w:rPr>
              <w:t>Prepaid and other current 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(13,598)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(7,461)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(42,855)</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(90,899)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111,023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rPr>
                <w:sz w:val="20"/>
                <w:szCs w:val="20"/>
                <w:color w:val="auto"/>
              </w:rPr>
            </w:pPr>
            <w:r>
              <w:rPr>
                <w:rFonts w:ascii="Arial" w:cs="Arial" w:eastAsia="Arial" w:hAnsi="Arial"/>
                <w:sz w:val="15"/>
                <w:szCs w:val="15"/>
                <w:color w:val="auto"/>
              </w:rPr>
              <w:t>Other current liabilities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25,202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13,700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 long term assets and long term liabilities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8,780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(2,109)</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Other operating activities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(3,858)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891,725</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639,653</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607,250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Cash paid for property and equipment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(328,357)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(295,772)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(268,194)</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Lease acquisition costs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(8,543)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insurance recoveries related to property and equipment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Proceeds from sale of property and equipment and assets held for sale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Other investing activities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(3,000)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(324,598)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(298,508)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(262,208)</w:t>
            </w:r>
          </w:p>
        </w:tc>
        <w:tc>
          <w:tcPr>
            <w:tcW w:w="0" w:type="dxa"/>
            <w:vAlign w:val="bottom"/>
          </w:tcPr>
          <w:p>
            <w:pPr>
              <w:spacing w:after="0"/>
              <w:rPr>
                <w:sz w:val="1"/>
                <w:szCs w:val="1"/>
                <w:color w:val="auto"/>
              </w:rPr>
            </w:pPr>
          </w:p>
        </w:tc>
      </w:tr>
      <w:tr>
        <w:trPr>
          <w:trHeight w:val="169"/>
        </w:trPr>
        <w:tc>
          <w:tcPr>
            <w:tcW w:w="52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Proceeds from long term debt—ABL Line of Credit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1,294,400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1,220,200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1,215,500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Principal payments on long term debt—ABL Line of Credit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(1,294,400)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(1,220,200)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(1,215,500)</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Proceeds from long term debt—Term B-5 Loans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1,114,207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Principal payments on long term debt—Term B-5 Loans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(152,793)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(2,793)</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Principal payments on long term debt—Term B-4 Loans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(1,117,000)</w:t>
            </w: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Purchase of treasury shares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(323,080)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(228,874)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(289,777)</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Proceeds from stock option exercises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34,222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16,306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Deferred financing costs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(2,439)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Other financing activities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(2,769)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(5,975)</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cash (used in) financing activities</w:t>
            </w: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(291,627)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(368,075)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(293,353)</w:t>
            </w:r>
          </w:p>
        </w:tc>
        <w:tc>
          <w:tcPr>
            <w:tcW w:w="0" w:type="dxa"/>
            <w:vAlign w:val="bottom"/>
          </w:tcPr>
          <w:p>
            <w:pPr>
              <w:spacing w:after="0"/>
              <w:rPr>
                <w:sz w:val="1"/>
                <w:szCs w:val="1"/>
                <w:color w:val="auto"/>
              </w:rPr>
            </w:pPr>
          </w:p>
        </w:tc>
      </w:tr>
      <w:tr>
        <w:trPr>
          <w:trHeight w:val="156"/>
        </w:trPr>
        <w:tc>
          <w:tcPr>
            <w:tcW w:w="5240" w:type="dxa"/>
            <w:vAlign w:val="bottom"/>
          </w:tcPr>
          <w:p>
            <w:pPr>
              <w:spacing w:after="0" w:line="156" w:lineRule="exact"/>
              <w:rPr>
                <w:sz w:val="20"/>
                <w:szCs w:val="20"/>
                <w:color w:val="auto"/>
              </w:rPr>
            </w:pPr>
            <w:r>
              <w:rPr>
                <w:rFonts w:ascii="Arial" w:cs="Arial" w:eastAsia="Arial" w:hAnsi="Arial"/>
                <w:sz w:val="15"/>
                <w:szCs w:val="15"/>
                <w:color w:val="auto"/>
                <w:w w:val="96"/>
              </w:rPr>
              <w:t>Increase (decrease) in cash, cash equivalents, restricted cash and restricted cash</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5"/>
                <w:szCs w:val="15"/>
                <w:color w:val="auto"/>
              </w:rPr>
              <w:t>equivalents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275,500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(26,930)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51,689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3"/>
              </w:rPr>
              <w:t>Cash, cash equivalents, restricted cash and restricted cash equivalents at beginning</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of period</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134,156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161,086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109,397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240" w:type="dxa"/>
            <w:vAlign w:val="bottom"/>
          </w:tcPr>
          <w:p>
            <w:pPr>
              <w:spacing w:after="0" w:line="152" w:lineRule="exact"/>
              <w:rPr>
                <w:sz w:val="20"/>
                <w:szCs w:val="20"/>
                <w:color w:val="auto"/>
              </w:rPr>
            </w:pPr>
            <w:r>
              <w:rPr>
                <w:rFonts w:ascii="Arial" w:cs="Arial" w:eastAsia="Arial" w:hAnsi="Arial"/>
                <w:sz w:val="15"/>
                <w:szCs w:val="15"/>
                <w:b w:val="1"/>
                <w:bCs w:val="1"/>
                <w:color w:val="auto"/>
                <w:w w:val="90"/>
              </w:rPr>
              <w:t>Cash, cash equivalents, restricted cash and restricted cash equivalents at end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4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409,656</w:t>
            </w:r>
          </w:p>
        </w:tc>
        <w:tc>
          <w:tcPr>
            <w:tcW w:w="1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134,156</w:t>
            </w:r>
          </w:p>
        </w:tc>
        <w:tc>
          <w:tcPr>
            <w:tcW w:w="1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161,086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5"/>
                <w:szCs w:val="15"/>
                <w:color w:val="auto"/>
              </w:rPr>
              <w:t>Interest paid</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47,071</w:t>
            </w:r>
          </w:p>
        </w:tc>
        <w:tc>
          <w:tcPr>
            <w:tcW w:w="1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52,173</w:t>
            </w:r>
          </w:p>
        </w:tc>
        <w:tc>
          <w:tcPr>
            <w:tcW w:w="1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49,092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Income tax payments - net</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110,588</w:t>
            </w: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75,650</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109,581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Non-cash investing activities:</w:t>
            </w: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spacing w:after="0"/>
              <w:rPr>
                <w:sz w:val="20"/>
                <w:szCs w:val="20"/>
                <w:color w:val="auto"/>
              </w:rPr>
            </w:pPr>
            <w:r>
              <w:rPr>
                <w:rFonts w:ascii="Arial" w:cs="Arial" w:eastAsia="Arial" w:hAnsi="Arial"/>
                <w:sz w:val="15"/>
                <w:szCs w:val="15"/>
                <w:color w:val="auto"/>
              </w:rPr>
              <w:t>Accrued purchases of property and equipment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62,814</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47,258</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Acquisition of finance leases</w:t>
            </w: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20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19,875</w:t>
            </w:r>
          </w:p>
        </w:tc>
        <w:tc>
          <w:tcPr>
            <w:tcW w:w="100" w:type="dxa"/>
            <w:vAlign w:val="bottom"/>
          </w:tcPr>
          <w:p>
            <w:pPr>
              <w:spacing w:after="0"/>
              <w:rPr>
                <w:sz w:val="13"/>
                <w:szCs w:val="13"/>
                <w:color w:val="auto"/>
              </w:rPr>
            </w:pPr>
          </w:p>
        </w:tc>
        <w:tc>
          <w:tcPr>
            <w:tcW w:w="20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13,538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72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10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vMerge w:val="continue"/>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21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28, 2017</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77,653,924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$ 1,420,581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(1,060,099)</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(7,191)</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(7,473,211)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(403,110)</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(49,812)</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384,852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384,852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Stock options exercised</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568,675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Shares used for tax withholding</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(70,291)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(7,307)</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w w:val="94"/>
              </w:rPr>
              <w:t>Shares purchased as part of publicly announced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programs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(3,006,720)</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(282,470)</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6"/>
              </w:rPr>
              <w:t>(282,470)</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Issuance of restricted shares, net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of forfeitures of 33,263 restricted shares</w:t>
            </w:r>
          </w:p>
        </w:tc>
        <w:tc>
          <w:tcPr>
            <w:tcW w:w="840" w:type="dxa"/>
            <w:vAlign w:val="bottom"/>
          </w:tcPr>
          <w:p>
            <w:pPr>
              <w:jc w:val="right"/>
              <w:spacing w:after="0"/>
              <w:rPr>
                <w:sz w:val="20"/>
                <w:szCs w:val="20"/>
                <w:color w:val="auto"/>
              </w:rPr>
            </w:pPr>
            <w:r>
              <w:rPr>
                <w:rFonts w:ascii="Arial" w:cs="Arial" w:eastAsia="Arial" w:hAnsi="Arial"/>
                <w:sz w:val="16"/>
                <w:szCs w:val="16"/>
                <w:color w:val="auto"/>
              </w:rPr>
              <w:t>199,348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Stock based compensation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27,034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Unrealized gains on interest rate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cap contracts, net of related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taxes of $1.7 million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1,742</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w w:val="95"/>
              </w:rPr>
              <w:t>Amount reclassified into earnings, net of related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taxes of $2.4 million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Cumulative-effect 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(417)</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February 3, 2018</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78,421,947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1,457,205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(675,664)</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(1,887)</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(10,550,222)</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(692,887)</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414,745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414,745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Stock options exercised</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684,011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Shares used for tax withholding</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(69,489)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(10,127)</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(10,127)</w:t>
            </w: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w w:val="94"/>
              </w:rPr>
              <w:t>Shares purchased as part of publicly announced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programs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(1,459,861)</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(218,747)</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6"/>
              </w:rPr>
              <w:t>(218,747)</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Issuance of restricted shares, net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of forfeitures of 25,504 restricted shares</w:t>
            </w:r>
          </w:p>
        </w:tc>
        <w:tc>
          <w:tcPr>
            <w:tcW w:w="840" w:type="dxa"/>
            <w:vAlign w:val="bottom"/>
          </w:tcPr>
          <w:p>
            <w:pPr>
              <w:jc w:val="right"/>
              <w:spacing w:after="0"/>
              <w:rPr>
                <w:sz w:val="20"/>
                <w:szCs w:val="20"/>
                <w:color w:val="auto"/>
              </w:rPr>
            </w:pPr>
            <w:r>
              <w:rPr>
                <w:rFonts w:ascii="Arial" w:cs="Arial" w:eastAsia="Arial" w:hAnsi="Arial"/>
                <w:sz w:val="16"/>
                <w:szCs w:val="16"/>
                <w:color w:val="auto"/>
              </w:rPr>
              <w:t>118,711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Stock based compensation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35,485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Unrealized gains on interest rate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cap contracts, net of related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taxes of $1.2 million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(3,080)</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w w:val="95"/>
              </w:rPr>
              <w:t>Amount reclassified into earnings, net of related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taxes of $0.5 million</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18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b w:val="1"/>
                <w:bCs w:val="1"/>
                <w:color w:val="auto"/>
              </w:rPr>
              <w:t>Balance at February 2, 2019</w:t>
            </w:r>
          </w:p>
        </w:tc>
        <w:tc>
          <w:tcPr>
            <w:tcW w:w="840" w:type="dxa"/>
            <w:vAlign w:val="bottom"/>
          </w:tcPr>
          <w:p>
            <w:pPr>
              <w:jc w:val="right"/>
              <w:spacing w:after="0"/>
              <w:rPr>
                <w:sz w:val="20"/>
                <w:szCs w:val="20"/>
                <w:color w:val="auto"/>
              </w:rPr>
            </w:pPr>
            <w:r>
              <w:rPr>
                <w:rFonts w:ascii="Arial" w:cs="Arial" w:eastAsia="Arial" w:hAnsi="Arial"/>
                <w:sz w:val="16"/>
                <w:szCs w:val="16"/>
                <w:color w:val="auto"/>
              </w:rPr>
              <w:t>79,224,669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1,508,996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(260,919)</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(3,613)</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(12,079,572)</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(921,761)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322,710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465,116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40" w:type="dxa"/>
            <w:vAlign w:val="bottom"/>
          </w:tcPr>
          <w:p>
            <w:pPr>
              <w:jc w:val="right"/>
              <w:spacing w:after="0"/>
              <w:rPr>
                <w:sz w:val="20"/>
                <w:szCs w:val="20"/>
                <w:color w:val="auto"/>
              </w:rPr>
            </w:pPr>
            <w:r>
              <w:rPr>
                <w:rFonts w:ascii="Arial" w:cs="Arial" w:eastAsia="Arial" w:hAnsi="Arial"/>
                <w:sz w:val="16"/>
                <w:szCs w:val="16"/>
                <w:color w:val="auto"/>
              </w:rPr>
              <w:t>710,964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34,222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Shares used for tax withholding</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(132,222)</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(23,200)</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(23,200)</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w w:val="94"/>
              </w:rPr>
              <w:t>Shares purchased as part of publicly announced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programs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(1,740,740)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(299,880)</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(299,880)</w:t>
            </w: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Forfeiture of restricted shares, net</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of issuances of 1,759 restricted shares</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(53,127)</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losses on interest rate</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derivative contracts, net of related</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taxes of $6.4 million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(16,606)</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(16,606)</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w w:val="95"/>
              </w:rPr>
              <w:t>Amount reclassified into earnings, net of related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taxes of $0.5 million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1,259</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Cumulative-effect adjustment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b w:val="1"/>
                <w:bCs w:val="1"/>
                <w:color w:val="auto"/>
              </w:rPr>
              <w:t>Balance at February 1, 2020</w:t>
            </w:r>
          </w:p>
        </w:tc>
        <w:tc>
          <w:tcPr>
            <w:tcW w:w="840" w:type="dxa"/>
            <w:vAlign w:val="bottom"/>
          </w:tcPr>
          <w:p>
            <w:pPr>
              <w:jc w:val="right"/>
              <w:spacing w:after="0"/>
              <w:rPr>
                <w:sz w:val="20"/>
                <w:szCs w:val="20"/>
                <w:color w:val="auto"/>
              </w:rPr>
            </w:pPr>
            <w:r>
              <w:rPr>
                <w:rFonts w:ascii="Arial" w:cs="Arial" w:eastAsia="Arial" w:hAnsi="Arial"/>
                <w:sz w:val="16"/>
                <w:szCs w:val="16"/>
                <w:color w:val="auto"/>
              </w:rPr>
              <w:t>79,882,506</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$ 1,587,146</w:t>
            </w:r>
          </w:p>
        </w:tc>
        <w:tc>
          <w:tcPr>
            <w:tcW w:w="1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204,797</w:t>
            </w:r>
          </w:p>
        </w:tc>
        <w:tc>
          <w:tcPr>
            <w:tcW w:w="20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(18,960)</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(13,952,534)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(1,244,841)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528,149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As of February 1, 2020, Burlington Stores, Inc., a Delaware corporation (collectively with its subsidiaries, the Company), has expanded its store base to 727 retail stores, inclusive of an internet store, in 45 states and Puerto Rico. The Company sells in-season, fashion-focused merchandise at up to 60% off other retailers’ prices, including: women’s ready-to-wear apparel, menswear, youth apparel, baby, beauty, footwear, accessories, home, toys, gifts and coats. As of February 1, 2020, the Company operated stores under the names “Burlington Stores” (714 stores), “Cohoes Fashions” (2 stores), “Super Baby Depot” (2 stores), “MJM Designer Shoes” (8 stores) and 1 online store. Cohoes Fashions offers products similar to those offered by Burlington Stores. MJM Designer Shoes offers moderately priced designer and fashion shoes. The Super Baby Depot stores offer baby clothing, accessories, furniture and other merchandise in the middle to higher price range.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Years</w:t>
      </w:r>
    </w:p>
    <w:p>
      <w:pPr>
        <w:spacing w:after="0" w:line="11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The Company defines its fiscal year as the 52 or 53-week period ending on the Saturday closest to January 31. The fiscal years ended February 1, 2020 (Fiscal 2019) and February 2, 2019 (Fiscal 2018) each consisted of 52 weeks. The fiscal year ended February 3, 2018 (Fiscal 2017) consisted of 53 weeks.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Losses and Insurance Proceeds</w:t>
      </w:r>
    </w:p>
    <w:p>
      <w:pPr>
        <w:spacing w:after="0" w:line="333" w:lineRule="exact"/>
        <w:rPr>
          <w:sz w:val="20"/>
          <w:szCs w:val="20"/>
          <w:color w:val="auto"/>
        </w:rPr>
      </w:pPr>
    </w:p>
    <w:p>
      <w:pPr>
        <w:jc w:val="both"/>
        <w:ind w:right="200" w:firstLine="510"/>
        <w:spacing w:after="0" w:line="287" w:lineRule="auto"/>
        <w:rPr>
          <w:sz w:val="20"/>
          <w:szCs w:val="20"/>
          <w:color w:val="auto"/>
        </w:rPr>
      </w:pPr>
      <w:r>
        <w:rPr>
          <w:rFonts w:ascii="Arial" w:cs="Arial" w:eastAsia="Arial" w:hAnsi="Arial"/>
          <w:sz w:val="16"/>
          <w:szCs w:val="16"/>
          <w:color w:val="auto"/>
        </w:rPr>
        <w:t>As a result of the effects of certain weather-related incidents, 82 of the Company’s stores were closed for at least one day during Fiscal 2017. The Company incurred losses during Fiscal 2017 of (i) $5.4 million related to the net book values of merchandise inventories and (ii) $17.7 million related to the net book values of property and equipment and other long-lived assets, as well as repair and maintenance costs related to the clean-up of its stores.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costs were recorded in the line items “Cost of sales” and “Selling general and administrative expenses” on the Company’s Consolidated Statement of Income for the year ended February 3, 2018. The Company was insured at the selling price of the inventory and at replacement costs for the property and equipment and other long-lived assets, less a deductible. During Fiscal 2017, the Company received approximately $11.7 million of insurance proceeds to offset some of the losses. The Company allocated $6.0 million of these proceeds to property and equipment, which is included in the line item “Proceeds from insurance recoveries related to property and equipment,” a component of cash flows from investing activities, on the Company’s Consolidated Statements of Cash Flows during the year ended February 3, 2018.</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ind w:right="40" w:firstLine="510"/>
        <w:spacing w:after="0" w:line="296" w:lineRule="auto"/>
        <w:rPr>
          <w:sz w:val="20"/>
          <w:szCs w:val="20"/>
          <w:color w:val="auto"/>
        </w:rPr>
      </w:pPr>
      <w:r>
        <w:rPr>
          <w:rFonts w:ascii="Arial" w:cs="Arial" w:eastAsia="Arial" w:hAnsi="Arial"/>
          <w:sz w:val="16"/>
          <w:szCs w:val="16"/>
          <w:color w:val="auto"/>
        </w:rPr>
        <w:t>During Fiscal 2019 and Fiscal 2018, the Company received $12.5 million and $9.3 million, respectively, of insurance proceeds related to these incidents. These proceeds resulted in a gain on insurance recovery of $8.1 million and $3.3 million, which is included in “Other income – net” on the Company’s Consolidated Statements of Income for Fiscal 2019 and Fiscal 2018, respectively. The Company allocated $5.1 million and $2.8 million of these proceeds to property and equipment, which is included in the line item “Proceeds from insurance recoveries related to property and equipment,” a component of cash flows from investing activities, on the Company’s Consolidated Statement of Cash Flows for Fiscal 2019 and Fiscal 2018, respectively.</w:t>
      </w:r>
    </w:p>
    <w:p>
      <w:pPr>
        <w:spacing w:after="0" w:line="1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 also incurred losses during Fiscal 2019 of $3.1 million related to several stores that sustained damages and were temporarily closed during the year. These losses primarily relate to merchandise held at these stores, and the losses are included in the line item “Cost of sales” in the Company’s Consolidated Statement of Income for Fiscal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and cash equivalents represent cash and short-term, highly liquid investments with maturities of three months or less at the time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Book cash overdrafts are included in the line item “Accounts payable” on the Company’s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Accounts receivable consist of credit card receivables, lease incentive receivables, insurance receivables and other receivables. Accounts receivable are recorded at net realizable value, which approximates fair value. The Company provides an allowance for doubtful accounts for amounts deemed uncollectible.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Merchandise inventories are valued at the lower of cost or market, as determined by the retail inventory method. Under the retail inventory method, the valuation of inventories at cost and the resulting gross margins are calculated by applying a calculated cost to retail ratio to the retail value of inventories. The Company regularly records a provision for estimated shortage,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w:t>
      </w:r>
    </w:p>
    <w:p>
      <w:pPr>
        <w:spacing w:after="0" w:line="18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Income.</w:t>
      </w:r>
    </w:p>
    <w:p>
      <w:pPr>
        <w:spacing w:after="0" w:line="18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Costs associated with the Company’s distribution, buying, and store receiving functions (product sourcing costs) are included in the line items “Selling, general and administrative expenses” and “Depreciation and amortization” in the Company’s Consolidated Statements of Income. Product sourcing costs included within the line item “Selling, general and administrative expenses” amounted to $339.1 million, $313.3 million and $283.6 million during Fiscal 2019, Fiscal 2018 and Fiscal 2017, respectively. Depreciation and amortization related to the distribution and purchasing functions for the same periods amounted to $31.9 million, $30.5 million and $26.6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Property and equipment are recorded at cost. Depreciation is computed using the straight-line method over the estimated useful lives of the assets, which range from 20 to 40 years for buildings, depending upon the expected useful life of the facility, and 3 to 15 years for store fixtures and equipment. Leasehold improvements are amortized over the lease term, including any reasonably assured renewal options or the expected economic life of the improvement, whichever is less. Repairs and maintenance expenditures are expensed as incurred. Renewals and betterments, which significantly extend the useful lives of existing property and equipment, are capitalized. Assets recorded under capital leases are recorded at the present value of minimum lease payments and are amortized over the lease term. Amortization of assets recorded as capital leases is included in the line item “Depreciation and amortization” in the Company’s Consolidated Statements of Income. The carrying value of all long-lived assets is reviewed for impairment whenever events or changes in circumstances indicate that the carrying value of an asset may not be recoverable, in accordance with ASC Topic No. 360 </w:t>
      </w:r>
      <w:r>
        <w:rPr>
          <w:rFonts w:ascii="Arial" w:cs="Arial" w:eastAsia="Arial" w:hAnsi="Arial"/>
          <w:sz w:val="17"/>
          <w:szCs w:val="17"/>
          <w:i w:val="1"/>
          <w:iCs w:val="1"/>
          <w:color w:val="auto"/>
        </w:rPr>
        <w:t>“</w:t>
      </w:r>
      <w:r>
        <w:rPr>
          <w:rFonts w:ascii="Arial" w:cs="Arial" w:eastAsia="Arial" w:hAnsi="Arial"/>
          <w:sz w:val="17"/>
          <w:szCs w:val="17"/>
          <w:color w:val="auto"/>
        </w:rPr>
        <w:t>Property, Plant, and Equipment” (Topic No. 360). The Company recorded impairment charges related to property and equipment of $3.4 million, $3.9 million and $1.1 million during Fiscal 2019, Fiscal 2018 and Fiscal 2017, respectively. These charges are recorded in the line item “Impairment charges—long-lived assets” in the Company’s Consolidated Statements of Income. Refer to Note 6, “Impairment Charges,” for further discussion of the Company’s measurement of impairment of long-lived assets.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charge is recognized for the amount by which the carrying amount of the assets exceeds the fair value of such assets. Refer to Note 6, “Impairment Charges,” for further discussion of the Company’s measurement of impairment of long-lived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Computer Software Costs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Company accounts for capitalized software in accordance with ASC Topic No. 350 “Intangibles—Goodwill and Other” (Topic No. 350) which requires the capitalization of certain costs incurred in connection with developing or obtaining software for internal use. The Company capitalized $18.0 million and $15.7 million relating to these costs during Fiscal 2019 and Fiscal 2018,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accounts for intangible assets in accordance with Topic No. 350. The Company’s intangible assets primarily represent tradenames and favorable lease positions. The tradename asset “Burlington” is expected to generate cash flows indefinitely and, therefore, is accounted for as an indefinite-lived asset not subject to amortization. The values of favorable and unfavorable lease positions are amortized on a straight-line basis over the expected lease terms. Amortization of net favorable lease positions is included in the line item “Depreciation and amortization” in the Company’s Consolidated Statements of Income. The Company evaluates its intangible assets for possible impairment as follows:</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Indefinite-lived intangible assets: 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On the first business day of the second quarter, the Company’s annual assessment date, the Company performed a quantitative analysis and determined that the fair values of each of the Company’s identifiable intangible assets are greater than their respective carrying values. There were no impairment charges recorded during Fiscal 2019, Fiscal 2018 or Fiscal 2017 related to indefinite-lived intangible assets.</w:t>
      </w:r>
    </w:p>
    <w:p>
      <w:pPr>
        <w:spacing w:after="0" w:line="195"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Finite-lived intangible assets: Identifiable intangible assets that are subject to amortization are evaluated for impairment in accordance with Topic No. 360 using a process similar to that used to evaluate other long-lived assets as described in Note 6, “Impairment Charges.” An impairment charge is recognized for the amount by which the carrying value exceeds the fair value of the asset. The Company recorded impairment charges of $2.9 million and $0.8 million related to finite-lived intangible assets during Fiscal 2018 and Fiscal 2017, respectively. There were no impairment charges related to finite-lived intangible assets during Fiscal 2019. These charges are recorded in the line item “Impairment charges–long-lived assets” in the Company’s Consolidated Statements of Income. Refer to Note 6, “Impairment Charges,” for further discussion of the Company’s measurement of impairment of long-lived assets.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On the first business day of the second fiscal quarter, the Company’s annual assessment date, the Company performed a quantitative analysis and determined that the fair value of the Company’s reporting unit was greater than its carrying value. There were no impairment charges related to goodwill during Fiscal 2019, Fiscal 2018 or Fiscal 2017.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Other assets consist primarily of landlord-owned store assets that the Company has paid for as part of its lease and deferred financing costs associated with the Company’s senior secured asset-based revolving credit facility (the ABL Line of Credit). Landlord-owned assets represent leasehold improvements at certain stores for which the Company has paid and derives a benefit, but the landlord has retained title. These assets are amortized over the lease term inclusive of reasonably assured renewal options. Amortization of landlord-owned assets was $14.6 million, $16.0 million and $14.5 million, during Fiscal 2019, Fiscal 2018 and Fiscal 2017, respectively, and was included in the line item “Depreciation and amortization” in the Company’s Consolidated Statements of Income. Deferred financing costs are amortized over the life of the ABL Line of Credit using the interest method of amortization. Amortization of deferred financing costs is recorded in the line item “Interest expense” in the Company’s Consolidated Statements of Income. Other assets also included purchased lease rights as of February 2, 2019. As a result of adopting Accounting Standards Update (ASU) 2016-02, “Leases” (ASU 2016-02), purchased lease rights are now included in the line item “Operating lease assets” as of February 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Liabilities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Other current liabilities primarily consist of sales tax payable, customer liabilities, accrued payroll costs, self-insurance reserves, accrued operating expenses, payroll taxes payable and other miscellaneous items. Additionally, the current portion of straight line rent liability was included in other current liabilities as of February 2, 2019. As a result of adopting ASU 2016-02, the current portion of straight line rent liability is included in the line item “Current operating lease liabilities” as of February 1, 2020. Customer liabilities totaled $32.1 million and $33.7 million as of February 1, 2020 and February 2, 2019, respectively.</w:t>
      </w:r>
    </w:p>
    <w:p>
      <w:pPr>
        <w:spacing w:after="0" w:line="18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Company has risk participation agreements with insurance carriers with respect to workers’ compensation, general liability insurance and health insurance. Pursuant to these arrangements, the Company is 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Self-insurance reserves as of February 1, 2020 and February 2, 2019 were:</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640"/>
              <w:spacing w:after="0"/>
              <w:rPr>
                <w:sz w:val="20"/>
                <w:szCs w:val="20"/>
                <w:color w:val="auto"/>
              </w:rPr>
            </w:pPr>
            <w:r>
              <w:rPr>
                <w:rFonts w:ascii="Arial" w:cs="Arial" w:eastAsia="Arial" w:hAnsi="Arial"/>
                <w:sz w:val="14"/>
                <w:szCs w:val="14"/>
                <w:b w:val="1"/>
                <w:bCs w:val="1"/>
                <w:i w:val="1"/>
                <w:iCs w:val="1"/>
                <w:color w:val="auto"/>
              </w:rPr>
              <w:t>(in thousands)</w:t>
            </w:r>
          </w:p>
        </w:tc>
      </w:tr>
      <w:tr>
        <w:trPr>
          <w:trHeight w:val="156"/>
        </w:trPr>
        <w:tc>
          <w:tcPr>
            <w:tcW w:w="5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80" w:type="dxa"/>
            <w:vAlign w:val="bottom"/>
            <w:tcBorders>
              <w:top w:val="single" w:sz="8" w:color="auto"/>
              <w:bottom w:val="single" w:sz="8" w:color="auto"/>
            </w:tcBorders>
            <w:gridSpan w:val="4"/>
          </w:tcPr>
          <w:p>
            <w:pPr>
              <w:ind w:left="480"/>
              <w:spacing w:after="0" w:line="155" w:lineRule="exact"/>
              <w:rPr>
                <w:sz w:val="20"/>
                <w:szCs w:val="20"/>
                <w:color w:val="auto"/>
              </w:rPr>
            </w:pPr>
            <w:r>
              <w:rPr>
                <w:rFonts w:ascii="Arial" w:cs="Arial" w:eastAsia="Arial" w:hAnsi="Arial"/>
                <w:sz w:val="14"/>
                <w:szCs w:val="14"/>
                <w:b w:val="1"/>
                <w:bCs w:val="1"/>
                <w:color w:val="auto"/>
              </w:rPr>
              <w:t>Fiscal Years Ended</w:t>
            </w:r>
          </w:p>
        </w:tc>
        <w:tc>
          <w:tcPr>
            <w:tcW w:w="80" w:type="dxa"/>
            <w:vAlign w:val="bottom"/>
          </w:tcPr>
          <w:p>
            <w:pPr>
              <w:spacing w:after="0"/>
              <w:rPr>
                <w:sz w:val="13"/>
                <w:szCs w:val="13"/>
                <w:color w:val="auto"/>
              </w:rPr>
            </w:pPr>
          </w:p>
        </w:tc>
      </w:tr>
      <w:tr>
        <w:trPr>
          <w:trHeight w:val="133"/>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February 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rPr>
              <w:t>February 2,</w:t>
            </w:r>
          </w:p>
        </w:tc>
        <w:tc>
          <w:tcPr>
            <w:tcW w:w="80" w:type="dxa"/>
            <w:vAlign w:val="bottom"/>
          </w:tcPr>
          <w:p>
            <w:pPr>
              <w:spacing w:after="0"/>
              <w:rPr>
                <w:sz w:val="11"/>
                <w:szCs w:val="11"/>
                <w:color w:val="auto"/>
              </w:rPr>
            </w:pPr>
          </w:p>
        </w:tc>
      </w:tr>
      <w:tr>
        <w:trPr>
          <w:trHeight w:val="171"/>
        </w:trPr>
        <w:tc>
          <w:tcPr>
            <w:tcW w:w="53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Short-term self-insurance reserve(a)</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0"/>
              </w:rPr>
              <w:t>34,817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self-insurance reserve(b)</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0"/>
              </w:rPr>
              <w:t>44,137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0"/>
              </w:rPr>
              <w:t>78,954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360" w:hanging="492"/>
        <w:spacing w:after="0" w:line="25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the next twelve months, which were recorded in the line item “Other current liabilities” in the Company’s Consolidated Balance Sheets.</w:t>
      </w:r>
    </w:p>
    <w:p>
      <w:pPr>
        <w:spacing w:after="0" w:line="1" w:lineRule="exact"/>
        <w:rPr>
          <w:rFonts w:ascii="Arial" w:cs="Arial" w:eastAsia="Arial" w:hAnsi="Arial"/>
          <w:sz w:val="18"/>
          <w:szCs w:val="18"/>
          <w:color w:val="auto"/>
        </w:rPr>
      </w:pPr>
    </w:p>
    <w:p>
      <w:pPr>
        <w:ind w:left="500" w:right="340" w:hanging="492"/>
        <w:spacing w:after="0" w:line="26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excess of twelve months, which was recorded in the line item “Other liabilities” in the Company’s Consolidated Balance Sheets.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As of February 1, 2020, other liabilities primarily consist of the long term portion of self-insurance reserves and tax liabilities associated with the uncertain tax positions recognized by the Company in accordance with ASC Topic No. 740 “Income Taxes” (Topic No. 740). As of February 2, 2019, other liabilities primarily consist of deferred lease incentives, the long term portion of straight line rent liability, the long term portion of self-insurance reserves and tax liabilities associated with the uncertain tax positions recognized by the Company in accordance with Topic No. 740.</w:t>
      </w:r>
    </w:p>
    <w:p>
      <w:pPr>
        <w:spacing w:after="0" w:line="17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Deferred lease incentives are funds received or receivable from landlords used primarily to offset the costs incurred for leasehold improvements and for new and remodeled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Consolidated Statements of Income. As of February 2, 2019, deferred lease incentives included in the line item “Other liabilities” were $216.2 million. As a result of adoption of ASU 2016-02, deferred lease incentives are included in the line item “Operating lease assets” as of February 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 records revenue at the time control of the goods are transferred to the customer, which the Company determines to be at point of sale and delivery of merchandise, net of allowances for estimated future returns, which is estimated based on historical return rates. The Company presents sales, net of sales taxes, in its Consolidated Statements of Income. The Company accounts for layaway sales and leased department revenue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the Company’s Consolidated Balance Sheets. Stored value cards (gift cards and store credits issued for merchandise returns) are recorded as a liability at the time of issuance, and the related sale is recorded upon redemption.</w:t>
      </w:r>
    </w:p>
    <w:p>
      <w:pPr>
        <w:spacing w:after="0" w:line="177"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The Company determines an estimated stored value card breakage rate by continuously evaluating historical redemption data. Breakage income is recognized monthly in proportion to the historical redemption patterns for those stored value cards for which the likelihood of redemption is remote.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Other revenue consists of service fees (layaway, shipping and handling, alteration, dormancy and other service charges), subleased rental income and rental income from leased departments as shown in the table below:</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Fiscal Years Ended</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7"/>
              </w:rPr>
              <w:t>February 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98"/>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1"/>
                <w:szCs w:val="11"/>
                <w:color w:val="auto"/>
              </w:rPr>
            </w:pPr>
          </w:p>
        </w:tc>
      </w:tr>
      <w:tr>
        <w:trPr>
          <w:trHeight w:val="162"/>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(53 Weeks)</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fees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Subleased rental income and other</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Rental income from leased departments</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Rental income from leased departments resulted from arrangements at some of the Company’s stores where the Company granted unaffiliated third parties the right to use designated store space solely for the purpose of selling such third parties’ goods, including such items as fragrances and designer handbags. Rental income was based on an agreed upon percentage of the lease departments’ total revenues. The Company did not own or have any rights to any tradenames, licenses or other intellectual property in connection with the brands sold by such unaffiliated third parties. The Company no longer has any such arrangements as of the end of Fiscal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Label Credit Card</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has a private label credit card program, in which customers earn reward points for purchases made using the card. The Company reduces net sales for the dollar value of any points earned at the time of the initial transaction, and subsequently recognizes net sales at the time the points are redeemed or expired. The Company receives royalty revenue based on a percentage of all purchases made on the card, which is recognized at the time of the initial transaction. The Company also receives a fee for each card activated. Revenue from activation fees are deferred and amortized over the period the Company performs its obligations under the card to the customer.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The Company’s advertising costs consist primarily of national television, direct mail and digital costs. Advertising costs are expensed the first time the advertising takes place, and are included in the line item “Selling, general and administrative expenses” on the Company’s Consolidated Statements of Income. During Fiscal 2019, Fiscal 2018 and Fiscal 2017, advertising costs were $74.6 million, $77.1 million and $82.3 million,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400"/>
        <w:spacing w:after="0" w:line="311" w:lineRule="auto"/>
        <w:rPr>
          <w:sz w:val="20"/>
          <w:szCs w:val="20"/>
          <w:color w:val="auto"/>
        </w:rPr>
      </w:pPr>
      <w:r>
        <w:rPr>
          <w:rFonts w:ascii="Arial" w:cs="Arial" w:eastAsia="Arial" w:hAnsi="Arial"/>
          <w:sz w:val="16"/>
          <w:szCs w:val="16"/>
          <w:color w:val="auto"/>
        </w:rPr>
        <w:t>assumptions and to apply judgment, including forecasting future earnings, taxable income, and the mix of earnings in the jurisdictions in which the Company operates. Management periodically assesses the need for a valuation allowance based on the Company’s current and anticipated results of operations. The need for and the amount of a valuation allowance can change in the near term if operating results and projections change significantly.</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Topic No. 740 requires the recognition in the Company’s Consolidated Financial Statements of the impact of a tax position taken or expected to be taken in a tax return, if that position is “more likely than not” to be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 xml:space="preserve">Other income, net, consists of breakage income, gains and losses on insurance proceeds, interest income, net gains and losses on disposition of assets, and other miscellaneous items. During Fiscal 2019, Fiscal 2018 and Fiscal 2017, the Company recognized $3.6 </w:t>
      </w:r>
      <w:r>
        <w:rPr>
          <w:rFonts w:ascii="Arial" w:cs="Arial" w:eastAsia="Arial" w:hAnsi="Arial"/>
          <w:sz w:val="15"/>
          <w:szCs w:val="15"/>
          <w:color w:val="auto"/>
        </w:rPr>
        <w:t>million,</w:t>
      </w:r>
      <w:r>
        <w:rPr>
          <w:rFonts w:ascii="Arial" w:cs="Arial" w:eastAsia="Arial" w:hAnsi="Arial"/>
          <w:sz w:val="16"/>
          <w:szCs w:val="16"/>
          <w:color w:val="auto"/>
        </w:rPr>
        <w:t xml:space="preserve"> $4.2 million and $3.3 million, respectively, of breakage income. The Company recognized an $8.1 million and $3.3 million gain on insurance recoveries during Fiscal 2019 and Fiscal 2018, respectively. There was no gain on insurance recovery during Fiscal 2017. The Company also recognized $2.1 million and $2.5 million during Fiscal 2018 and Fiscal 2017, respectively, related to the sale of certain state tax credits. There were no sales of tax credits during Fiscal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Comprehensive income is comprised of net income and the effective portion of changes in the fair value of derivatives designated and that qualify as cash flow hedges, less amounts reclassified into earnings.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Company leases store locations, distribution centers and office space used in its operations. Beginning in Fiscal 2019, as a result of adopting ASU 2016-02, the Company accounts for these types of leases in accordance with ASC Topic No. 842, “Leases” (Topic No. 842), which requires that leases be evaluated and classified as operating or finance leases for financial reporting purposes. The lease liability is calculated as the present value of the remaining future lease payments over the lease term, including reasonably assured renewal options. The discount rates used in valuing the Company’s leases are not readily determinable, and are based on the Company’s incremental borrowing rate on a fully collateralized basis. In calculating its incremental borrowing rate, the Company uses a retail industry yield curve, adjusted for the Company’s credit profile. The right-of-use asset for operating leases is based on the lease liability adjusted for the reclassification of certain balance sheet amounts, such as favorable leases, the long term portion of straight line rent liability, purchased lease rights, unamortized initial direct costs, impairment of the right-of-use asset and unamortized landlord allowances.</w:t>
      </w:r>
    </w:p>
    <w:p>
      <w:pPr>
        <w:spacing w:after="0" w:line="57"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The Company’s operating lease cost, included in the line item “Selling, general and administrative expenses” on its Consolidated Statement of Income, includes amortization of right-of-use assets, interest on lease liabilities, as well as any variable and short-term lease cost. The Company commences recording operating lease cost when the underlying asset is made available for use.</w:t>
      </w:r>
    </w:p>
    <w:p>
      <w:pPr>
        <w:spacing w:after="0" w:line="7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Assets held under finance leases are included in the line item “Property and equipment—net of accumulated depreciation and amortization” in the Company’s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No. 718, “Stock Compensation” (Topic No. 718), which requires companies to record stock compensation expense for all non-vested and new awards beginning as of the grant date. Refer to Note 12, “Stock-Based Compensation,” for further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per share is calculated using the treasury stock method. Refer to Note 11, “Net Income Per Share,” for further details.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from maintaining cash accounts in excess of such limits. Management believes that it is not exposed to any significant risks on its cash and cash equivalent accounts.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The Company reports segment information in accordance with ASC Topic No. 280 “Segment Reporting.” The Company has one reportable segment. The Company is an off-price retailer that offers customers a complete line of value-priced apparel, including: women’s ready-to-wear apparel, accessories, footwear, menswear, youth apparel, baby, home, coats, beauty, toys and gifts. Sales percentage by major product category is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Fiscal 2019(a)</w:t>
            </w: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2018(a)</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Fiscal 2017(a)</w:t>
            </w:r>
          </w:p>
        </w:tc>
        <w:tc>
          <w:tcPr>
            <w:tcW w:w="18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Women’s ready-to-wear apparel</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Accessories and footwear</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29"/>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Menswear</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29"/>
        </w:trPr>
        <w:tc>
          <w:tcPr>
            <w:tcW w:w="5100" w:type="dxa"/>
            <w:vAlign w:val="bottom"/>
            <w:gridSpan w:val="2"/>
          </w:tcPr>
          <w:p>
            <w:pPr>
              <w:spacing w:after="0"/>
              <w:rPr>
                <w:sz w:val="20"/>
                <w:szCs w:val="20"/>
                <w:color w:val="auto"/>
              </w:rPr>
            </w:pPr>
            <w:r>
              <w:rPr>
                <w:rFonts w:ascii="Arial" w:cs="Arial" w:eastAsia="Arial" w:hAnsi="Arial"/>
                <w:sz w:val="18"/>
                <w:szCs w:val="18"/>
                <w:color w:val="auto"/>
              </w:rPr>
              <w:t>Youth apparel/baby</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Home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Coats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191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Percentages may not foot due to rounding.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80" w:firstLine="742"/>
        <w:spacing w:after="0" w:line="263" w:lineRule="auto"/>
        <w:rPr>
          <w:sz w:val="20"/>
          <w:szCs w:val="20"/>
          <w:color w:val="auto"/>
        </w:rPr>
      </w:pPr>
      <w:r>
        <w:rPr>
          <w:rFonts w:ascii="Arial" w:cs="Arial" w:eastAsia="Arial" w:hAnsi="Arial"/>
          <w:sz w:val="18"/>
          <w:szCs w:val="18"/>
          <w:color w:val="auto"/>
        </w:rPr>
        <w:t>In February 2016, the Financial Accounting Standards Board (FASB) issued ASU 2016-02. The standard’s core principle is to increase transparency and comparability among organizations by recognizing lease assets and liabilities on the balance sheet and disclosing key information about leasing arrangements. The Company adopted this ASU as of the beginning of Fiscal 2019.</w:t>
      </w:r>
    </w:p>
    <w:p>
      <w:pPr>
        <w:spacing w:after="0" w:line="184" w:lineRule="exact"/>
        <w:rPr>
          <w:sz w:val="20"/>
          <w:szCs w:val="20"/>
          <w:color w:val="auto"/>
        </w:rPr>
      </w:pPr>
    </w:p>
    <w:p>
      <w:pPr>
        <w:ind w:right="120" w:firstLine="742"/>
        <w:spacing w:after="0" w:line="254" w:lineRule="auto"/>
        <w:rPr>
          <w:sz w:val="20"/>
          <w:szCs w:val="20"/>
          <w:color w:val="auto"/>
        </w:rPr>
      </w:pPr>
      <w:r>
        <w:rPr>
          <w:rFonts w:ascii="Arial" w:cs="Arial" w:eastAsia="Arial" w:hAnsi="Arial"/>
          <w:sz w:val="18"/>
          <w:szCs w:val="18"/>
          <w:color w:val="auto"/>
        </w:rPr>
        <w:t>The Company applied the changes from the new guidance at the adoption date and recognized a cumulative effect adjustment to retained earnings in the period of adoption, as allowed under ASU 2018-11, “Leases: Targeted Improvements.” The Company did not adjust prior periods. The Company made an accounting policy election not to capitalize leases with an initial term of twelve months or less. The Company elected the transition package of practical expedients, which allows the Company to carry forward for its existing leases: (i) the historical lease classification as either operating or capital; (ii) assessment of whether any expired or existing contracts are or contain leases; and (iii) capitalization of initial direct costs. Additionally, the Company elected the practical expedients to not separate lease and non-lease components for both its real estate and non-real estate leases, to not assess whether existing or expired land easements contain a lease, and to employ hindsight when determining lease terms for existing leases on the date of adoption.</w:t>
      </w:r>
    </w:p>
    <w:p>
      <w:pPr>
        <w:spacing w:after="0" w:line="192" w:lineRule="exact"/>
        <w:rPr>
          <w:sz w:val="20"/>
          <w:szCs w:val="20"/>
          <w:color w:val="auto"/>
        </w:rPr>
      </w:pPr>
    </w:p>
    <w:p>
      <w:pPr>
        <w:ind w:firstLine="742"/>
        <w:spacing w:after="0" w:line="272" w:lineRule="auto"/>
        <w:rPr>
          <w:sz w:val="20"/>
          <w:szCs w:val="20"/>
          <w:color w:val="auto"/>
        </w:rPr>
      </w:pPr>
      <w:r>
        <w:rPr>
          <w:rFonts w:ascii="Arial" w:cs="Arial" w:eastAsia="Arial" w:hAnsi="Arial"/>
          <w:sz w:val="17"/>
          <w:szCs w:val="17"/>
          <w:color w:val="auto"/>
        </w:rPr>
        <w:t>At adoption of this standard, the Company recognized approximately $2.1 billion of additional right-of-use assets and approximately $2.2 billion of additional lease liabilities (current and long-term combined) on its Consolidated Balance Sheet as of February 3, 2019. The lease liability for operating leases is based on the net present value of future minimum lease payments. The right-of-use asset for operating leases is based on the lease liability adjusted for the reclassification of certain balance sheet amounts such as favorable leases, the long term portion of straight line rent liability, purchased lease rights, unamortized initial direct costs, impairment of the right-of-use asset and unamortized landlord allowances. In addition, the Company also recorded an approximate $0.6 million cumulative-effect adjustment to retained earnings, related to a deferred gain on a previous sale-leaseback transaction that was being recognized into the line item “Other income” over a 13 year period.</w:t>
      </w:r>
    </w:p>
    <w:p>
      <w:pPr>
        <w:spacing w:after="0" w:line="177" w:lineRule="exact"/>
        <w:rPr>
          <w:sz w:val="20"/>
          <w:szCs w:val="20"/>
          <w:color w:val="auto"/>
        </w:rPr>
      </w:pPr>
    </w:p>
    <w:p>
      <w:pPr>
        <w:ind w:right="80" w:firstLine="742"/>
        <w:spacing w:after="0" w:line="263" w:lineRule="auto"/>
        <w:rPr>
          <w:sz w:val="20"/>
          <w:szCs w:val="20"/>
          <w:color w:val="auto"/>
        </w:rPr>
      </w:pPr>
      <w:r>
        <w:rPr>
          <w:rFonts w:ascii="Arial" w:cs="Arial" w:eastAsia="Arial" w:hAnsi="Arial"/>
          <w:sz w:val="18"/>
          <w:szCs w:val="18"/>
          <w:color w:val="auto"/>
        </w:rPr>
        <w:t>Adoption of this standard also resulted in a change in the timing of certain expense recognition, primarily related to net favorable lease cost, as well as a reclassification of favorable lease cost from “Depreciation and amortization” to “Selling, general and administrative expenses” on the Company’s Consolidated Statement of Income for the year ended February 1, 2020. This guidance did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ind w:right="180"/>
        <w:spacing w:after="0" w:line="277" w:lineRule="auto"/>
        <w:rPr>
          <w:sz w:val="20"/>
          <w:szCs w:val="20"/>
          <w:color w:val="auto"/>
        </w:rPr>
      </w:pPr>
      <w:r>
        <w:rPr>
          <w:rFonts w:ascii="Arial" w:cs="Arial" w:eastAsia="Arial" w:hAnsi="Arial"/>
          <w:sz w:val="18"/>
          <w:szCs w:val="18"/>
          <w:color w:val="auto"/>
        </w:rPr>
        <w:t>not have a material impact on the Company's liquidity. Refer to Note 3, “Lease Commitments,” for further detail of the Company’s future minimum lease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color w:val="auto"/>
        </w:rPr>
        <w:t>On January 26, 2017, the FASB issued ASU 2017-04, “Intangibles—Goodwill and Other: Simplifying the Test for Goodwill Impairment,” which aims to simplify the subsequent measurement of goodwill by eliminating Step 2 from the goodwill impairment test. Under the new guidance, goodwill impairment will be measured as the amount by which the carrying value exceeds the fair value. The loss recognized should not exceed the total amount of goodwill allocated to the reporting unit. The new guidance will be effective for annual reporting periods beginning after December 15, 2019, including interim periods. This ASU will be effective for the Company as of the beginning of the fiscal year ending January 30, 2021 (Fiscal 2020). Early adoption is permitted for annual or interim goodwill impairment tests performed on testing dates after January 1, 2017. The Company does not anticipate that the new guidance will have a significant impact on its consolidated financial statements.</w:t>
      </w:r>
    </w:p>
    <w:p>
      <w:pPr>
        <w:spacing w:after="0" w:line="177"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In August 2018, the FASB issued ASU 2018-15, “Intangibles—Goodwill and Other—Internal-Use Software: Customer’s Accounting for Implementation Costs Incurred in a Cloud Computing Arrangement That Is a Service Contract.” This ASU requires that implementation costs incurred in a hosting arrangement that is a service contract be assessed in accordance with the existing guidance in Subtopic 350-40, “Internal-Use Software.” Accordingly, costs incurred during the preliminary project stage must be expensed as incurred, while costs incurred during the application development stage must be capitalized. Capitalized implementation costs associated with a hosting arrangement that is a service contract must be expensed over the term of the hosting arrangement. Additionally, the new guidance requires that the expense of these capitalized costs be presented in the same line item in the statement of income as the fees associated with the hosting element of the arrangement. The new guidance will be effective for annual reporting periods beginning after December 15, 2019, including interim periods. This ASU will be effective for the Company as of the beginning of Fiscal 2020. Early adoption is permitted for annual or interim periods. The Company does not anticipate that the new guidance will have a significant impact on its consolidated financial statements.</w:t>
      </w:r>
    </w:p>
    <w:p>
      <w:pPr>
        <w:spacing w:after="0" w:line="194" w:lineRule="exact"/>
        <w:rPr>
          <w:sz w:val="20"/>
          <w:szCs w:val="20"/>
          <w:color w:val="auto"/>
        </w:rPr>
      </w:pPr>
    </w:p>
    <w:p>
      <w:pPr>
        <w:ind w:right="40" w:firstLine="578"/>
        <w:spacing w:after="0" w:line="286" w:lineRule="auto"/>
        <w:rPr>
          <w:sz w:val="20"/>
          <w:szCs w:val="20"/>
          <w:color w:val="auto"/>
        </w:rPr>
      </w:pPr>
      <w:r>
        <w:rPr>
          <w:rFonts w:ascii="Arial" w:cs="Arial" w:eastAsia="Arial" w:hAnsi="Arial"/>
          <w:sz w:val="17"/>
          <w:szCs w:val="17"/>
          <w:color w:val="auto"/>
        </w:rPr>
        <w:t>There were no other new accounting standards that had a material impact on the Company’s Consolidated Financial Statements during the year ended February 1, 2020, and there were no other new accounting standards or pronouncements that were issued but not yet effective as of February 1, 2020 that the Company expects to have a material impact on its financial position or results of operations upon becoming effective.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 and Cash Equivalents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At February 1, 2020 and February 2, 2019, restricted cash and cash equivalents consisted of $6.6 million and $21.9 million, respectively, related to collateral for certain insurance contracts. The Company has the ability to convert the restricted cash to a letter of credit at any time, which would reduce available borrowings on the ABL Line of Credit by a like amount.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7"/>
              </w:rPr>
              <w:t>February 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7"/>
              </w:rPr>
              <w:t>February 2,</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8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156,040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Buildings</w:t>
            </w: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 to 40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485,265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Store fixtures and equipment</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 to 15 Years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927,081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 to 10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256,610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 term or</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useful life</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694,145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24,767</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at cost</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2,765,455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2,543,908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(1,362,282)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(1,290,203)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property and equipment, net of accumulated</w:t>
            </w:r>
          </w:p>
        </w:tc>
        <w:tc>
          <w:tcPr>
            <w:tcW w:w="13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1,403,173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1,253,705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vMerge w:val="restart"/>
          </w:tcPr>
          <w:p>
            <w:pPr>
              <w:jc w:val="right"/>
              <w:ind w:right="630"/>
              <w:spacing w:after="0"/>
              <w:rPr>
                <w:sz w:val="20"/>
                <w:szCs w:val="20"/>
                <w:color w:val="auto"/>
              </w:rPr>
            </w:pPr>
            <w:r>
              <w:rPr>
                <w:rFonts w:ascii="Arial" w:cs="Arial" w:eastAsia="Arial" w:hAnsi="Arial"/>
                <w:sz w:val="18"/>
                <w:szCs w:val="18"/>
                <w:color w:val="auto"/>
              </w:rPr>
              <w:t>57</w:t>
            </w:r>
          </w:p>
        </w:tc>
        <w:tc>
          <w:tcPr>
            <w:tcW w:w="1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200" w:firstLine="510"/>
        <w:spacing w:after="0" w:line="257" w:lineRule="auto"/>
        <w:rPr>
          <w:sz w:val="20"/>
          <w:szCs w:val="20"/>
          <w:color w:val="auto"/>
        </w:rPr>
      </w:pPr>
      <w:r>
        <w:rPr>
          <w:rFonts w:ascii="Arial" w:cs="Arial" w:eastAsia="Arial" w:hAnsi="Arial"/>
          <w:sz w:val="18"/>
          <w:szCs w:val="18"/>
          <w:color w:val="auto"/>
        </w:rPr>
        <w:t>As of February 1, 2020 and February 2, 2019, assets, net of accumulated amortization of $4.4 million and $23.2 million, respectively, held under finance leases amounted to approximately $44.8 million and $30.3 million, respectively, and are included in the line item “Buildings” in the foregoing table. Amortization expense related to finance leases is included in the line item “Depreciation and amortization” in the Company’s Consolidated Statements of Income. The total amount of depreciation expense during Fiscal 2019, Fiscal 2018 and Fiscal 2017 was $195.8 million, $175.8 million and $163.3 million, respectively.</w:t>
      </w:r>
    </w:p>
    <w:p>
      <w:pPr>
        <w:spacing w:after="0" w:line="18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During Fiscal 2019, Fiscal 2018 and Fiscal 2017, the Company recorded impairment charges related to property and equipment of $3.4 million, $3.9 million and $1.1 million, respectively. Refer to Note 6, “Impairment Charges,” for further discussion.</w:t>
      </w:r>
    </w:p>
    <w:p>
      <w:pPr>
        <w:spacing w:after="0" w:line="170"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Internally developed software is amortized on a straight line basis over three to ten years and is recorded in the line item “Depreciation and amortization” in the Company’s Consolidated Statements of Income. Depreciation and amortization of internally developed software amounted to $17.9 million, $19.4 million and $18.2 million during Fiscal 2019, Fiscal 2018 and Fiscal 2017, respectively.</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Intangible assets at February 1, 2020 consist primarily of tradenames. Intangible assets at February 2, 2019 consisted primarily of tradenames and favorable lease positions. As a result of adopting ASU 2016-02, most of the Company’s favorable lease positions are included in “Operating lease assets” on the Company’s Consolidated Balance Sheet as of February 1,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February 1, 2020</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February 2, 2019</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96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Tradenames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238,000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8"/>
                <w:szCs w:val="18"/>
                <w:color w:val="auto"/>
              </w:rPr>
              <w:t>Favorable leases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420,537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(256,213)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Leases</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total amount of net favorable lease amortization during Fiscal 2018 and Fiscal 2017 was $26.1 million and $23.3 million, respectively, and was included in “Depreciation and amortization” on the Company’s Consolidated Statements of Income. As a result of adopting ASU 2016-02, amortization of favorable leases is part of operating lease cost, included in “Selling, general and administrative expenses” on the Company’s Consolidated Statement of Income for Fiscal 2019. The Company recorded impairment charges of $2.9 million and $0.8 million related to its favorable leases during Fiscal 2018 and Fiscal 2017,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Impairment Charges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Impairment charges recorded during Fiscal 2019, Fiscal 2018 and Fiscal 2017 amounted to $4.3 million, $6.8 million and $2.1 million, respectively, and are primarily related to declines in revenues and operating results of the respective stores. Additionally, during Fiscal 2018 and Fiscal 2017, a portion of the impairment related to a decline in the appraised fair value of one of the Company’s owned stores. Impairment charges during these periods related to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left="8"/>
              <w:spacing w:after="0" w:line="155" w:lineRule="exact"/>
              <w:rPr>
                <w:sz w:val="20"/>
                <w:szCs w:val="20"/>
                <w:color w:val="auto"/>
              </w:rPr>
            </w:pPr>
            <w:r>
              <w:rPr>
                <w:rFonts w:ascii="Arial" w:cs="Arial" w:eastAsia="Arial" w:hAnsi="Arial"/>
                <w:sz w:val="14"/>
                <w:szCs w:val="14"/>
                <w:b w:val="1"/>
                <w:bCs w:val="1"/>
                <w:color w:val="auto"/>
                <w:w w:val="90"/>
              </w:rPr>
              <w:t>Fiscal Years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February 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February 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7"/>
              </w:rPr>
              <w:t>February 3,</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Asset Categories</w:t>
            </w: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(53 Weeks)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Store fixtures and equipment</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Favorable leases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40" w:type="dxa"/>
            <w:vAlign w:val="bottom"/>
            <w:vMerge w:val="restart"/>
          </w:tcPr>
          <w:p>
            <w:pPr>
              <w:jc w:val="right"/>
              <w:ind w:right="5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0" w:name="page61"/>
    <w:bookmarkEnd w:id="60"/>
    <w:p>
      <w:pPr>
        <w:ind w:right="240" w:firstLine="510"/>
        <w:spacing w:after="0" w:line="277" w:lineRule="auto"/>
        <w:rPr>
          <w:sz w:val="20"/>
          <w:szCs w:val="20"/>
          <w:color w:val="auto"/>
        </w:rPr>
      </w:pPr>
      <w:r>
        <w:rPr>
          <w:rFonts w:ascii="Arial" w:cs="Arial" w:eastAsia="Arial" w:hAnsi="Arial"/>
          <w:sz w:val="18"/>
          <w:szCs w:val="18"/>
          <w:color w:val="auto"/>
        </w:rPr>
        <w:t>The Company recorded impairment charges related to store-level assets for two stores, as well as the online store, during Fiscal 2019, eight stores during Fiscal 2018 and four stores during Fiscal 2017.</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Long-lived assets are measured at fair value on a non-recurring basis for purposes of calculating impairment using the fair value hierarchy of ASC Topic No. 820 “Fair Value Measurements” (Topic No. 820). Refer to Note 16, “Fair Value of Financial Instruments,” for further discussion of the Company’s fair value hierarchy. The fair value of the Company’s long-lived assets is calculated using a discounted cash-flow model that used level 3 inputs. In calculating future cash flows, the Company makes estimates regarding future operating results based on its experience and knowledge of market factors in which the retail location is located. The table below sets forth, by level within the fair value hierarchy, the remaining fair value of the two impaired stores as of February 1,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Un-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Store fixtures and equipment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Long Term Debt</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2"/>
          </w:tcPr>
          <w:p>
            <w:pPr>
              <w:ind w:left="520"/>
              <w:spacing w:after="0"/>
              <w:rPr>
                <w:sz w:val="20"/>
                <w:szCs w:val="20"/>
                <w:color w:val="auto"/>
              </w:rPr>
            </w:pPr>
            <w:r>
              <w:rPr>
                <w:rFonts w:ascii="Arial" w:cs="Arial" w:eastAsia="Arial" w:hAnsi="Arial"/>
                <w:sz w:val="18"/>
                <w:szCs w:val="18"/>
                <w:color w:val="auto"/>
              </w:rPr>
              <w:t>Long term debt consists of:</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February 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8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4"/>
              </w:rPr>
              <w:t>$1,200,000 senior secured term loan facility (Term B-5 Loans), LIBOR (with a</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floor of 0.00%) plus 2.00%, matures on November 17, 2024</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957,505</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956,693</w:t>
            </w:r>
          </w:p>
        </w:tc>
        <w:tc>
          <w:tcPr>
            <w:tcW w:w="100" w:type="dxa"/>
            <w:vAlign w:val="bottom"/>
            <w:shd w:val="clear" w:color="auto" w:fill="CFF0FC"/>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w w:val="95"/>
              </w:rPr>
              <w:t>$600,000 ABL senior secured revolving facility, LIBOR plus spread based 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1140"/>
              <w:spacing w:after="0"/>
              <w:rPr>
                <w:sz w:val="20"/>
                <w:szCs w:val="20"/>
                <w:color w:val="auto"/>
              </w:rPr>
            </w:pPr>
            <w:r>
              <w:rPr>
                <w:rFonts w:ascii="Arial" w:cs="Arial" w:eastAsia="Arial" w:hAnsi="Arial"/>
                <w:sz w:val="18"/>
                <w:szCs w:val="18"/>
                <w:color w:val="auto"/>
              </w:rPr>
              <w:t>average outstanding balance, matures on June 29, 2023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50,130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32,706</w:t>
            </w:r>
          </w:p>
        </w:tc>
        <w:tc>
          <w:tcPr>
            <w:tcW w:w="10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4"/>
          </w:tcPr>
          <w:p>
            <w:pPr>
              <w:jc w:val="right"/>
              <w:ind w:right="30"/>
              <w:spacing w:after="0"/>
              <w:rPr>
                <w:sz w:val="20"/>
                <w:szCs w:val="20"/>
                <w:color w:val="auto"/>
              </w:rPr>
            </w:pPr>
            <w:r>
              <w:rPr>
                <w:rFonts w:ascii="Arial" w:cs="Arial" w:eastAsia="Arial" w:hAnsi="Arial"/>
                <w:sz w:val="18"/>
                <w:szCs w:val="18"/>
                <w:color w:val="auto"/>
              </w:rPr>
              <w:t>(2,335)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(2,832)</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1,005,300</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986,567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4"/>
          </w:tcPr>
          <w:p>
            <w:pPr>
              <w:jc w:val="right"/>
              <w:ind w:right="30"/>
              <w:spacing w:after="0"/>
              <w:rPr>
                <w:sz w:val="20"/>
                <w:szCs w:val="20"/>
                <w:color w:val="auto"/>
              </w:rPr>
            </w:pPr>
            <w:r>
              <w:rPr>
                <w:rFonts w:ascii="Arial" w:cs="Arial" w:eastAsia="Arial" w:hAnsi="Arial"/>
                <w:sz w:val="18"/>
                <w:szCs w:val="18"/>
                <w:color w:val="auto"/>
              </w:rPr>
              <w:t>(3,577)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(2,924)</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 term debt, net of current maturities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1,001,723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983,643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On February 24, 2011, the Company entered into a $1.0 billion senior secured term loan facility (the Term Loan Facility). The Term Loan Facility was issued pursuant to a credit agreement (Term Loan Credit Agreement), dated February 24, 2011, among Burlington Coat Factory Warehouse Corporation, an indirect subsidiary of the Company (BCFWC), the guarantors signatory thereto, and JPMorgan Chase Bank, N.A., as administrative agent and as collateral agent, the lenders party thereto, J.P. Morgan Securities LLC and Goldman Sachs Lending Partners LLC, as joint bookrunners, and J.P. Morgan Securities LLC, Goldman Sachs Lending Partners LLC, Merrill Lynch, Pierce, Fenner &amp; Smith Incorporated and Wells Fargo Securities, LLC, as joint arrangers, governing the terms of the Term Loan Facility.</w:t>
      </w:r>
    </w:p>
    <w:p>
      <w:pPr>
        <w:spacing w:after="0" w:line="192"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On November 17, 2017, BCFWC entered into Amendment No. 6 (the Sixth Amendment) to the Term Loan Credit Agreement governing its Term Loan Facility. The Sixth Amendment, among other things, reduced the interest rate margins applicable to the Term Loan Facility from 1.75% to 1.50% in the case of prime rate loans, and from 2.75% to 2.50% in the case of LIBOR loans, with the LIBOR floor continuing to be 0.75%. The Sixth Amendment also extended the maturity date from August 13, 2021 to November 17, 2024. The Sixth Amendment was accomplished by replacing the outstanding $1,117.0 million principal amount of Term B-4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1" w:name="page62"/>
    <w:bookmarkEnd w:id="61"/>
    <w:p>
      <w:pPr>
        <w:ind w:right="180"/>
        <w:spacing w:after="0" w:line="255" w:lineRule="auto"/>
        <w:rPr>
          <w:sz w:val="20"/>
          <w:szCs w:val="20"/>
          <w:color w:val="auto"/>
        </w:rPr>
      </w:pPr>
      <w:r>
        <w:rPr>
          <w:rFonts w:ascii="Arial" w:cs="Arial" w:eastAsia="Arial" w:hAnsi="Arial"/>
          <w:sz w:val="18"/>
          <w:szCs w:val="18"/>
          <w:color w:val="auto"/>
        </w:rPr>
        <w:t>with a like aggregate principal amount of Term B-5 Loans. In accordance with ASC Topic No. 470-50, “Debt Modifications and extinguishments” (Topic No. 470), the Company recognized a non-cash loss on the extinguishment of debt of $2.9 million, representing the write-off of $1.5 million and $1.4 million in deferred financing costs and unamortized original issue discount, respectively, which was recorded in the line item “Loss on extinguishment of debt” in the Company’s Consolidated Statements of Income. Also in connection with the Sixth Amendment, the Company incurred fees of $2.3 million, primarily related to legal and placement fees, which were recorded in the line item “Costs related to debt amendments” in the Company’s Consolidated Statements of Income.</w:t>
      </w:r>
    </w:p>
    <w:p>
      <w:pPr>
        <w:spacing w:after="0" w:line="192"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In June 2018, the Company prepaid $150.0 million on the Term Loan Facility, which offset the mandatory quarterly payments through November 17, 2024. In accordance with Topic No. 470, the Company recognized a non-cash loss on the extinguishment of debt of $1.2 million, representing the write-off of unamortized original issue discount and deferred financing costs, which was recorded in the line item “Loss on extinguishment of debt” in the Company’s Consolidated Statement of Income.</w:t>
      </w:r>
    </w:p>
    <w:p>
      <w:pPr>
        <w:spacing w:after="0" w:line="187" w:lineRule="exact"/>
        <w:rPr>
          <w:sz w:val="20"/>
          <w:szCs w:val="20"/>
          <w:color w:val="auto"/>
        </w:rPr>
      </w:pPr>
    </w:p>
    <w:p>
      <w:pPr>
        <w:jc w:val="both"/>
        <w:ind w:right="60" w:firstLine="584"/>
        <w:spacing w:after="0" w:line="287" w:lineRule="auto"/>
        <w:rPr>
          <w:sz w:val="20"/>
          <w:szCs w:val="20"/>
          <w:color w:val="auto"/>
        </w:rPr>
      </w:pPr>
      <w:r>
        <w:rPr>
          <w:rFonts w:ascii="Arial" w:cs="Arial" w:eastAsia="Arial" w:hAnsi="Arial"/>
          <w:sz w:val="16"/>
          <w:szCs w:val="16"/>
          <w:color w:val="auto"/>
        </w:rPr>
        <w:t>On November 2, 2018, BCFWC entered into Amendment No. 7 (the Seventh Amendment) to the Term Loan Credit Agreement governing its Term Loan Facility. The Seventh Amendment, among other things, reduced the interest rate margins applicable to the Company’s term loan facility from 1.50% to 1.00%, in the case of prime rate loans, and from 2.50% to 2.00%, in the case of LIBOR loans, with the LIBOR floor being reduced from 0.75% to</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0.00%. In connection with the execution of the Seventh Amendment, the Company paid fees and expenses, including a fee to each consenting lender equal to 0.125% of the aggregate principal amount of such lender’s loans under the Term Loan Credit Agreement. In accordance with Topic No. 470, the Company recognized a non-cash loss on the extinguishment of debt of $0.5 million, representing the write-off of deferred financing costs and unamortized original issue discount, which was recorded in the line item “Loss on extinguishment of debt” in the Company’s Consolidated Statement of Income. Also in connection with the Seventh Amendment, the Company incurred fees of $2.4 million, primarily related to legal and placement fees, which were recorded in the line item “Costs related to debt amendments” in the Company’s Consolidated Statement of Income.</w:t>
      </w:r>
    </w:p>
    <w:p>
      <w:pPr>
        <w:spacing w:after="0" w:line="178"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The Term Loan Facility is collateralized by a first lien on our favorable leases, real estate and property &amp; equipment and a second lien on our inventory and receivables. Interest rates for the Term Loan Facility are based on: (i) for LIBOR rate loans for any interest period, at a rate per annum equal to the greater of (x) the LIBOR rate, as determined by the Term Loan Facility Administrative Agent, for such interest period multiplied by the Statutory Reserve Rate (as defined in the Term Loan Credit Agreement), and (y) 0.00% (the Term Loan Adjusted LIBOR Rate), plus an applicable margin; and</w:t>
      </w:r>
    </w:p>
    <w:p>
      <w:pPr>
        <w:spacing w:after="0" w:line="1" w:lineRule="exact"/>
        <w:rPr>
          <w:sz w:val="20"/>
          <w:szCs w:val="20"/>
          <w:color w:val="auto"/>
        </w:rPr>
      </w:pPr>
    </w:p>
    <w:p>
      <w:pPr>
        <w:ind w:right="160" w:firstLine="8"/>
        <w:spacing w:after="0" w:line="253"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prime rate loans, a rate per annum equal to the highest of (a) the variable annual rate of interest then announced by JPMorgan Chase Bank, N.A. at its head office as its “prime rate,” (b) the federal reserve bank of New York rate in effect on such date plus 0.50% per annum, and (c) the Term Loan Adjusted LIBOR Rate for the applicable class of term loans for one-month plus 1.00%, plus, in each case, an applicable margin. As of February 1, 2020, the Company’s borrowing rate related to the Term Loan Facility was 3.7%.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ind w:right="320" w:firstLine="510"/>
        <w:spacing w:after="0" w:line="301" w:lineRule="auto"/>
        <w:rPr>
          <w:sz w:val="20"/>
          <w:szCs w:val="20"/>
          <w:color w:val="auto"/>
        </w:rPr>
      </w:pPr>
      <w:r>
        <w:rPr>
          <w:rFonts w:ascii="Arial" w:cs="Arial" w:eastAsia="Arial" w:hAnsi="Arial"/>
          <w:sz w:val="16"/>
          <w:szCs w:val="16"/>
          <w:color w:val="auto"/>
        </w:rPr>
        <w:t>On February 26, 2020, the Company entered into Amendment No. 8 (the Eighth Amendment) to the Term Loan Credit Agreement governing its Term Loan Facility. The Eighth Amendment, among other things, reduced the interest rate margins applicable to the Term Loan Facility from 1.00% to 0.75%, in the case of prime rate loans, and from 2.00% to 1.75%, in the case of LIBOR loans, with the LIBOR floor remaining at 0.00%. In connection with the execution of the Eighth Amendment, the Company incurred fees of $1.1 million, primarily related to legal and placement fees.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 June 29, 2018, BCFWC entered into Amendment No. 2 (the Second Amendment) to the Second Amended and Restated Credit Agreement, dated September 2, 2011 (the ABL Credit Agreement), governing BCFWC’s existing senior secured asset-based revolving credit facility (the ABL Line of Credit). The Second Amendment, among other things, extended the maturity date from August 13, 2019 to June 29, 2023 and adjusted the pricing grid such that the lower interest rate of 1.25% in the case of LIBOR loans and 0.25% in the case of prime rate loans is applicable so long as the Company maintains at least 40% average daily availability (as opposed to 50%). In connection with its entry into the Second Amendment, and in accordance with Topic</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 470, the Company recognized a non-cash loss on the extinguishment of debt of $0.2 million, representing the write-off of deferred financing costs, which was recorded in the line item “Loss on extinguishment of debt” in the Company’s Consolidated Statement of Income for the year ended February 2, 2019.</w:t>
      </w:r>
    </w:p>
    <w:p>
      <w:pPr>
        <w:spacing w:after="0" w:line="19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aggregate amount of commitments under the Second Amended and Restated Credit Agreement (as amended, supplemented and otherwise modified, the Amended ABL Credit Agreement) is $600.0 million (subject to a borrowing base limitation) and, subject to the satisfaction of certain conditions, the Company can increase the aggregate amount of commitments up to $900.0 million. The interest rate margin applicable under the Amended ABL Credit Agreement in the case of loans drawn at LIBOR is 1.25% - 1.50% (based on total commitments or borrowing base availability), and the fee on the average daily balance of unused loan commitments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line="311" w:lineRule="auto"/>
        <w:rPr>
          <w:sz w:val="20"/>
          <w:szCs w:val="20"/>
          <w:color w:val="auto"/>
        </w:rPr>
      </w:pPr>
      <w:r>
        <w:rPr>
          <w:rFonts w:ascii="Arial" w:cs="Arial" w:eastAsia="Arial" w:hAnsi="Arial"/>
          <w:sz w:val="16"/>
          <w:szCs w:val="16"/>
          <w:color w:val="auto"/>
        </w:rPr>
        <w:t>0.20%. Prior to the Second Amendment, the ABL Line of Credit was collateralized by a first lien on the Company’s inventory and receivables and a second lien on the Company’s real estate and property and equipment. In connection with the Second Amendment, the agent and lenders under the ABL Line of Credit agreed to release their second liens on the Company's real estate, but retained their liens on the Company's inventory, receivables, and equipment.</w:t>
      </w:r>
    </w:p>
    <w:p>
      <w:pPr>
        <w:spacing w:after="0" w:line="14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believes that the Amended ABL Credit Agreement provides the liquidity and flexibility to meet its operating and capital requirements over the remaining term of the ABL Line of Credit. Further, the calculation of the borrowing base under the Amended ABL Credit Agreement has been amended to allow for increased availability, particularly during the September 1st through December 15th period of each year.</w:t>
      </w:r>
    </w:p>
    <w:p>
      <w:pPr>
        <w:spacing w:after="0" w:line="192"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At February 1, 2020, the Company had $501.8 million available under the ABL Line of Credit. The maximum borrowings under the facility during Fiscal 2019 amounted to $255.0 million. Average borrowings during Fiscal 2019 amounted to $81.5 million at an average interest rate of 3.7%.</w:t>
      </w:r>
    </w:p>
    <w:p>
      <w:pPr>
        <w:spacing w:after="0" w:line="124"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At February 2, 2019, the Company had $543.3 million available under the ABL Line of Credit. The maximum borrowings under the facility during Fiscal 2018 amounted to $265.0 million. Average borrowings during Fiscal 2018 amounted to $83.9 million at an average interest rate of 3.4%.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 xml:space="preserve">The Company had $2.5 </w:t>
      </w:r>
      <w:r>
        <w:rPr>
          <w:rFonts w:ascii="Arial" w:cs="Arial" w:eastAsia="Arial" w:hAnsi="Arial"/>
          <w:sz w:val="17"/>
          <w:szCs w:val="17"/>
          <w:color w:val="auto"/>
        </w:rPr>
        <w:t>million and</w:t>
      </w:r>
      <w:r>
        <w:rPr>
          <w:rFonts w:ascii="Arial" w:cs="Arial" w:eastAsia="Arial" w:hAnsi="Arial"/>
          <w:sz w:val="18"/>
          <w:szCs w:val="18"/>
          <w:color w:val="auto"/>
        </w:rPr>
        <w:t xml:space="preserve"> $3.4 million in deferred financing costs associated with its ABL Line of Credit, which are recorded in the line item “Other assets” in the Company’s Consolidated Balance Sheets as of February 1, 2020 and February 2, 2019, respectively. In addition, The Company had $2.3 </w:t>
      </w:r>
      <w:r>
        <w:rPr>
          <w:rFonts w:ascii="Arial" w:cs="Arial" w:eastAsia="Arial" w:hAnsi="Arial"/>
          <w:sz w:val="17"/>
          <w:szCs w:val="17"/>
          <w:color w:val="auto"/>
        </w:rPr>
        <w:t>million and $2.8</w:t>
      </w:r>
      <w:r>
        <w:rPr>
          <w:rFonts w:ascii="Arial" w:cs="Arial" w:eastAsia="Arial" w:hAnsi="Arial"/>
          <w:sz w:val="18"/>
          <w:szCs w:val="18"/>
          <w:color w:val="auto"/>
        </w:rPr>
        <w:t xml:space="preserve"> million of deferred financing costs associated with its Term Loan Facility recorded in the line item “Long term debt” in the Company’s Consolidated Balance Sheets as of February 1, 2020 and February 2, 2019, respectively.</w:t>
      </w:r>
    </w:p>
    <w:p>
      <w:pPr>
        <w:spacing w:after="0" w:line="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 xml:space="preserve">Amortization of deferred financing costs amounted to $1.2 </w:t>
      </w:r>
      <w:r>
        <w:rPr>
          <w:rFonts w:ascii="Arial" w:cs="Arial" w:eastAsia="Arial" w:hAnsi="Arial"/>
          <w:sz w:val="17"/>
          <w:szCs w:val="17"/>
          <w:color w:val="auto"/>
        </w:rPr>
        <w:t>million,</w:t>
      </w:r>
      <w:r>
        <w:rPr>
          <w:rFonts w:ascii="Arial" w:cs="Arial" w:eastAsia="Arial" w:hAnsi="Arial"/>
          <w:sz w:val="18"/>
          <w:szCs w:val="18"/>
          <w:color w:val="auto"/>
        </w:rPr>
        <w:t xml:space="preserve"> $1.6 million and $2.5 million during Fiscal 2019, Fiscal 2018 and Fiscal 2017, respectively, which was included in the line item “Interest expense” in the Company’s Consolidated Statements of Income.</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Amortization expense related to the deferred financing costs as of February 1, 2020 for each of the next five fiscal years and thereafter is estimated to be as follows: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financing costs have a weighted average amortization period of approximately 4.1 years.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Scheduled Maturities</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Scheduled maturities of the Company’s long term debt obligations, as they exist as of February 1, 2020, in each of the next five fiscal years and thereafter are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55"/>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Fiscal Years:</w:t>
            </w:r>
          </w:p>
        </w:tc>
        <w:tc>
          <w:tcPr>
            <w:tcW w:w="20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9"/>
              </w:rPr>
              <w:t>Long-Term Debt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2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2021</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2023</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Thereafter</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961,415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Less: unamortized discount</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Long term finance lease liabilities</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Long term debt</w:t>
            </w:r>
          </w:p>
        </w:tc>
        <w:tc>
          <w:tcPr>
            <w:tcW w:w="2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1,001,723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 Company accounts for derivatives and hedging activities in accordance with ASC Topic No. 815 “Derivatives and Hedging” (Topic No. 815). Topic No. 815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gains and losses on derivative instruments, and disclosures about credit-risk-related contingent features in derivative instruments.</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required by Topic No. 815, the Company records all derivatives on the balance sheet at fair value and adjusts them to market on a quarterly basis.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uses interest rate cap contracts and interest rate swap contracts to manage interest rate risk. The fair value of these contracts are determined using the market standard methodology of discounted future variable cash flows. The variable cash flows of the interest rate cap contracts are determined using the market standard methodology of discounting the future expected cash receipts that would occur if variable interest rates rise above the strike rate of the caps in conjunction with the cash payments related to financing the premium of the interest rate caps. The variable cash flows of the interest rate swap contract are determined using the market standard methodology of discounting the future expected cash receipts that would occur if variable interest rates rise or fall compared to current levels in conjunction with the fixed cash payments. The variable interest rates used in the calculation of projected receipts on the cap and swap contracts are based on an expectation of future interest rates derived from observable market interest rate curves and volatilities. In addition, to comply with the provisions of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4" w:name="page65"/>
    <w:bookmarkEnd w:id="64"/>
    <w:p>
      <w:pPr>
        <w:jc w:val="both"/>
        <w:ind w:right="40" w:firstLine="510"/>
        <w:spacing w:after="0" w:line="311" w:lineRule="auto"/>
        <w:rPr>
          <w:sz w:val="20"/>
          <w:szCs w:val="20"/>
          <w:color w:val="auto"/>
        </w:rPr>
      </w:pPr>
      <w:r>
        <w:rPr>
          <w:rFonts w:ascii="Arial" w:cs="Arial" w:eastAsia="Arial" w:hAnsi="Arial"/>
          <w:sz w:val="16"/>
          <w:szCs w:val="16"/>
          <w:color w:val="auto"/>
        </w:rPr>
        <w:t>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and interest rate swap contracts that are with separate counterparties and are under separate master netting agreements.</w:t>
      </w:r>
    </w:p>
    <w:p>
      <w:pPr>
        <w:spacing w:after="0" w:line="14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February 1, 2020 and February 2, 2019, the Company has assessed the significance of the impact of the credit valuation adjustments on the overall valuation of its derivative positions and has determined that the credit valuation adjustment is not significant to the overall valuation of its derivative portfolios. As a result, the Company classifies its derivative valuations in Level 2 of the fair value hierarchy.</w:t>
      </w:r>
    </w:p>
    <w:p>
      <w:pPr>
        <w:spacing w:after="0" w:line="19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 uses derivative financial instruments to manage differences in the amount, timing, and duration of the Company’s known or expected cash payments principally related to the Company’s borrowings.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Company uses interest rate derivatives to add stability to interest expense and to manage its exposure to interest rate movements. To accomplish this objective, the Company primarily uses interest rate caps and interest rate swaps as part of its interest rate risk management strategy. Interest rate caps designated as cash flow hedges involve the receipt of variable amounts from a counterparty if interest rates rise above the strike rate on the contract.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17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On April 24, 2015, the Company entered into two interest rate cap contracts, which were designated as cash flow hedges, and expired in May of 2019. On December 17, 2018, the Company entered into an interest rate swap contract, which was designated as a cash flow hedge, and became effective May 31, 2019.</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During Fiscal 2019, the Company’s derivatives were used to hedge the variable cash flows associated with existing (or anticipated) variable-rate debt. The effective portion of changes in the fair value of derivatives designated and that qualify as cash flow hedges are recorded in the line item “Accumulated other comprehensive loss” on the Company’s Consolidated Balance Sheets and are subsequently reclassified into earnings in the period that the hedged forecasted transaction affects earnings. Amounts reported in accumulated other comprehensive loss related to the Company’s derivative contracts will be reclassified to interest expense as interest payments are made on the Company’s variable-rate debt. As of February 1, 2020, the Company estimates that $5.9 million will be reclassified into interest expense during the next twelve months.</w:t>
      </w:r>
    </w:p>
    <w:p>
      <w:pPr>
        <w:spacing w:after="0" w:line="17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February 1, 2020, the Company had the following outstanding interest rate derivatives that were designated as cash flow hedges of interest rate risk: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Notional Aggregate</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Instruments</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Principal Amount</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Cap/Swap Rate</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 contract</w:t>
            </w:r>
          </w:p>
        </w:tc>
        <w:tc>
          <w:tcPr>
            <w:tcW w:w="1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One</w:t>
            </w: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$ 450.0 million</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2.72%</w:t>
            </w:r>
          </w:p>
        </w:tc>
        <w:tc>
          <w:tcPr>
            <w:tcW w:w="28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29, 2023</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299"/>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Tabular Disclosure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tables below present the fair value of the Company’s derivative financial instruments on a gross basis, as well as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Fair Values of Derivative Instruments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Borders>
              <w:bottom w:val="single" w:sz="8" w:color="auto"/>
            </w:tcBorders>
            <w:gridSpan w:val="3"/>
          </w:tcPr>
          <w:p>
            <w:pPr>
              <w:ind w:left="800"/>
              <w:spacing w:after="0" w:line="155" w:lineRule="exact"/>
              <w:rPr>
                <w:sz w:val="20"/>
                <w:szCs w:val="20"/>
                <w:color w:val="auto"/>
              </w:rPr>
            </w:pPr>
            <w:r>
              <w:rPr>
                <w:rFonts w:ascii="Arial" w:cs="Arial" w:eastAsia="Arial" w:hAnsi="Arial"/>
                <w:sz w:val="14"/>
                <w:szCs w:val="14"/>
                <w:b w:val="1"/>
                <w:bCs w:val="1"/>
                <w:color w:val="auto"/>
                <w:w w:val="97"/>
              </w:rPr>
              <w:t>February 1, 2020</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639"/>
              <w:spacing w:after="0" w:line="155" w:lineRule="exact"/>
              <w:rPr>
                <w:sz w:val="20"/>
                <w:szCs w:val="20"/>
                <w:color w:val="auto"/>
              </w:rPr>
            </w:pPr>
            <w:r>
              <w:rPr>
                <w:rFonts w:ascii="Arial" w:cs="Arial" w:eastAsia="Arial" w:hAnsi="Arial"/>
                <w:sz w:val="14"/>
                <w:szCs w:val="14"/>
                <w:b w:val="1"/>
                <w:bCs w:val="1"/>
                <w:color w:val="auto"/>
              </w:rPr>
              <w:t>February 2,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Balance</w:t>
            </w:r>
          </w:p>
        </w:tc>
        <w:tc>
          <w:tcPr>
            <w:tcW w:w="380" w:type="dxa"/>
            <w:vAlign w:val="bottom"/>
          </w:tcPr>
          <w:p>
            <w:pPr>
              <w:spacing w:after="0"/>
              <w:rPr>
                <w:sz w:val="11"/>
                <w:szCs w:val="11"/>
                <w:color w:val="auto"/>
              </w:rPr>
            </w:pPr>
          </w:p>
        </w:tc>
        <w:tc>
          <w:tcPr>
            <w:tcW w:w="10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Fair</w:t>
            </w:r>
          </w:p>
        </w:tc>
        <w:tc>
          <w:tcPr>
            <w:tcW w:w="13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1"/>
                <w:szCs w:val="1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Sheet</w:t>
            </w: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38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Prepaid and</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other current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4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center"/>
              <w:ind w:right="421"/>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Interest rate swap contract</w:t>
            </w:r>
          </w:p>
        </w:tc>
        <w:tc>
          <w:tcPr>
            <w:tcW w:w="1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Other liabilities</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26,220</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Other liabilities</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The following table presents the unrealized (losses) gains deferred to accumulated other comprehensive loss resulting from the Company’s derivative instruments designated as cash flow hedging instruments for each of the reporting periods.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7"/>
              </w:rPr>
              <w:t>February 1,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February 2, 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w w:val="97"/>
              </w:rPr>
              <w:t>February 3, 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Interest Rate Derivatives: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(53 Weeks)</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(losses) gains, before taxes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Unrealized (losses) gains, net of taxes</w:t>
            </w: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8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presents information about the reclassification of losses from accumulated other comprehensive loss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February 1, 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February 2, 2019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February 3, 2018</w:t>
            </w:r>
          </w:p>
        </w:tc>
      </w:tr>
      <w:tr>
        <w:trPr>
          <w:trHeight w:val="228"/>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Component of Earnings: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(53 Weeks)</w:t>
            </w:r>
          </w:p>
        </w:tc>
      </w:tr>
      <w:tr>
        <w:trPr>
          <w:trHeight w:val="223"/>
        </w:trPr>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(2,369)</w:t>
            </w:r>
          </w:p>
        </w:tc>
      </w:tr>
      <w:tr>
        <w:trPr>
          <w:trHeight w:val="20"/>
        </w:trPr>
        <w:tc>
          <w:tcPr>
            <w:tcW w:w="3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980" w:type="dxa"/>
            <w:vAlign w:val="bottom"/>
            <w:gridSpan w:val="2"/>
          </w:tcPr>
          <w:p>
            <w:pPr>
              <w:spacing w:after="0"/>
              <w:rPr>
                <w:sz w:val="20"/>
                <w:szCs w:val="20"/>
                <w:color w:val="auto"/>
              </w:rPr>
            </w:pPr>
            <w:r>
              <w:rPr>
                <w:rFonts w:ascii="Arial" w:cs="Arial" w:eastAsia="Arial" w:hAnsi="Arial"/>
                <w:sz w:val="18"/>
                <w:szCs w:val="18"/>
                <w:color w:val="auto"/>
              </w:rPr>
              <w:t>Net reclassification into earnings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Amounts included in accumulated other comprehensive loss are recorded net of the related income tax effects. The table below details the changes in accumulated other comprehensive loss for Fiscal 2019 and Fiscal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15"/>
              <w:spacing w:after="0" w:line="133"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February 3, 2018</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Unrealized losses, net of related tax benefit of $1.2 million</w:t>
            </w: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(3,080)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Amount reclassified into earnings, net of related taxes of $0.5 million</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1700"/>
              <w:spacing w:after="0"/>
              <w:rPr>
                <w:sz w:val="20"/>
                <w:szCs w:val="20"/>
                <w:color w:val="auto"/>
              </w:rPr>
            </w:pPr>
            <w:r>
              <w:rPr>
                <w:rFonts w:ascii="Arial" w:cs="Arial" w:eastAsia="Arial" w:hAnsi="Arial"/>
                <w:sz w:val="18"/>
                <w:szCs w:val="18"/>
                <w:b w:val="1"/>
                <w:bCs w:val="1"/>
                <w:color w:val="auto"/>
              </w:rPr>
              <w:t>Balance at February 2,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losses, net of related tax benefit of $6.4 million</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(16,606)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 reclassified into earnings, net of related taxes of $0.5 million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February 1, 2020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29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10.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As of February 1, 2020, the total amount of the Company’s authorized capital stock consisted of 500,000,000 shares of common stock, par value $0.0001 per share, and 50,000,000 shares of undesignated preferred stock, par value of $0.0001 per share.</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does not have any shares of preferred stock issued or outstanding. The Company’s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225" w:lineRule="exact"/>
        <w:rPr>
          <w:sz w:val="20"/>
          <w:szCs w:val="20"/>
          <w:color w:val="auto"/>
        </w:rPr>
      </w:pPr>
    </w:p>
    <w:p>
      <w:pPr>
        <w:ind w:right="560" w:firstLine="510"/>
        <w:spacing w:after="0" w:line="308" w:lineRule="auto"/>
        <w:rPr>
          <w:sz w:val="20"/>
          <w:szCs w:val="20"/>
          <w:color w:val="auto"/>
        </w:rPr>
      </w:pPr>
      <w:r>
        <w:rPr>
          <w:rFonts w:ascii="Arial" w:cs="Arial" w:eastAsia="Arial" w:hAnsi="Arial"/>
          <w:sz w:val="18"/>
          <w:szCs w:val="18"/>
          <w:color w:val="auto"/>
        </w:rPr>
        <w:t>During Fiscal 2019, the Company acquired 132,222 shares of common stock from employees for approximately $23.2 million to satisfy their minimum statutory tax withholdings related to the vesting of restricted stock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 August 15, 2018, the Company’s Board of Directors authorized the repurchase of up to an additional $300 million of common stock, which was completed during the fourth quarter of Fiscal 2019. On August 14, 2019, the Company’s Board of Directors authorized the repurchase of up to an additional $400 million of common stock, which is authorized to be executed through August 2021. These repurchase programs are funded using the Company’s available cash and borrowings under the ABL Line of Credit.</w:t>
      </w:r>
    </w:p>
    <w:p>
      <w:pPr>
        <w:spacing w:after="0" w:line="18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During Fiscal 2019, the Company repurchased 1,740,740 shares of common stock for $299.9 million under its share repurchase programs, which was recorded in the line item, “Treasury stock” on the Company’s Consolidated Balance Sheets, and the line item “Purchase of treasury shares” on the Company’s Consolidated Statements of Cash Flows. As of February 1, 2020, the Company had $398.5 million remaining under its share repurchase authorization.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8"/>
          </w:tcPr>
          <w:p>
            <w:pPr>
              <w:ind w:left="60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229"/>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Basic net income per share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414,745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66,812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40"/>
              <w:spacing w:after="0"/>
              <w:rPr>
                <w:sz w:val="20"/>
                <w:szCs w:val="20"/>
                <w:color w:val="auto"/>
              </w:rPr>
            </w:pPr>
            <w:r>
              <w:rPr>
                <w:rFonts w:ascii="Arial" w:cs="Arial" w:eastAsia="Arial" w:hAnsi="Arial"/>
                <w:sz w:val="18"/>
                <w:szCs w:val="18"/>
                <w:color w:val="auto"/>
              </w:rPr>
              <w:t>Net income per common share – basic</w:t>
            </w: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Diluted net income per share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414,745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for basic and diluted net income per share:</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Assumed exercise of stock options and vesting of restricted stock</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 average number of common shares – diluted</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67,293</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68,679</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per common share – diluted</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Approximately 405,000 shares, 425,000 shares and less than 150,000 shares were excluded from diluted net income per share for Fiscal 2019, Fiscal 2018 and Fiscal 2017, respectively, since their effect was anti-dilutive.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May 1, 2013, the Company’s Board of Directors approved the Company’s assumption and adoption of the 2006 Management Incentive Plan (the 2006 Plan) that was previously sponsored by Burlington Coat Factory Holdings, LLC. The 2006 Plan terminated on April 12, 2016. The Company’s 2013 Omnibus Incentive Plan (the 2013 Plan and, together with the 2006 Plan, the Plans), originally adopted effective prior to and in connection with the Company’s initial public offering, was amended and restated effective May 17, 2017. The 2006 Plan, prior to its termination, and the 2013 Plan provide for the granting of stock options, restricted stock and other forms of awards to key employees and directors of the Company or its affiliates.</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accounts for awards issued under the Plans in accordance with Topic No. 718. As of February 1, 2020, there were 3,280,488 shares of common stock available for issuance under the 2013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CEO Awards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 portion of the awards granted during Fiscal 2019 were granted to Michael O’Sullivan, the Company’s Chief Executive Officer (the CEO), upon commencement of his employment in September 2019. To compensate the CEO for a portion of the equity awards forfeited at his prior employer, he received a make-whole long-term incentive grant with a target grant date fair value of $25.0 million, comprised of 50% time-based restricted stock units and 50% stock options, vesting in one-third annual increments (subject to the CEO’s continued employment through the applicable vesting date). The CEO also received a prorated portion of his Fiscal 2019 long-term incentive award (such award having a target grant date fair value equal to $8.5 million), delivered as 50% performance-based restricted stock units, 25% stock options and 25% time-based restricted stock units, on the same terms as the Company’s Fiscal 2019 annual equity grants.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during Fiscal 2019, Fiscal 2018 and Fiscal 2017, were all service-based awards granted under the Plans at the following exercise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280"/>
              <w:spacing w:after="0"/>
              <w:rPr>
                <w:sz w:val="20"/>
                <w:szCs w:val="20"/>
                <w:color w:val="auto"/>
              </w:rPr>
            </w:pPr>
            <w:r>
              <w:rPr>
                <w:rFonts w:ascii="Arial" w:cs="Arial" w:eastAsia="Arial" w:hAnsi="Arial"/>
                <w:sz w:val="14"/>
                <w:szCs w:val="14"/>
                <w:b w:val="1"/>
                <w:bCs w:val="1"/>
                <w:color w:val="auto"/>
              </w:rPr>
              <w:t>Exercise Price Ranges</w:t>
            </w:r>
          </w:p>
        </w:tc>
      </w:tr>
      <w:tr>
        <w:trPr>
          <w:trHeight w:val="155"/>
        </w:trPr>
        <w:tc>
          <w:tcPr>
            <w:tcW w:w="3100" w:type="dxa"/>
            <w:vAlign w:val="bottom"/>
            <w:tcBorders>
              <w:bottom w:val="single" w:sz="8" w:color="CFF0FC"/>
            </w:tcBorders>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From</w:t>
            </w:r>
          </w:p>
        </w:tc>
        <w:tc>
          <w:tcPr>
            <w:tcW w:w="1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To</w:t>
            </w:r>
          </w:p>
        </w:tc>
        <w:tc>
          <w:tcPr>
            <w:tcW w:w="80" w:type="dxa"/>
            <w:vAlign w:val="bottom"/>
            <w:tcBorders>
              <w:bottom w:val="single" w:sz="8" w:color="CFF0FC"/>
            </w:tcBorders>
          </w:tcPr>
          <w:p>
            <w:pPr>
              <w:spacing w:after="0"/>
              <w:rPr>
                <w:sz w:val="13"/>
                <w:szCs w:val="13"/>
                <w:color w:val="auto"/>
              </w:rPr>
            </w:pP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Fiscal 2019</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231.86</w:t>
            </w:r>
          </w:p>
        </w:tc>
        <w:tc>
          <w:tcPr>
            <w:tcW w:w="80" w:type="dxa"/>
            <w:vAlign w:val="bottom"/>
            <w:shd w:val="clear" w:color="auto" w:fill="CFF0FC"/>
          </w:tcPr>
          <w:p>
            <w:pPr>
              <w:spacing w:after="0"/>
              <w:rPr>
                <w:sz w:val="19"/>
                <w:szCs w:val="19"/>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Fiscal 2018</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113.80</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172.40</w:t>
            </w:r>
          </w:p>
        </w:tc>
        <w:tc>
          <w:tcPr>
            <w:tcW w:w="80" w:type="dxa"/>
            <w:vAlign w:val="bottom"/>
          </w:tcPr>
          <w:p>
            <w:pPr>
              <w:spacing w:after="0"/>
              <w:rPr>
                <w:sz w:val="19"/>
                <w:szCs w:val="19"/>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2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80.91</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110.50</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All awards granted during Fiscal 2019, Fiscal 2018 and Fiscal 2017, other than certain awards granted to the CEO as noted above, vest 25% on each of the first four anniversaries of the grant date. The final exercise date for any option granted is the tenth anniversary of the grant date. Options granted during Fiscal 2019, Fiscal 2018 and Fiscal 2017 become exercisable if the grantee’s employment is terminated without cause or, in some instances, the recipient resigns with good reason, within a certain period of time following a change in control. Unless determined otherwise by the plan administrator, upon cessation of employment other than for cause, the majority of options that have not vested will terminate immediately, and unexercised vested options will be exercisable for a period of 60 to 180 days.</w:t>
      </w:r>
    </w:p>
    <w:p>
      <w:pPr>
        <w:spacing w:after="0" w:line="19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May 2013, the Company’s Board of Directors approved a modification to all then outstanding options. The modification, through a combination of either reduced exercise prices or cash payments, did not affect the existing vesting schedules. The modification resulted in a total of $0.1 million of incremental compensation expense during Fiscal 2017, of which less than $0.1 million was payable in cash. These costs were recorded in the line item “Stock option modification expense” in the Company’s Consolidated Statement of Income. There was no incremental compensation expense as a result of the modification during Fiscal 2019 or Fiscal 2018. As of February 1, 2020, the Company does not expect to recognize any additional compensation expense related to the modification.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Non-cash stock compensation expense is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1"/>
              </w:rPr>
              <w:t>Fiscal Year Ended</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55"/>
              <w:spacing w:after="0" w:line="147"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7"/>
              </w:rPr>
              <w:t>February 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w w:val="95"/>
              </w:rPr>
              <w:t>February 3,</w:t>
            </w:r>
          </w:p>
        </w:tc>
        <w:tc>
          <w:tcPr>
            <w:tcW w:w="8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b w:val="1"/>
                <w:bCs w:val="1"/>
                <w:color w:val="auto"/>
              </w:rPr>
              <w:t>Type of Non-Cash Stock Compensation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(53 Weeks)</w:t>
            </w: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Restricted stock grants (a)</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Stock option grants (a)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11,039</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Stock option modification (b)</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Performance stock grants (a)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Income.</w:t>
      </w:r>
    </w:p>
    <w:p>
      <w:pPr>
        <w:spacing w:after="0" w:line="23" w:lineRule="exact"/>
        <w:rPr>
          <w:rFonts w:ascii="Arial" w:cs="Arial" w:eastAsia="Arial" w:hAnsi="Arial"/>
          <w:sz w:val="18"/>
          <w:szCs w:val="18"/>
          <w:color w:val="auto"/>
        </w:rPr>
      </w:pPr>
    </w:p>
    <w:p>
      <w:pPr>
        <w:ind w:left="500" w:right="30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non-cash compensation related to the May 2013 stock option modification as discussed above. Amounts are included in the line item “Stock option modification expense” in the Company’s Consolidated Statements of Income.</w:t>
      </w:r>
    </w:p>
    <w:p>
      <w:pPr>
        <w:ind w:left="500" w:hanging="492"/>
        <w:spacing w:after="0" w:line="26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presented in the table above exclude the effect of income taxes. The tax benefit related to the Company’s non-cash stock compensation was $9.0 million, $9.7 million and $2.8 million during Fiscal 2019, Fiscal 2018 and Fiscal 2017, respectively.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9" w:name="page70"/>
    <w:bookmarkEnd w:id="69"/>
    <w:p>
      <w:pPr>
        <w:ind w:right="160" w:firstLine="510"/>
        <w:spacing w:after="0" w:line="263" w:lineRule="auto"/>
        <w:rPr>
          <w:sz w:val="20"/>
          <w:szCs w:val="20"/>
          <w:color w:val="auto"/>
        </w:rPr>
      </w:pPr>
      <w:r>
        <w:rPr>
          <w:rFonts w:ascii="Arial" w:cs="Arial" w:eastAsia="Arial" w:hAnsi="Arial"/>
          <w:sz w:val="18"/>
          <w:szCs w:val="18"/>
          <w:color w:val="auto"/>
        </w:rPr>
        <w:t>As of February 1, 2020, the Company had 1,890,955 options outstanding to purchase shares of common stock, and there was $40.8 million of unearned non-cash stock-based option compensation that the Company expects to recognize as expense over a weighted average period of 2.5 years. The awards are expensed on a straight-line basis over the requisite service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transactions during Fiscal 2019 are summarized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February 2,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2,337,316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417,286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(710,964)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Options 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(152,683)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February 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1,890,955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 exercised during Fiscal 2019 had a total intrinsic value of $94.1 million.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table summarizes information about the options outstanding and exercisable as of February 1,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2420" w:type="dxa"/>
            <w:vAlign w:val="bottom"/>
            <w:gridSpan w:val="3"/>
          </w:tcPr>
          <w:p>
            <w:pPr>
              <w:jc w:val="right"/>
              <w:ind w:right="58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4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5"/>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Exercisable at</w:t>
            </w:r>
          </w:p>
        </w:tc>
        <w:tc>
          <w:tcPr>
            <w:tcW w:w="200" w:type="dxa"/>
            <w:vAlign w:val="bottom"/>
          </w:tcPr>
          <w:p>
            <w:pPr>
              <w:spacing w:after="0"/>
              <w:rPr>
                <w:sz w:val="12"/>
                <w:szCs w:val="12"/>
                <w:color w:val="auto"/>
              </w:rPr>
            </w:pPr>
          </w:p>
        </w:tc>
        <w:tc>
          <w:tcPr>
            <w:tcW w:w="11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2"/>
                <w:szCs w:val="12"/>
                <w:color w:val="auto"/>
              </w:rPr>
            </w:pPr>
          </w:p>
        </w:tc>
        <w:tc>
          <w:tcPr>
            <w:tcW w:w="11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(Years)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18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$0.79 - $4.55</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399,129</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247,329</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1,491,826</w:t>
            </w:r>
          </w:p>
        </w:tc>
        <w:tc>
          <w:tcPr>
            <w:tcW w:w="1340" w:type="dxa"/>
            <w:vAlign w:val="bottom"/>
            <w:tcBorders>
              <w:bottom w:val="single" w:sz="8" w:color="CFF0FC"/>
            </w:tcBorders>
            <w:gridSpan w:val="2"/>
          </w:tcPr>
          <w:p>
            <w:pPr>
              <w:jc w:val="right"/>
              <w:ind w:right="2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424,077</w:t>
            </w:r>
          </w:p>
        </w:tc>
        <w:tc>
          <w:tcPr>
            <w:tcW w:w="1380" w:type="dxa"/>
            <w:vAlign w:val="bottom"/>
            <w:tcBorders>
              <w:bottom w:val="single" w:sz="8" w:color="CFF0FC"/>
            </w:tcBorders>
            <w:gridSpan w:val="2"/>
          </w:tcPr>
          <w:p>
            <w:pPr>
              <w:jc w:val="right"/>
              <w:ind w:right="4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1,890,955</w:t>
            </w:r>
          </w:p>
        </w:tc>
        <w:tc>
          <w:tcPr>
            <w:tcW w:w="2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671,406</w:t>
            </w:r>
          </w:p>
        </w:tc>
        <w:tc>
          <w:tcPr>
            <w:tcW w:w="2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the stock options vested and expected to vest during the contractual term:</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00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w:t>
            </w:r>
          </w:p>
        </w:tc>
        <w:tc>
          <w:tcPr>
            <w:tcW w:w="1140" w:type="dxa"/>
            <w:vAlign w:val="bottom"/>
            <w:tcBorders>
              <w:top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rPr>
              <w:t>1,890,955</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94.17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fair value of each stock option granted was estimated on the date of grant using the Monte Carlo Simulation option pricing model prior to the date of the Company’s initial public offering and the Black Scholes option pricing model subsequent to the date of the initial public offering. The fair value of each stock option granted during Fiscal 2019 was estimated using the following assumptions:</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r>
      <w:tr>
        <w:trPr>
          <w:trHeight w:val="162"/>
        </w:trPr>
        <w:tc>
          <w:tcPr>
            <w:tcW w:w="52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February 1,</w:t>
            </w:r>
          </w:p>
        </w:tc>
      </w:tr>
      <w:tr>
        <w:trPr>
          <w:trHeight w:val="171"/>
        </w:trPr>
        <w:tc>
          <w:tcPr>
            <w:tcW w:w="52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- 3.00%</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800" w:type="dxa"/>
            <w:vAlign w:val="bottom"/>
          </w:tcPr>
          <w:p>
            <w:pPr>
              <w:ind w:left="20"/>
              <w:spacing w:after="0"/>
              <w:rPr>
                <w:sz w:val="20"/>
                <w:szCs w:val="20"/>
                <w:color w:val="auto"/>
              </w:rPr>
            </w:pPr>
            <w:r>
              <w:rPr>
                <w:rFonts w:ascii="Arial" w:cs="Arial" w:eastAsia="Arial" w:hAnsi="Arial"/>
                <w:sz w:val="18"/>
                <w:szCs w:val="18"/>
                <w:color w:val="auto"/>
              </w:rPr>
              <w:t>- 36%</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- 6.25</w:t>
            </w:r>
          </w:p>
        </w:tc>
        <w:tc>
          <w:tcPr>
            <w:tcW w:w="6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Contractual life (years)</w:t>
            </w:r>
          </w:p>
        </w:tc>
        <w:tc>
          <w:tcPr>
            <w:tcW w:w="920" w:type="dxa"/>
            <w:vAlign w:val="bottom"/>
          </w:tcPr>
          <w:p>
            <w:pPr>
              <w:spacing w:after="0"/>
              <w:rPr>
                <w:sz w:val="19"/>
                <w:szCs w:val="19"/>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91"/>
              </w:rPr>
              <w:t>10.0</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2"/>
              </w:rPr>
              <w:t>0.0%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88"/>
              </w:rPr>
              <w:t>67.41</w:t>
            </w:r>
          </w:p>
        </w:tc>
      </w:tr>
    </w:tbl>
    <w:p>
      <w:pPr>
        <w:spacing w:after="0" w:line="22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color w:val="auto"/>
        </w:rPr>
        <w:t>rates for U.S. Treasury zero-coupon bonds with maturities similar to those of the expected term of the awards being valued. For grants issued during Fiscal 2019, Fiscal 2018 and Fiscal 2017, the expected life of the options was calculated using the simplified method, which defines the life as the average of the contractual term of the options and the weighted average vesting period for all option tranches. This methodology was utilized due to the short length of time our common stock has been publicly traded.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Restricted stock awards granted during Fiscal 2019 were all service-based awards. The fair value of each unit of restricted stock granted during Fiscal 2019 was based upon the closing price of the Company’s common stock on the grant date. As of February 1, 2020, the Company had 40,000 awards outstanding that cliff vest at the end of the service periods ranging from three years to five years from the grant date. Awards granted to non-employee members of the Company’s Board of Directors before Fiscal 2018 have graded vesting provisions that generally vest in thirds over a three-year period. Awards granted to non-employee members of the Company’s Board of Directors during Fiscal 2018 and Fiscal 2019 vest 100% on the first anniversary of the grant date. The remaining awards outstanding as of February 1, 2020, other than certain awards granted to the CEO as noted above, have graded vesting provisions that generally vest in quarters over a four-year-period. Following a change of control, all unvested restricted stock awards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165"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As of February 1, 2020, there was approximately $43.0 million of unearned non-cash stock-based compensation related to restricted stock awards that the Company expects to recognize as an expense over the next 2.5 years. The awards are expensed on a straight-line basis over the requisite service periods.</w:t>
      </w:r>
    </w:p>
    <w:p>
      <w:pPr>
        <w:spacing w:after="0" w:line="7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Prior to May 1, 2019, the Company granted shares of restricted stock. Grants made on and after May 1, 2019 are in the form of restricted stock units. Award grant, vesting and forfeiture transactions during Fiscal 2019 are summarized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February 2,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666,842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Awards 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192,278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Awards vested (a)</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(344,800)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Awards 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(62,546)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February 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451,774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Restricted stock awards vested during Fiscal 2019 had a total intrinsic value of $60.1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Beginning in Fiscal 2019, the Company granted performance share units to its senior executives. Vesting of these performance share units is based on pre-established EBIT margin expansion and sales compound annual growth rate (CAGR) goals (each weighted equally) over a three-year performance period. Based on the Company’s achievement of these goals, each award may range from 50% (at threshold performance) to no more than 200% of the target award. In the event that actual performance is below threshold, no award will be made. In addition to the performance conditions, each performance share unit cliff vests at the end of a three-year service period. Following a change of control, all unvested performance share units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16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As of February 1, 2020, there was approximately $12.6 million of unearned non-cash stock-based compensation related to performance share units that the Company expects to recognize as an expense over the next 2.3 years. The awards are expensed on a straight-line basis over the requisite service periods.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color w:val="auto"/>
        </w:rPr>
        <w:t>Performance share unit transactions during Fiscal 2019 are summarized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60" w:type="dxa"/>
            <w:vAlign w:val="bottom"/>
            <w:gridSpan w:val="3"/>
            <w:vMerge w:val="restart"/>
          </w:tcPr>
          <w:p>
            <w:pPr>
              <w:jc w:val="center"/>
              <w:ind w:right="287"/>
              <w:spacing w:after="0"/>
              <w:rPr>
                <w:sz w:val="20"/>
                <w:szCs w:val="20"/>
                <w:color w:val="auto"/>
              </w:rPr>
            </w:pPr>
            <w:r>
              <w:rPr>
                <w:rFonts w:ascii="Arial" w:cs="Arial" w:eastAsia="Arial" w:hAnsi="Arial"/>
                <w:sz w:val="14"/>
                <w:szCs w:val="14"/>
                <w:b w:val="1"/>
                <w:bCs w:val="1"/>
                <w:color w:val="auto"/>
                <w:w w:val="97"/>
              </w:rPr>
              <w:t>Number of</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560" w:type="dxa"/>
            <w:vAlign w:val="bottom"/>
            <w:gridSpan w:val="3"/>
          </w:tcPr>
          <w:p>
            <w:pPr>
              <w:jc w:val="center"/>
              <w:ind w:right="287"/>
              <w:spacing w:after="0"/>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units outstanding, February 2,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89,448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Awards forfeited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Non-vested units outstanding, February 1,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 Commitments</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Company’s leases primarily consist of stores, distribution facilities and office space under operating and finance leases that will expire principally during the next 30 years. The leases typically include renewal options at five 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schedule of the Company’s future lease payments: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gridSpan w:val="2"/>
          </w:tcPr>
          <w:p>
            <w:pPr>
              <w:jc w:val="right"/>
              <w:ind w:right="880"/>
              <w:spacing w:after="0" w:line="133"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jc w:val="right"/>
              <w:ind w:right="612"/>
              <w:spacing w:after="0" w:line="133" w:lineRule="exact"/>
              <w:rPr>
                <w:sz w:val="20"/>
                <w:szCs w:val="20"/>
                <w:color w:val="auto"/>
              </w:rPr>
            </w:pPr>
            <w:r>
              <w:rPr>
                <w:rFonts w:ascii="Arial" w:cs="Arial" w:eastAsia="Arial" w:hAnsi="Arial"/>
                <w:sz w:val="14"/>
                <w:szCs w:val="14"/>
                <w:b w:val="1"/>
                <w:bCs w:val="1"/>
                <w:color w:val="auto"/>
              </w:rPr>
              <w:t>Finance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419,251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402,649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381,618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344,272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3,308,058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Amount representing interest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(683,873)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2,624,185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lease liabilities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(302,185)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63"/>
        </w:trPr>
        <w:tc>
          <w:tcPr>
            <w:tcW w:w="4520" w:type="dxa"/>
            <w:vAlign w:val="bottom"/>
            <w:gridSpan w:val="2"/>
          </w:tcPr>
          <w:p>
            <w:pPr>
              <w:spacing w:after="0"/>
              <w:rPr>
                <w:sz w:val="20"/>
                <w:szCs w:val="20"/>
                <w:color w:val="auto"/>
              </w:rPr>
            </w:pPr>
            <w:r>
              <w:rPr>
                <w:rFonts w:ascii="Arial" w:cs="Arial" w:eastAsia="Arial" w:hAnsi="Arial"/>
                <w:sz w:val="18"/>
                <w:szCs w:val="18"/>
                <w:color w:val="auto"/>
              </w:rPr>
              <w:t>Total long term lease liabilities</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2,322,000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above schedule excludes approximately $373.2 million for 51 stores that the Company has committed to open or relocate but has not yet taken possession of the space.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The following is a schedule of net lease costs for Fiscal 2019:</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2"/>
          </w:tcPr>
          <w:p>
            <w:pPr>
              <w:jc w:val="center"/>
              <w:ind w:right="480"/>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335"/>
              <w:spacing w:after="0" w:line="147" w:lineRule="exact"/>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February 1, 2020</w:t>
            </w:r>
          </w:p>
        </w:tc>
        <w:tc>
          <w:tcPr>
            <w:tcW w:w="0" w:type="dxa"/>
            <w:vAlign w:val="bottom"/>
          </w:tcPr>
          <w:p>
            <w:pPr>
              <w:spacing w:after="0"/>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finance lease asset (a)</w:t>
            </w:r>
          </w:p>
        </w:tc>
        <w:tc>
          <w:tcPr>
            <w:tcW w:w="20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Interest on lease liabilities (b)</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(c)</w:t>
            </w:r>
          </w:p>
        </w:tc>
        <w:tc>
          <w:tcPr>
            <w:tcW w:w="1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 (c)</w:t>
            </w:r>
          </w:p>
        </w:tc>
        <w:tc>
          <w:tcPr>
            <w:tcW w:w="17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Less all rental income(d)</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 rent expense (e)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571,152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358"/>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the line item “Depreciation and amortization” in the Company’s Consolidated Statements of Income.</w:t>
      </w:r>
    </w:p>
    <w:p>
      <w:pPr>
        <w:spacing w:after="0" w:line="23" w:lineRule="exact"/>
        <w:rPr>
          <w:rFonts w:ascii="Arial" w:cs="Arial" w:eastAsia="Arial" w:hAnsi="Arial"/>
          <w:sz w:val="18"/>
          <w:szCs w:val="18"/>
          <w:color w:val="auto"/>
        </w:rPr>
      </w:pPr>
    </w:p>
    <w:p>
      <w:pPr>
        <w:ind w:left="420" w:hanging="358"/>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the line item “Interest expense” in the Company’s Consolidated Statements of Income.</w:t>
      </w:r>
    </w:p>
    <w:p>
      <w:pPr>
        <w:spacing w:after="0" w:line="9" w:lineRule="exact"/>
        <w:rPr>
          <w:rFonts w:ascii="Arial" w:cs="Arial" w:eastAsia="Arial" w:hAnsi="Arial"/>
          <w:sz w:val="18"/>
          <w:szCs w:val="18"/>
          <w:color w:val="auto"/>
        </w:rPr>
      </w:pPr>
    </w:p>
    <w:p>
      <w:pPr>
        <w:ind w:left="420" w:hanging="358"/>
        <w:spacing w:after="0" w:line="250"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real estate taxes, common area maintenance, insurance and percentage rent. Included in the line item “Selling, general and administrative expenses” in the Company’s Consolidated Statements of Income.</w:t>
      </w:r>
    </w:p>
    <w:p>
      <w:pPr>
        <w:ind w:left="420" w:hanging="358"/>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the line item “Other revenue” in the Company’s Consolidated Statements of Income.</w:t>
      </w:r>
    </w:p>
    <w:p>
      <w:pPr>
        <w:spacing w:after="0" w:line="9" w:lineRule="exact"/>
        <w:rPr>
          <w:rFonts w:ascii="Arial" w:cs="Arial" w:eastAsia="Arial" w:hAnsi="Arial"/>
          <w:sz w:val="18"/>
          <w:szCs w:val="18"/>
          <w:color w:val="auto"/>
        </w:rPr>
      </w:pPr>
    </w:p>
    <w:p>
      <w:pPr>
        <w:ind w:left="420" w:hanging="358"/>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an immaterial amount of short-term lease cost.</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disclosures related to leases are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46"/>
        </w:trPr>
        <w:tc>
          <w:tcPr>
            <w:tcW w:w="5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298"/>
              <w:spacing w:after="0" w:line="147" w:lineRule="exact"/>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2"/>
                <w:szCs w:val="12"/>
                <w:color w:val="auto"/>
              </w:rPr>
            </w:pPr>
          </w:p>
        </w:tc>
      </w:tr>
      <w:tr>
        <w:trPr>
          <w:trHeight w:val="171"/>
        </w:trPr>
        <w:tc>
          <w:tcPr>
            <w:tcW w:w="5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February 1, 2020</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ind w:left="240"/>
              <w:spacing w:after="0"/>
              <w:rPr>
                <w:sz w:val="20"/>
                <w:szCs w:val="20"/>
                <w:color w:val="auto"/>
              </w:rPr>
            </w:pPr>
            <w:r>
              <w:rPr>
                <w:rFonts w:ascii="Arial" w:cs="Arial" w:eastAsia="Arial" w:hAnsi="Arial"/>
                <w:sz w:val="18"/>
                <w:szCs w:val="18"/>
                <w:color w:val="auto"/>
              </w:rPr>
              <w:t>Cash payments arising from operating lease liabilities (a)</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401,575</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payments for the principal portion of finance lease liabilities (b)</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8"/>
                <w:szCs w:val="18"/>
                <w:color w:val="auto"/>
              </w:rPr>
              <w:t>Cash payments for the interest portion of finance lease liabilities (a)</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information:</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690,827</w:t>
            </w:r>
          </w:p>
        </w:tc>
        <w:tc>
          <w:tcPr>
            <w:tcW w:w="100" w:type="dxa"/>
            <w:vAlign w:val="bottom"/>
          </w:tcPr>
          <w:p>
            <w:pPr>
              <w:spacing w:after="0"/>
              <w:rPr>
                <w:sz w:val="20"/>
                <w:szCs w:val="20"/>
                <w:color w:val="auto"/>
              </w:rPr>
            </w:pPr>
          </w:p>
        </w:tc>
      </w:tr>
    </w:tbl>
    <w:p>
      <w:pPr>
        <w:spacing w:after="0" w:line="93" w:lineRule="exact"/>
        <w:rPr>
          <w:sz w:val="20"/>
          <w:szCs w:val="20"/>
          <w:color w:val="auto"/>
        </w:rPr>
      </w:pPr>
    </w:p>
    <w:p>
      <w:pPr>
        <w:ind w:left="420" w:hanging="358"/>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within operating activities in the Company’s Consolidated Statements of Cash Flows.</w:t>
      </w:r>
    </w:p>
    <w:p>
      <w:pPr>
        <w:spacing w:after="0" w:line="23" w:lineRule="exact"/>
        <w:rPr>
          <w:rFonts w:ascii="Arial" w:cs="Arial" w:eastAsia="Arial" w:hAnsi="Arial"/>
          <w:sz w:val="18"/>
          <w:szCs w:val="18"/>
          <w:color w:val="auto"/>
        </w:rPr>
      </w:pPr>
    </w:p>
    <w:p>
      <w:pPr>
        <w:ind w:left="420" w:hanging="358"/>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within financing activities in the Company’s Consolidated Statements of Cash Flows.</w:t>
      </w:r>
    </w:p>
    <w:p>
      <w:pPr>
        <w:spacing w:after="0" w:line="21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is a schedule of net rent expense for the periods indicated under Accounting Standards Codification (ASC) 840, “Leases.” Prior periods have not been adjusted for adoption of ASU 2016-02:</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Year Ended</w:t>
            </w:r>
          </w:p>
        </w:tc>
        <w:tc>
          <w:tcPr>
            <w:tcW w:w="10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5"/>
              </w:rPr>
              <w:t>February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8"/>
                <w:szCs w:val="18"/>
                <w:color w:val="auto"/>
              </w:rPr>
              <w:t>Rent expense:</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Minimum rental payments</w:t>
            </w:r>
          </w:p>
        </w:tc>
        <w:tc>
          <w:tcPr>
            <w:tcW w:w="18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364,637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Contingent rental payments</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Straight-line rent expense</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Lease incentives amortization</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(34,827)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(32,618)</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purchased lease rights</w:t>
            </w:r>
          </w:p>
        </w:tc>
        <w:tc>
          <w:tcPr>
            <w:tcW w:w="1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 rent expense(a)</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345,170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all rental income(b)</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 net rent expense</w:t>
            </w:r>
          </w:p>
        </w:tc>
        <w:tc>
          <w:tcPr>
            <w:tcW w:w="1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Income.</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the line item “Other revenue” in the Company’s Consolidated Statements of Income.</w:t>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49" w:right="619" w:bottom="1440" w:gutter="0" w:footer="0" w:header="0"/>
        </w:sectPr>
      </w:pPr>
    </w:p>
    <w:bookmarkStart w:id="73" w:name="page74"/>
    <w:bookmarkEnd w:id="73"/>
    <w:p>
      <w:pPr>
        <w:ind w:right="700" w:firstLine="510"/>
        <w:spacing w:after="0" w:line="277" w:lineRule="auto"/>
        <w:rPr>
          <w:sz w:val="20"/>
          <w:szCs w:val="20"/>
          <w:color w:val="auto"/>
        </w:rPr>
      </w:pPr>
      <w:r>
        <w:rPr>
          <w:rFonts w:ascii="Arial" w:cs="Arial" w:eastAsia="Arial" w:hAnsi="Arial"/>
          <w:sz w:val="18"/>
          <w:szCs w:val="18"/>
          <w:color w:val="auto"/>
        </w:rPr>
        <w:t>As previously disclosed in the Company’s Fiscal 2018 Form 10-K and under the previous lease accounting standard, future minimum lease payments due under non-cancelable operating leases as of February 2, 2019 would have been as follows:</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right"/>
              <w:ind w:right="333"/>
              <w:spacing w:after="0" w:line="133"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Leases</w:t>
            </w:r>
          </w:p>
        </w:tc>
        <w:tc>
          <w:tcPr>
            <w:tcW w:w="0" w:type="dxa"/>
            <w:vAlign w:val="bottom"/>
          </w:tcPr>
          <w:p>
            <w:pPr>
              <w:spacing w:after="0"/>
              <w:rPr>
                <w:sz w:val="1"/>
                <w:szCs w:val="1"/>
                <w:color w:val="auto"/>
              </w:rPr>
            </w:pPr>
          </w:p>
        </w:tc>
      </w:tr>
      <w:tr>
        <w:trPr>
          <w:trHeight w:val="223"/>
        </w:trPr>
        <w:tc>
          <w:tcPr>
            <w:tcW w:w="6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383,877</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405,370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387,140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369,068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346,175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1,475,301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3,366,931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40"/>
              <w:spacing w:after="0"/>
              <w:rPr>
                <w:sz w:val="20"/>
                <w:szCs w:val="20"/>
                <w:color w:val="auto"/>
              </w:rPr>
            </w:pPr>
            <w:r>
              <w:rPr>
                <w:rFonts w:ascii="Arial" w:cs="Arial" w:eastAsia="Arial" w:hAnsi="Arial"/>
                <w:sz w:val="18"/>
                <w:szCs w:val="18"/>
                <w:color w:val="auto"/>
              </w:rPr>
              <w:t>Amount representing interest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3,366,931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above schedule included $278.9 million related to options to extend lease terms that were reasonably assured of being exercised and $622.4 million of minimum lease payments for 76 stores that the Company had committed to open or relocate.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Retirement Plans</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Company maintains separate defined contribution 401(k) retirement savings and profit-sharing plans covering employees in the United States and Puerto Rico who meet specified age and service requirements. The discretionary profit sharing component (which the Company has not utilized since 2005 and has no current plans to utilize) is entirely funded by the Company, and the Company also makes additional matching 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w:t>
      </w:r>
    </w:p>
    <w:p>
      <w:pPr>
        <w:spacing w:after="0" w:line="161"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Company recorded $10.0 million, $9.3 million and $8.4 million of 401(k) Plan match expense during Fiscal 2019, Fiscal 2018 and Fiscal 2017 respectively, which is included in the line item “Selling, general and administrative expenses” on the Company’s Consolidated Statements of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 was as follows for Fiscal 2019, Fiscal 2018 and Fiscal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7"/>
              </w:rPr>
              <w:t>February 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(53 Weeks)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1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573,399</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503,290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429,939</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before income taxes</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80" w:type="dxa"/>
            <w:vAlign w:val="bottom"/>
            <w:vMerge w:val="restart"/>
          </w:tcPr>
          <w:p>
            <w:pPr>
              <w:jc w:val="right"/>
              <w:ind w:right="6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Income tax expense was as follows for Fiscal 2019, Fiscal 2018 and Fiscal 2017:</w:t>
      </w:r>
    </w:p>
    <w:p>
      <w:pPr>
        <w:spacing w:after="0" w:line="302"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February 2,</w:t>
            </w:r>
          </w:p>
        </w:tc>
        <w:tc>
          <w:tcPr>
            <w:tcW w:w="80" w:type="dxa"/>
            <w:vAlign w:val="bottom"/>
          </w:tcPr>
          <w:p>
            <w:pPr>
              <w:spacing w:after="0"/>
              <w:rPr>
                <w:sz w:val="11"/>
                <w:szCs w:val="11"/>
                <w:color w:val="auto"/>
              </w:rPr>
            </w:pPr>
          </w:p>
        </w:tc>
        <w:tc>
          <w:tcPr>
            <w:tcW w:w="9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gridSpan w:val="2"/>
            <w:vMerge w:val="restart"/>
          </w:tcPr>
          <w:p>
            <w:pPr>
              <w:ind w:left="62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(53 Weeks)</w:t>
            </w:r>
          </w:p>
        </w:tc>
        <w:tc>
          <w:tcPr>
            <w:tcW w:w="0" w:type="dxa"/>
            <w:vAlign w:val="bottom"/>
          </w:tcPr>
          <w:p>
            <w:pPr>
              <w:spacing w:after="0"/>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83,521</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69,007</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65,824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19,642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1,671</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ind w:left="62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106,339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90,320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ind w:left="62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8,337</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(40,839)</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(8,409)</w:t>
            </w: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2,591</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ind w:left="62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115,409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92,839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80" w:type="dxa"/>
            <w:vAlign w:val="bottom"/>
            <w:gridSpan w:val="7"/>
          </w:tcPr>
          <w:p>
            <w:pPr>
              <w:spacing w:after="0"/>
              <w:rPr>
                <w:sz w:val="20"/>
                <w:szCs w:val="20"/>
                <w:color w:val="auto"/>
              </w:rPr>
            </w:pPr>
            <w:r>
              <w:rPr>
                <w:rFonts w:ascii="Arial" w:cs="Arial" w:eastAsia="Arial" w:hAnsi="Arial"/>
                <w:sz w:val="18"/>
                <w:szCs w:val="18"/>
                <w:color w:val="auto"/>
              </w:rPr>
              <w:t>The tax rate reconciliations were as follows for Fiscal 2019, Fiscal 2018 and Fiscal 2017: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320" w:type="dxa"/>
            <w:vAlign w:val="bottom"/>
            <w:gridSpan w:val="5"/>
            <w:vMerge w:val="restart"/>
          </w:tcPr>
          <w:p>
            <w:pPr>
              <w:jc w:val="right"/>
              <w:ind w:right="388"/>
              <w:spacing w:after="0"/>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128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5"/>
              </w:rPr>
              <w:t>February 2,</w:t>
            </w:r>
          </w:p>
        </w:tc>
        <w:tc>
          <w:tcPr>
            <w:tcW w:w="80" w:type="dxa"/>
            <w:vAlign w:val="bottom"/>
          </w:tcPr>
          <w:p>
            <w:pPr>
              <w:spacing w:after="0"/>
              <w:rPr>
                <w:sz w:val="11"/>
                <w:szCs w:val="11"/>
                <w:color w:val="auto"/>
              </w:rPr>
            </w:pPr>
          </w:p>
        </w:tc>
        <w:tc>
          <w:tcPr>
            <w:tcW w:w="88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February 3,</w:t>
            </w: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5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(53 Weeks)</w:t>
            </w:r>
          </w:p>
        </w:tc>
        <w:tc>
          <w:tcPr>
            <w:tcW w:w="18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rate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State income taxes, net of federal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Excess tax benefit from stock compensation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Impact of federal tax reform</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increase in the effective tax rate was primarily related to the one-time tax benefit in the prior year from the deferred tax revaluation due to changes in New Jersey tax law, enacted during the second quarter of Fiscal 2018.</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effects of temporary differences are included in deferred tax accounts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533"/>
              <w:spacing w:after="0" w:line="155" w:lineRule="exact"/>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532"/>
              <w:spacing w:after="0" w:line="155" w:lineRule="exact"/>
              <w:rPr>
                <w:sz w:val="20"/>
                <w:szCs w:val="20"/>
                <w:color w:val="auto"/>
              </w:rPr>
            </w:pPr>
            <w:r>
              <w:rPr>
                <w:rFonts w:ascii="Arial" w:cs="Arial" w:eastAsia="Arial" w:hAnsi="Arial"/>
                <w:sz w:val="14"/>
                <w:szCs w:val="14"/>
                <w:b w:val="1"/>
                <w:bCs w:val="1"/>
                <w:color w:val="auto"/>
              </w:rPr>
              <w:t>February 2, 2019</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333"/>
              <w:spacing w:after="0" w:line="133" w:lineRule="exact"/>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72"/>
              <w:spacing w:after="0" w:line="13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Liabilities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8"/>
                <w:szCs w:val="18"/>
                <w:color w:val="auto"/>
              </w:rPr>
              <w:t>Non-current deferred tax assets and liabilities:</w:t>
            </w: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basis adjustments</w:t>
            </w:r>
          </w:p>
        </w:tc>
        <w:tc>
          <w:tcPr>
            <w:tcW w:w="10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171,949</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149,705</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682,104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Intangibles—long-lived</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Intangibles—indefinite-lived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compensation</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net operating losses (net of federal benefit)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Landlord allowances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Tax credits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Valuation allowance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(10,268)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non-current deferred tax assets and liabilities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704,695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177,610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ind w:firstLine="510"/>
        <w:spacing w:after="0" w:line="257" w:lineRule="auto"/>
        <w:rPr>
          <w:sz w:val="20"/>
          <w:szCs w:val="20"/>
          <w:color w:val="auto"/>
        </w:rPr>
      </w:pPr>
      <w:r>
        <w:rPr>
          <w:rFonts w:ascii="Arial" w:cs="Arial" w:eastAsia="Arial" w:hAnsi="Arial"/>
          <w:sz w:val="18"/>
          <w:szCs w:val="18"/>
          <w:color w:val="auto"/>
        </w:rPr>
        <w:t>As of February 1, 2020, the Company has a deferred tax asset related to net operating losses of $9.3 million, inclusive of $9.0 million of state net operating losses which will expire at various dates between 2020 and 2039 and $0.3 million of deferred tax assets recorded for Puerto Rico net operating loss carry-forwards that will expire in 2025. As of February 1, 2020, the Company had tax credit carry-forwards of $8.2 million, inclusive of state tax credit carry-forwards of $6.8 million that will begin to expire in 2020 and $1.4 million of Puerto Rico alternative minimum tax (AMT) credits that have an indefinite life.</w:t>
      </w:r>
    </w:p>
    <w:p>
      <w:pPr>
        <w:spacing w:after="0" w:line="80"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As of February 2, 2019, the Company had a deferred tax asset related to net operating losses of $12.3 million, inclusive of $10.4 million of state net operating losses, and $1.9 million of deferred tax assets recorded for Puerto Rico net operating loss carry-forwards. As of February 2, 2019, the Company had tax credit carry-forwards of $6.1 million, inclusive of state tax credit carry-forwards of $4.5 million, and $1.6 million of Puerto Rico AMT credits.</w:t>
      </w:r>
    </w:p>
    <w:p>
      <w:pPr>
        <w:spacing w:after="0" w:line="4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believe that it is more likely than not that the benefit from certain state net operating loss carry forwards and credits will not be realized. In recognition of this risk, we have provided a valuation allowance of $5.6 million on state net operating losses and $3.9 million on state tax credit carry forwards. In addition, the Company believes that it is more likely than not that the benefit from Puerto Rico net operating loss carry-forwards will not be realized. As a result, we have provided for a full valuation allowance of $0.3 million. If our assumptions change and we determine we will be able to realize these net operating losses or credits, the tax benefits relating to any reversal of the valuation allowance on deferred tax assets as of February 1, 2020 will be recorded to the Company’s Consolidated Statement of Income. As of February 2, 2019, we provided a total valuation allowance of $10.3 million, inclusive of $5.9 of valuation allowance related to state net operating losses, $2.5 million related to tax credit carry-forwards and $1.9 million related to Puerto Rico.</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beginning and ending amount of gross unrecognized tax benefits (exclusive of interest and penalties) is as follows:</w:t>
      </w:r>
    </w:p>
    <w:p>
      <w:pPr>
        <w:spacing w:after="0" w:line="313"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33"/>
        </w:trPr>
        <w:tc>
          <w:tcPr>
            <w:tcW w:w="5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Unrecognized</w:t>
            </w: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Tax Benefits,</w:t>
            </w: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Exclusive of</w:t>
            </w: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Interest and</w:t>
            </w: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Penalties</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28,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2,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1, 2020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As of February 1, 2020, the Company reported total unrecognized benefits of $8.1 million, of which $6.4 million would affect the Company’s effective tax rate if recognized. As a result of previous positions taken and current period activity, the Company recorded a net benefit of $0.2 million of interest and penalties during Fiscal 2019 in the line item “Income tax expense” in the Company’s Consolidated Statements of Income. Cumulative interest and penalties of $12.0 million are recorded in the line item “Other liabilities” in the Company’s Consolidated Balance Sheets as of February 1, 2020. The Company recognizes interest and penalties related to unrecognized tax benefits as part of income taxes. Within the next twelve months, the Company does not expect any significant changes in its unrecognized tax benefits.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firstLine="510"/>
        <w:spacing w:after="0" w:line="279" w:lineRule="auto"/>
        <w:rPr>
          <w:sz w:val="20"/>
          <w:szCs w:val="20"/>
          <w:color w:val="auto"/>
        </w:rPr>
      </w:pPr>
      <w:r>
        <w:rPr>
          <w:rFonts w:ascii="Arial" w:cs="Arial" w:eastAsia="Arial" w:hAnsi="Arial"/>
          <w:sz w:val="17"/>
          <w:szCs w:val="17"/>
          <w:color w:val="auto"/>
        </w:rPr>
        <w:t>As of February 2, 2019, the Company reported total unrecognized benefits of $8.9 million, of which $7.1 million would affect the Company’s effective tax rate if recognized. As a result of previous positions taken, the Company recorded an increase of $0.2 million of interest and penalties during Fiscal 2018 in the line item “Income tax expense” in the Company’s Consolidated Statements of Income. Cumulative interest and penalties of $12.3 million are recorded in the line item “Other liabilities” in the Company’s Consolidated Balance Sheets as of February 2, 2019.</w:t>
      </w:r>
    </w:p>
    <w:p>
      <w:pPr>
        <w:spacing w:after="0" w:line="6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files tax returns in the U.S. federal jurisdiction, Puerto Rico, and various state jurisdictions. The Company is open to examination by the IRS under the applicable statutes of limitations for Fiscal Years 2016 through 2019. The Company or its subsidiaries’ state and Puerto Rico income tax returns are open to audit for Fiscal Years 2014 through 2019, with a few exceptions, under the applicable statutes of limitations. There are ongoing state audits in several jurisdictions, and the Company has accrued for possible exposures as required under Topic No. 740. The Company does not expect the settlement of these audits to have a material impact to its financial results.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214"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31" w:lineRule="exact"/>
        <w:rPr>
          <w:sz w:val="20"/>
          <w:szCs w:val="20"/>
          <w:color w:val="auto"/>
        </w:rPr>
      </w:pPr>
    </w:p>
    <w:p>
      <w:pPr>
        <w:ind w:left="1820" w:right="140" w:hanging="1367"/>
        <w:spacing w:after="0" w:line="263" w:lineRule="auto"/>
        <w:tabs>
          <w:tab w:leader="none" w:pos="18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89" w:lineRule="exact"/>
        <w:rPr>
          <w:sz w:val="20"/>
          <w:szCs w:val="20"/>
          <w:color w:val="auto"/>
        </w:rPr>
      </w:pPr>
    </w:p>
    <w:p>
      <w:pPr>
        <w:ind w:left="1820" w:right="80" w:hanging="1367"/>
        <w:spacing w:after="0" w:line="277" w:lineRule="auto"/>
        <w:tabs>
          <w:tab w:leader="none" w:pos="18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Refer to Note 8, “Derivative Instruments and Hedging Activities,” for further discussion regarding the fair value of the Company’s interest rate cap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fair values of the Company’s financial assets and the hierarchy of the level of inputs as of February 1, 2020 and February 2, 2019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 at</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rPr>
              <w:t>February 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Level 1</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equivalents (including restricted cash)</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369,733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22,416</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Financial Liabilities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4"/>
          </w:tcPr>
          <w:p>
            <w:pPr>
              <w:ind w:left="520"/>
              <w:spacing w:after="0"/>
              <w:rPr>
                <w:sz w:val="20"/>
                <w:szCs w:val="20"/>
                <w:color w:val="auto"/>
              </w:rPr>
            </w:pPr>
            <w:r>
              <w:rPr>
                <w:rFonts w:ascii="Arial" w:cs="Arial" w:eastAsia="Arial" w:hAnsi="Arial"/>
                <w:sz w:val="18"/>
                <w:szCs w:val="18"/>
                <w:color w:val="auto"/>
                <w:w w:val="92"/>
              </w:rPr>
              <w:t>The fair values of the Company’s financial liabilities are summarized below:</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6"/>
          </w:tcPr>
          <w:p>
            <w:pPr>
              <w:jc w:val="right"/>
              <w:ind w:right="960"/>
              <w:spacing w:after="0" w:line="155" w:lineRule="exact"/>
              <w:rPr>
                <w:sz w:val="20"/>
                <w:szCs w:val="20"/>
                <w:color w:val="auto"/>
              </w:rPr>
            </w:pPr>
            <w:r>
              <w:rPr>
                <w:rFonts w:ascii="Arial" w:cs="Arial" w:eastAsia="Arial" w:hAnsi="Arial"/>
                <w:sz w:val="14"/>
                <w:szCs w:val="14"/>
                <w:b w:val="1"/>
                <w:bCs w:val="1"/>
                <w:color w:val="auto"/>
              </w:rPr>
              <w:t>February 1, 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6"/>
          </w:tcPr>
          <w:p>
            <w:pPr>
              <w:jc w:val="right"/>
              <w:ind w:right="677"/>
              <w:spacing w:after="0" w:line="155" w:lineRule="exact"/>
              <w:rPr>
                <w:sz w:val="20"/>
                <w:szCs w:val="20"/>
                <w:color w:val="auto"/>
              </w:rPr>
            </w:pPr>
            <w:r>
              <w:rPr>
                <w:rFonts w:ascii="Arial" w:cs="Arial" w:eastAsia="Arial" w:hAnsi="Arial"/>
                <w:sz w:val="14"/>
                <w:szCs w:val="14"/>
                <w:b w:val="1"/>
                <w:bCs w:val="1"/>
                <w:color w:val="auto"/>
              </w:rPr>
              <w:t>February 2,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19"/>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1"/>
              <w:spacing w:after="0" w:line="13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Term B-5 Loans</w:t>
            </w: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957,505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959,899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956,693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ABL Line of Credit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 (a)</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957,505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956,693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left="900" w:hanging="84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Finance lease obligations are excluded from the table above.</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year end dates. The estimated fair values of the Company’s debt are classified as Level 2 in the fair value hierarchy. Although management is not aware of any factors that could significantly affect the estimated fair value amounts, such amounts have not been comprehensively revalued for purposes of these financial statements since that date, and current estimates of fair value may differ from amounts presented herein.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Like many retailers, the Company has been named in potential class or collective actions on behalf of groups alleging violations of federal and state wage and hour and other labor statutes, and alleged violation of state consumer and/or privacy protection and other statutes. The Company is involved in a federal wage and hour lawsuit alleging that certain exempt employees were misclassified under the Fair Labor Standards Act (FLSA). In late November 2019, the Court overseeing this lawsuit granted final certification allowing the matter to proceed as a collective action under the FLSA. In addition, the Company is involved in a putative class action matter raising similar allegations of misclassification under the wage and hour laws of three states. This matter was stayed by the Court shortly after it was filed and has remained stayed to date. At this time, the Company is not able to predict the outcome of these two lawsuits and cannot reasonably estimate any reasonably possible loss therefrom.</w:t>
      </w:r>
    </w:p>
    <w:p>
      <w:pPr>
        <w:spacing w:after="0" w:line="6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Company is also party to representative claims under the California Private Attorneys’ General Act and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had irrevocable letters of credit in the amounts of $53.1 million and $56.7 million as of February 1, 2020 and February 2, 2019, respectively.</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Letters of credit outstanding as of February 1, 2020 and February 2, 2019 amounted to $46.6 million and $48.9 million, respectively, guaranteeing performance under various lease agreements, insurance contracts, and utility agreements. The Company also had outstanding letters of credit arrangements in the aggregate amount of $6.5 million and $7.8 million at February 1, 2020 and February 2, 2019, respectively, related to certain merchandising agreements. Based on the terms of the Amended ABL Credit Agreement relating to the ABL Line of Credit, the Company had available letters of credit of $501.8 million and $543.3 million as of February 1, 2020 and February 2, 2019,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Purchase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$921.2 million of purchase commitments related to goods that were not received as of February 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the opinion of the Company’s management, the accompanying unaudited interim Consolidated Financial Statements contain all adjustments which are necessary for the fair presentation of the quarters presented. The operating results for any quarter are not necessarily indicative of the results of any future quarter.</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Year ended February 1, 2020:</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8"/>
              </w:rPr>
              <w:t>(in thousands, except share data)</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rPr>
              <w:t>May 4,</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August 3,</w:t>
            </w: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November 2,</w:t>
            </w:r>
          </w:p>
        </w:tc>
        <w:tc>
          <w:tcPr>
            <w:tcW w:w="120" w:type="dxa"/>
            <w:vAlign w:val="bottom"/>
          </w:tcPr>
          <w:p>
            <w:pPr>
              <w:spacing w:after="0"/>
              <w:rPr>
                <w:sz w:val="11"/>
                <w:szCs w:val="11"/>
                <w:color w:val="auto"/>
              </w:rPr>
            </w:pPr>
          </w:p>
        </w:tc>
        <w:tc>
          <w:tcPr>
            <w:tcW w:w="9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1,628,547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1,656,363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1,774,949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Gross margin(1)(2)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667,229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685,942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752,037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927,295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income per share—basic(3):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per share—diluted(3):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Year ended February 2, 2019:</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8"/>
              </w:rPr>
              <w:t>(in thousands, except share data)</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rPr>
              <w:t>May 5,</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August 4,</w:t>
            </w: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November 3,</w:t>
            </w:r>
          </w:p>
        </w:tc>
        <w:tc>
          <w:tcPr>
            <w:tcW w:w="120" w:type="dxa"/>
            <w:vAlign w:val="bottom"/>
          </w:tcPr>
          <w:p>
            <w:pPr>
              <w:spacing w:after="0"/>
              <w:rPr>
                <w:sz w:val="11"/>
                <w:szCs w:val="11"/>
                <w:color w:val="auto"/>
              </w:rPr>
            </w:pPr>
          </w:p>
        </w:tc>
        <w:tc>
          <w:tcPr>
            <w:tcW w:w="9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7"/>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1,518,446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1,498,633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1,634,489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Gross margin (1)(2)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625,764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621,159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692,480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per share—basic(3):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income per share—diluted(3):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margin is equal to net sales less cost of sales.</w:t>
      </w:r>
    </w:p>
    <w:p>
      <w:pPr>
        <w:spacing w:after="0" w:line="23" w:lineRule="exact"/>
        <w:rPr>
          <w:rFonts w:ascii="Arial" w:cs="Arial" w:eastAsia="Arial" w:hAnsi="Arial"/>
          <w:sz w:val="18"/>
          <w:szCs w:val="18"/>
          <w:color w:val="auto"/>
        </w:rPr>
      </w:pPr>
    </w:p>
    <w:p>
      <w:pPr>
        <w:ind w:left="500" w:right="160" w:hanging="492"/>
        <w:spacing w:after="0" w:line="265"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the quarterly periods ended February 1, 2020 and February 2, 2019, the Company recorded shortage adjustments of $1.9 million and $1.9 million, respectively, as a result of actual shortage being less than what the Company had estimated throughout the year.</w:t>
      </w: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Quarterly net income per share results may not equal full year amounts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Towards the end of December 2019, an outbreak of a novel strain of coronavirus (COVID-19) emerged globally. There have been mandates from federal, state and local authorities requiring forced closures of non-essential retailers, which could negatively impact the Company’s business. Although it is not possible to reliably estimate the length or severity of this outbreak and hence its financial impact, any significant reduction in customer visits to, and spending at, the Company’s stores caused by COVID-19 would result in a loss of sales and profits and other material adverse effects.</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February 1,</w:t>
            </w:r>
          </w:p>
        </w:tc>
        <w:tc>
          <w:tcPr>
            <w:tcW w:w="360" w:type="dxa"/>
            <w:vAlign w:val="bottom"/>
          </w:tcPr>
          <w:p>
            <w:pPr>
              <w:spacing w:after="0"/>
              <w:rPr>
                <w:sz w:val="11"/>
                <w:szCs w:val="11"/>
                <w:color w:val="auto"/>
              </w:rPr>
            </w:pPr>
          </w:p>
        </w:tc>
        <w:tc>
          <w:tcPr>
            <w:tcW w:w="120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528,098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528,149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Negative investment in subsidiaries</w:t>
            </w: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528,149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528,149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February 2,</w:t>
            </w:r>
          </w:p>
        </w:tc>
        <w:tc>
          <w:tcPr>
            <w:tcW w:w="200" w:type="dxa"/>
            <w:vAlign w:val="bottom"/>
          </w:tcPr>
          <w:p>
            <w:pPr>
              <w:spacing w:after="0"/>
              <w:rPr>
                <w:sz w:val="11"/>
                <w:szCs w:val="11"/>
                <w:color w:val="auto"/>
              </w:rPr>
            </w:pPr>
          </w:p>
        </w:tc>
        <w:tc>
          <w:tcPr>
            <w:tcW w:w="11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18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4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6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6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investment</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4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provision for income tax</w:t>
            </w:r>
          </w:p>
        </w:tc>
        <w:tc>
          <w:tcPr>
            <w:tcW w:w="1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w:t>
            </w:r>
          </w:p>
        </w:tc>
        <w:tc>
          <w:tcPr>
            <w:tcW w:w="1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Earnings from equity investment, net of income taxes</w:t>
            </w:r>
          </w:p>
        </w:tc>
        <w:tc>
          <w:tcPr>
            <w:tcW w:w="1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465,116</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465,116</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414,745</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1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465,116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414,745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February 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February 2,</w:t>
            </w:r>
          </w:p>
        </w:tc>
        <w:tc>
          <w:tcPr>
            <w:tcW w:w="200" w:type="dxa"/>
            <w:vAlign w:val="bottom"/>
          </w:tcPr>
          <w:p>
            <w:pPr>
              <w:spacing w:after="0"/>
              <w:rPr>
                <w:sz w:val="11"/>
                <w:szCs w:val="11"/>
                <w:color w:val="auto"/>
              </w:rPr>
            </w:pPr>
          </w:p>
        </w:tc>
        <w:tc>
          <w:tcPr>
            <w:tcW w:w="114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18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operations</w:t>
            </w:r>
          </w:p>
        </w:tc>
        <w:tc>
          <w:tcPr>
            <w:tcW w:w="1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Receipt of dividends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initial public offering</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Offering costs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Receipt of dividends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Payment of dividends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shares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(323,080)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(228,874)</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(289,777)</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Intercompany financing transactions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288,871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212,462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stock option exercises</w:t>
            </w:r>
          </w:p>
        </w:tc>
        <w:tc>
          <w:tcPr>
            <w:tcW w:w="1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Burlington Stores, Inc. (the Parent Company) is a holding company that conducts substantially all of its business operations through its subsidiaries. The Parent Company’s ability to pay dividends on Parent Company’s common stock will be limited by restrictions on the ability of Parent Company and its subsidiaries to pay dividends or make distributions under the terms of current and future agreements governing the indebtedness of Parent Company’s subsidiaries. In addition to other baskets under the agreements governing its indebtedness, the Parent Company and its subsidiaries are permitted to make dividends and distributions under the Term Loan Facility so long as there is no event of default and the pro forma consolidated leverage ratio of the Parent Company and its subsidiaries does not exceed 3.50 to 1.00, and under the ABL Line of Credit as long as certain restricted payment conditions are satisfied.</w:t>
      </w:r>
    </w:p>
    <w:p>
      <w:pPr>
        <w:spacing w:after="0" w:line="164"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The accompanying Condensed Financial Statements include the accounts of the Parent Company and, on an equity basis, its consolidated subsidiaries and affiliates. Accordingly, these Condensed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Burlington Stores, Inc.’s audited Consolidated Financial Statements included elsewhere herein.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Dividends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discussed above, the terms of current and future agreements governing the indebtedness of the Parent Company and its subsidiaries include, or may include, limitations on the ability of such subsidiaries and the Parent Company to pay dividends, subject to certain exceptions set forth in such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21" w:lineRule="exact"/>
        <w:rPr>
          <w:sz w:val="20"/>
          <w:szCs w:val="20"/>
          <w:color w:val="auto"/>
        </w:rPr>
      </w:pPr>
    </w:p>
    <w:p>
      <w:pPr>
        <w:ind w:right="220" w:firstLine="510"/>
        <w:spacing w:after="0" w:line="308" w:lineRule="auto"/>
        <w:rPr>
          <w:sz w:val="20"/>
          <w:szCs w:val="20"/>
          <w:color w:val="auto"/>
        </w:rPr>
      </w:pPr>
      <w:r>
        <w:rPr>
          <w:rFonts w:ascii="Arial" w:cs="Arial" w:eastAsia="Arial" w:hAnsi="Arial"/>
          <w:sz w:val="18"/>
          <w:szCs w:val="18"/>
          <w:color w:val="auto"/>
        </w:rPr>
        <w:t>Non-cash stock compensation expense of $43.9 million, $35.5 million and $27.0 million has been pushed down to Parent Company’s subsidiaries for Fiscal 2019, Fiscal 2018 and Fiscal 2017, respectively.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Charged</w:t>
            </w: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 Costs &amp;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 Other</w:t>
            </w:r>
          </w:p>
        </w:tc>
        <w:tc>
          <w:tcPr>
            <w:tcW w:w="1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 Period</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Accounts(1)</w:t>
            </w: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Deductions(2)</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Year ended February 1, 2020</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Sales reserves(3)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362,764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360,546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Year ended February 2, 2019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Sales reserves(3)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359,711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354,009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Year ended February 3, 2018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Sales reserves(3)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335,675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334,802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8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15" w:lineRule="exact"/>
        <w:rPr>
          <w:sz w:val="20"/>
          <w:szCs w:val="20"/>
          <w:color w:val="auto"/>
        </w:rPr>
      </w:pPr>
    </w:p>
    <w:p>
      <w:pPr>
        <w:ind w:left="500" w:right="540" w:hanging="492"/>
        <w:spacing w:after="0" w:line="258"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related to sales reserves are charged to net sales and cost of sales, and amounts related to valuation allowances on deferred taxes are charged to income tax expense.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returns and allowances.</w:t>
      </w:r>
    </w:p>
    <w:p>
      <w:pPr>
        <w:spacing w:after="0" w:line="22" w:lineRule="exact"/>
        <w:rPr>
          <w:rFonts w:ascii="Arial" w:cs="Arial" w:eastAsia="Arial" w:hAnsi="Arial"/>
          <w:sz w:val="18"/>
          <w:szCs w:val="18"/>
          <w:color w:val="auto"/>
        </w:rPr>
      </w:pPr>
    </w:p>
    <w:p>
      <w:pPr>
        <w:ind w:left="500" w:right="20" w:hanging="492"/>
        <w:spacing w:after="0" w:line="290"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Fiscal 2018, the Company adopted ASU 2014-09, “Revenue from Contracts with Customers,” which requires the Company’s sales return reserve to be established at the gross sales value with an asset established for the value of the expected merchandise returned. The liability and asset related to the sales return reserve were $11.7 million and $7.0 million, respectively, as of February 1, 2020, and $9.5 million and $5.7 million, respectively, as of February 2, 2019, and were included in the lines “Other current liabilities” and “Prepaid and other current assets,” respectively, on the Company’s Consolidated Balance Sheet. Prior period amounts have not been adjusted. As of February 3, 2018, the net sales return reserve was $3.8 million and was included in the line “Other current liabilities” on the Company’s Consolidated Balance Sheet.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Annual Report, February 1, 2020.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February 1,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68" w:lineRule="exact"/>
        <w:rPr>
          <w:sz w:val="20"/>
          <w:szCs w:val="20"/>
          <w:color w:val="auto"/>
        </w:rPr>
      </w:pPr>
    </w:p>
    <w:p>
      <w:pPr>
        <w:ind w:left="1000" w:right="1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issuer;</w:t>
      </w:r>
    </w:p>
    <w:p>
      <w:pPr>
        <w:spacing w:after="0" w:line="62"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75"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In accordance with the internal control reporting requirement of the SEC, management completed an assessment of the adequacy of our internal control over financial reporting as of February 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Based on this assessment and the criteria in the COSO framework, management has concluded that, as of February 1, 2020, our internal control over financial reporting was effective.</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Deloitte &amp; Touche LLP, the independent registered public accounting firm that audited and reported on our consolidated financial statements contained herein, has audited the effectiveness of our internal control over financial reporting as of February 1, 2020, and has issued an attestation report on the effectiveness of our internal control over financial reporting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During the fourth quarter of Fiscal 2019, there were no changes in our internal control over financial reporting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Burlington Stores,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We have audited the internal control over financial reporting of Burlington Stores, Inc. and subsidiaries (the “Company”) as of February 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February 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consolidated statements of income, comprehensive income, stockholders’ equity, and cash flows, as of and for the year ended February 1, 2020, of the Company and our report dated March 13, 2020 , expressed an unqualified opinion on those financial statements and included an explanatory paragraph regarding the Company’s adoption of Accounting Standards Update (“ASU”) 2016-12, Leases (Topic 842), using the alternative transition method.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effectiveness to future periods are subject to the risk that controls may become inadequate because of changes in conditions, or that the degree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policies or procedures may deteriorate.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86" w:name="page87"/>
    <w:bookmarkEnd w:id="86"/>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For the information required by this Item 10, see “Election of Directors,” “Information About Our Executive Officers,” “Corporate Governance,” and “Board Committees,” in the Proxy Statement for our 2020 Annual Meeting of Stockholders (the “Proxy Statement”), which information is incorporated herein by reference. The Proxy Statement will be filed within 120 days of the close of our 2019 fiscal year.</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For the information required by this Item 11, see “Executive Compensation” and “Director Compensation” in the Proxy Statement, which information is incorporated herein by reference.</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For the information required by this Item 12, see “Ownership of Securities” and “Securities Authorized for Issuance Under Equity Compensation Plans” in the Proxy Statement, which information is incorporated herein by reference.</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For the information required by this Item 13, see “Certain Relationships and Related Party Transactions” and “Corporate Governance” in the Proxy Statement, which information is incorporated herein by reference.</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For the information required by this Item 14, see “Principal Accountant Fees and Services” and “Policy on Audit Committee Pre-Approval of Audit and Permissible Non-Audit Services of Independent Registered Certified Public Accounting Firm” in the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1" w:lineRule="exact"/>
        <w:rPr>
          <w:sz w:val="20"/>
          <w:szCs w:val="20"/>
          <w:color w:val="auto"/>
        </w:rPr>
      </w:pPr>
    </w:p>
    <w:p>
      <w:pPr>
        <w:ind w:right="400" w:firstLine="8"/>
        <w:spacing w:after="0" w:line="282"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The Consolidated Financial Statements filed as part of this Annual Report are listed on the Index to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on page 42 of this Annual Report.</w:t>
      </w:r>
    </w:p>
    <w:p>
      <w:pPr>
        <w:spacing w:after="0" w:line="161" w:lineRule="exact"/>
        <w:rPr>
          <w:rFonts w:ascii="Arial" w:cs="Arial" w:eastAsia="Arial" w:hAnsi="Arial"/>
          <w:sz w:val="18"/>
          <w:szCs w:val="18"/>
          <w:b w:val="1"/>
          <w:bCs w:val="1"/>
          <w:color w:val="auto"/>
        </w:rPr>
      </w:pPr>
    </w:p>
    <w:p>
      <w:pPr>
        <w:ind w:right="20" w:firstLine="8"/>
        <w:spacing w:after="0" w:line="261"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 I—Condensed Financial Information of Registrant filed as part of this Annual Report is set forth on pages</w:t>
      </w:r>
      <w:r>
        <w:rPr>
          <w:rFonts w:ascii="Arial" w:cs="Arial" w:eastAsia="Arial" w:hAnsi="Arial"/>
          <w:sz w:val="18"/>
          <w:szCs w:val="18"/>
          <w:b w:val="1"/>
          <w:bCs w:val="1"/>
          <w:color w:val="auto"/>
        </w:rPr>
        <w:t xml:space="preserve"> </w:t>
      </w:r>
      <w:r>
        <w:rPr>
          <w:rFonts w:ascii="Arial" w:cs="Arial" w:eastAsia="Arial" w:hAnsi="Arial"/>
          <w:sz w:val="18"/>
          <w:szCs w:val="18"/>
          <w:color w:val="auto"/>
        </w:rPr>
        <w:t>78-81. Schedule II—Valuation and Qualifying Accounts filed as part of this Annual Report is set forth on page 82 of this Annual Report. All other financial statement schedules have been omitted here because they are not applicable, not required, or the information is shown in the Consolidated Financial Statements or notes thereto.</w:t>
      </w:r>
    </w:p>
    <w:p>
      <w:pPr>
        <w:spacing w:after="0" w:line="287" w:lineRule="exact"/>
        <w:rPr>
          <w:rFonts w:ascii="Arial" w:cs="Arial" w:eastAsia="Arial" w:hAnsi="Arial"/>
          <w:sz w:val="18"/>
          <w:szCs w:val="18"/>
          <w:b w:val="1"/>
          <w:bCs w:val="1"/>
          <w:color w:val="auto"/>
        </w:rPr>
      </w:pPr>
    </w:p>
    <w:p>
      <w:pPr>
        <w:ind w:left="260" w:hanging="252"/>
        <w:spacing w:after="0"/>
        <w:tabs>
          <w:tab w:leader="none" w:pos="2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S-K</w:t>
      </w:r>
      <w:r>
        <w:rPr>
          <w:rFonts w:ascii="Arial" w:cs="Arial" w:eastAsia="Arial" w:hAnsi="Arial"/>
          <w:sz w:val="18"/>
          <w:szCs w:val="18"/>
          <w:i w:val="1"/>
          <w:iCs w:val="1"/>
          <w:color w:val="auto"/>
        </w:rPr>
        <w:t>.</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is a list of exhibits required by Item 601 of Regulation S-K and filed as part of this Annual Report. Exhibits that previously have been filed are incorporated herein by reference.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320" w:type="dxa"/>
            <w:vAlign w:val="bottom"/>
            <w:tcBorders>
              <w:bottom w:val="single" w:sz="8" w:color="auto"/>
              <w:right w:val="single" w:sz="8" w:color="auto"/>
            </w:tcBorders>
            <w:gridSpan w:val="15"/>
          </w:tcPr>
          <w:p>
            <w:pPr>
              <w:ind w:left="142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Form</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6260" w:type="dxa"/>
            <w:vAlign w:val="bottom"/>
            <w:tcBorders>
              <w:right w:val="single" w:sz="8" w:color="auto"/>
            </w:tcBorders>
            <w:gridSpan w:val="17"/>
          </w:tcPr>
          <w:p>
            <w:pPr>
              <w:spacing w:after="0" w:line="169" w:lineRule="exact"/>
              <w:rPr>
                <w:rFonts w:ascii="Arial" w:cs="Arial" w:eastAsia="Arial" w:hAnsi="Arial"/>
                <w:sz w:val="18"/>
                <w:szCs w:val="18"/>
                <w:color w:val="0000EE"/>
              </w:rPr>
            </w:pPr>
            <w:hyperlink r:id="rId125">
              <w:r>
                <w:rPr>
                  <w:rFonts w:ascii="Arial" w:cs="Arial" w:eastAsia="Arial" w:hAnsi="Arial"/>
                  <w:sz w:val="18"/>
                  <w:szCs w:val="18"/>
                  <w:color w:val="0000EE"/>
                </w:rPr>
                <w:t>Amended and Restated Certificate of Incorporation of Burlington Stores, Inc.</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5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10, 2013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3.2</w:t>
            </w:r>
          </w:p>
        </w:tc>
        <w:tc>
          <w:tcPr>
            <w:tcW w:w="6260" w:type="dxa"/>
            <w:vAlign w:val="bottom"/>
            <w:tcBorders>
              <w:right w:val="single" w:sz="8" w:color="auto"/>
            </w:tcBorders>
            <w:gridSpan w:val="17"/>
          </w:tcPr>
          <w:p>
            <w:pPr>
              <w:spacing w:after="0" w:line="169" w:lineRule="exact"/>
              <w:rPr>
                <w:rFonts w:ascii="Arial" w:cs="Arial" w:eastAsia="Arial" w:hAnsi="Arial"/>
                <w:sz w:val="18"/>
                <w:szCs w:val="18"/>
                <w:color w:val="0000EE"/>
              </w:rPr>
            </w:pPr>
            <w:hyperlink r:id="rId126">
              <w:r>
                <w:rPr>
                  <w:rFonts w:ascii="Arial" w:cs="Arial" w:eastAsia="Arial" w:hAnsi="Arial"/>
                  <w:sz w:val="18"/>
                  <w:szCs w:val="18"/>
                  <w:color w:val="0000EE"/>
                </w:rPr>
                <w:t>Amended and Restated Bylaws of Burlington Stores, Inc.</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February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5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27, 2018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4.1†</w:t>
            </w:r>
          </w:p>
        </w:tc>
        <w:tc>
          <w:tcPr>
            <w:tcW w:w="6260" w:type="dxa"/>
            <w:vAlign w:val="bottom"/>
            <w:tcBorders>
              <w:right w:val="single" w:sz="8" w:color="auto"/>
            </w:tcBorders>
            <w:gridSpan w:val="17"/>
          </w:tcPr>
          <w:p>
            <w:pPr>
              <w:spacing w:after="0" w:line="169"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the Registrant’s Securities.</w:t>
              </w:r>
            </w:hyperlink>
          </w:p>
        </w:tc>
        <w:tc>
          <w:tcPr>
            <w:tcW w:w="9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6260" w:type="dxa"/>
            <w:vAlign w:val="bottom"/>
            <w:tcBorders>
              <w:right w:val="single" w:sz="8" w:color="auto"/>
            </w:tcBorders>
            <w:gridSpan w:val="17"/>
          </w:tcPr>
          <w:p>
            <w:pPr>
              <w:spacing w:after="0" w:line="169"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Credit Agreement, dated February 24, 2011, by and among Burlington Coat Factory</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February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Warehouse Corporation, as borrower, the facility guarantors signatory thereto,</w:t>
              </w:r>
            </w:hyperlink>
          </w:p>
        </w:tc>
        <w:tc>
          <w:tcPr>
            <w:tcW w:w="420" w:type="dxa"/>
            <w:vAlign w:val="bottom"/>
            <w:tcBorders>
              <w:top w:val="single" w:sz="8" w:color="0000EE"/>
            </w:tcBorders>
            <w:gridSpan w:val="4"/>
          </w:tcPr>
          <w:p>
            <w:pPr>
              <w:spacing w:after="0"/>
              <w:rPr>
                <w:sz w:val="17"/>
                <w:szCs w:val="17"/>
                <w:color w:val="auto"/>
              </w:rPr>
            </w:pPr>
          </w:p>
        </w:tc>
        <w:tc>
          <w:tcPr>
            <w:tcW w:w="22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24, 2011</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right w:val="single" w:sz="8" w:color="auto"/>
            </w:tcBorders>
            <w:gridSpan w:val="17"/>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JPMorgan Chase Bank, N.A., as administrative agent and as collateral agent, Goldman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Sachs Lending Partners LLC, the lenders party thereto, and J.P. Morgan Securities</w:t>
              </w:r>
            </w:hyperlink>
          </w:p>
        </w:tc>
        <w:tc>
          <w:tcPr>
            <w:tcW w:w="340" w:type="dxa"/>
            <w:vAlign w:val="bottom"/>
            <w:tcBorders>
              <w:right w:val="single" w:sz="8" w:color="auto"/>
            </w:tcBorders>
            <w:gridSpan w:val="7"/>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LLC, Goldman Sachs Lending Partners LLC, Merrill Lynch, Pierce, Fenner &amp; Smith</w:t>
              </w:r>
            </w:hyperlink>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0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Incorporated and Wells Fargo Securities, LLC, as joint lead arrangers and joint</w:t>
              </w:r>
            </w:hyperlink>
          </w:p>
        </w:tc>
        <w:tc>
          <w:tcPr>
            <w:tcW w:w="16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bookrunners.</w:t>
              </w:r>
            </w:hyperlink>
          </w:p>
        </w:tc>
        <w:tc>
          <w:tcPr>
            <w:tcW w:w="600" w:type="dxa"/>
            <w:vAlign w:val="bottom"/>
            <w:tcBorders>
              <w:right w:val="single" w:sz="8" w:color="auto"/>
            </w:tcBorders>
            <w:gridSpan w:val="9"/>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10.1.1</w:t>
            </w:r>
          </w:p>
        </w:tc>
        <w:tc>
          <w:tcPr>
            <w:tcW w:w="6140" w:type="dxa"/>
            <w:vAlign w:val="bottom"/>
            <w:tcBorders>
              <w:bottom w:val="single" w:sz="8" w:color="0000EE"/>
            </w:tcBorders>
            <w:gridSpan w:val="14"/>
          </w:tcPr>
          <w:p>
            <w:pPr>
              <w:spacing w:after="0" w:line="169"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Amendment No. 1, dated May 16, 2012, to the Credit Agreement, dated February 24,</w:t>
              </w:r>
            </w:hyperlink>
          </w:p>
        </w:tc>
        <w:tc>
          <w:tcPr>
            <w:tcW w:w="120" w:type="dxa"/>
            <w:vAlign w:val="bottom"/>
            <w:tcBorders>
              <w:right w:val="single" w:sz="8" w:color="auto"/>
            </w:tcBorders>
            <w:gridSpan w:val="3"/>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17,</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5"/>
              </w:rPr>
            </w:pPr>
            <w:hyperlink r:id="rId128">
              <w:r>
                <w:rPr>
                  <w:rFonts w:ascii="Arial" w:cs="Arial" w:eastAsia="Arial" w:hAnsi="Arial"/>
                  <w:sz w:val="18"/>
                  <w:szCs w:val="18"/>
                  <w:color w:val="0000EE"/>
                  <w:w w:val="95"/>
                </w:rPr>
                <w:t>2011, by and among Burlington Coat Factory Warehouse Corporation, the lenders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party thereto, JPMorgan Chase Bank, N.A., as administrative agent and as collateral</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agent, and the other parties thereto.</w:t>
              </w:r>
            </w:hyperlink>
          </w:p>
        </w:tc>
        <w:tc>
          <w:tcPr>
            <w:tcW w:w="22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6260" w:type="dxa"/>
            <w:vAlign w:val="bottom"/>
            <w:tcBorders>
              <w:right w:val="single" w:sz="8" w:color="auto"/>
            </w:tcBorders>
            <w:gridSpan w:val="17"/>
          </w:tcPr>
          <w:p>
            <w:pPr>
              <w:spacing w:after="0" w:line="169"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Amendment No. 2, dated February 15, 2013, to the Credit Agreement, dated February</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February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24, 2011, by and among Burlington Coat Factory Warehouse Corporation, the lender</w:t>
              </w:r>
            </w:hyperlink>
          </w:p>
        </w:tc>
        <w:tc>
          <w:tcPr>
            <w:tcW w:w="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21, 2013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6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parties thereto, JPMorgan Chase Bank, N.A., as administrative agent and as collateral</w:t>
              </w:r>
            </w:hyperlink>
          </w:p>
        </w:tc>
        <w:tc>
          <w:tcPr>
            <w:tcW w:w="10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agent, and the other parties thereto.</w:t>
              </w:r>
            </w:hyperlink>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10.1.3</w:t>
            </w:r>
          </w:p>
        </w:tc>
        <w:tc>
          <w:tcPr>
            <w:tcW w:w="6140" w:type="dxa"/>
            <w:vAlign w:val="bottom"/>
            <w:tcBorders>
              <w:bottom w:val="single" w:sz="8" w:color="0000EE"/>
            </w:tcBorders>
            <w:gridSpan w:val="14"/>
          </w:tcPr>
          <w:p>
            <w:pPr>
              <w:spacing w:after="0" w:line="169"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Amendment No. 3, dated May 17, 2013, to the Credit Agreement, dated February 24,</w:t>
              </w:r>
            </w:hyperlink>
          </w:p>
        </w:tc>
        <w:tc>
          <w:tcPr>
            <w:tcW w:w="120" w:type="dxa"/>
            <w:vAlign w:val="bottom"/>
            <w:tcBorders>
              <w:right w:val="single" w:sz="8" w:color="auto"/>
            </w:tcBorders>
            <w:gridSpan w:val="3"/>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2011, by and among Burlington Coat Factory Warehouse Corporation, the lenders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60" w:type="dxa"/>
            <w:vAlign w:val="bottom"/>
            <w:gridSpan w:val="8"/>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party thereto, JPMorgan Chase Bank, N.A., as administrative agent and as collateral</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agent.</w:t>
              </w:r>
            </w:hyperlink>
          </w:p>
        </w:tc>
        <w:tc>
          <w:tcPr>
            <w:tcW w:w="22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10.1.4</w:t>
            </w:r>
          </w:p>
        </w:tc>
        <w:tc>
          <w:tcPr>
            <w:tcW w:w="6080" w:type="dxa"/>
            <w:vAlign w:val="bottom"/>
            <w:tcBorders>
              <w:bottom w:val="single" w:sz="8" w:color="0000EE"/>
            </w:tcBorders>
            <w:gridSpan w:val="12"/>
          </w:tcPr>
          <w:p>
            <w:pPr>
              <w:spacing w:after="0" w:line="169"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Amendment No. 4, dated August 13, 2014, to the Credit Agreement, dated February</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24, 2011, by and among Burlington Coat Factory Warehouse Corporation, the lenders</w:t>
              </w:r>
            </w:hyperlink>
          </w:p>
        </w:tc>
        <w:tc>
          <w:tcPr>
            <w:tcW w:w="10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18, 2014</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party thereto, JPMorgan Chase Bank, N.A., as administrative agent and as collateral</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agent.</w:t>
              </w:r>
            </w:hyperlink>
          </w:p>
        </w:tc>
        <w:tc>
          <w:tcPr>
            <w:tcW w:w="22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gridSpan w:val="5"/>
          </w:tcPr>
          <w:p>
            <w:pPr>
              <w:ind w:left="3540"/>
              <w:spacing w:after="0"/>
              <w:rPr>
                <w:sz w:val="20"/>
                <w:szCs w:val="20"/>
                <w:color w:val="auto"/>
              </w:rPr>
            </w:pPr>
            <w:r>
              <w:rPr>
                <w:rFonts w:ascii="Arial" w:cs="Arial" w:eastAsia="Arial" w:hAnsi="Arial"/>
                <w:sz w:val="18"/>
                <w:szCs w:val="18"/>
                <w:color w:val="auto"/>
              </w:rPr>
              <w:t>86</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2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gridSpan w:val="22"/>
          </w:tcPr>
          <w:p>
            <w:pPr>
              <w:ind w:left="440"/>
              <w:spacing w:after="0"/>
              <w:rPr>
                <w:sz w:val="20"/>
                <w:szCs w:val="20"/>
                <w:color w:val="auto"/>
              </w:rPr>
            </w:pPr>
            <w:r>
              <w:rPr>
                <w:rFonts w:ascii="Arial" w:cs="Arial" w:eastAsia="Arial" w:hAnsi="Arial"/>
                <w:sz w:val="18"/>
                <w:szCs w:val="18"/>
                <w:b w:val="1"/>
                <w:bCs w:val="1"/>
                <w:color w:val="auto"/>
              </w:rPr>
              <w:t>Exhibit Description</w:t>
            </w:r>
          </w:p>
        </w:tc>
        <w:tc>
          <w:tcPr>
            <w:tcW w:w="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10.1.5</w:t>
            </w:r>
          </w:p>
        </w:tc>
        <w:tc>
          <w:tcPr>
            <w:tcW w:w="6600" w:type="dxa"/>
            <w:vAlign w:val="bottom"/>
            <w:tcBorders>
              <w:right w:val="single" w:sz="8" w:color="auto"/>
            </w:tcBorders>
            <w:gridSpan w:val="24"/>
          </w:tcPr>
          <w:p>
            <w:pPr>
              <w:spacing w:after="0" w:line="169"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Amendment No. 5, dated July 29, 2016, to the Credit Agreement, dated February 24, 2011,</w:t>
              </w:r>
            </w:hyperlink>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July 29,</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54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by and among Burlington Coat Factory Warehouse Corporation, the lenders party thereto,</w:t>
              </w:r>
            </w:hyperlink>
          </w:p>
        </w:tc>
        <w:tc>
          <w:tcPr>
            <w:tcW w:w="60" w:type="dxa"/>
            <w:vAlign w:val="bottom"/>
            <w:tcBorders>
              <w:right w:val="single" w:sz="8" w:color="auto"/>
            </w:tcBorders>
            <w:gridSpan w:val="2"/>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JPMorgan Chase Bank, N.A., as administrative agent and as collateral agent.</w:t>
              </w:r>
            </w:hyperlink>
          </w:p>
        </w:tc>
        <w:tc>
          <w:tcPr>
            <w:tcW w:w="160" w:type="dxa"/>
            <w:vAlign w:val="bottom"/>
            <w:tcBorders>
              <w:right w:val="single" w:sz="8" w:color="auto"/>
            </w:tcBorders>
            <w:gridSpan w:val="5"/>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10.1.6</w:t>
            </w:r>
          </w:p>
        </w:tc>
        <w:tc>
          <w:tcPr>
            <w:tcW w:w="6600" w:type="dxa"/>
            <w:vAlign w:val="bottom"/>
            <w:tcBorders>
              <w:right w:val="single" w:sz="8" w:color="auto"/>
            </w:tcBorders>
            <w:gridSpan w:val="24"/>
          </w:tcPr>
          <w:p>
            <w:pPr>
              <w:spacing w:after="0" w:line="169" w:lineRule="exact"/>
              <w:rPr>
                <w:rFonts w:ascii="Arial" w:cs="Arial" w:eastAsia="Arial" w:hAnsi="Arial"/>
                <w:sz w:val="18"/>
                <w:szCs w:val="18"/>
                <w:color w:val="0000EE"/>
                <w:w w:val="98"/>
              </w:rPr>
            </w:pPr>
            <w:hyperlink r:id="rId135">
              <w:r>
                <w:rPr>
                  <w:rFonts w:ascii="Arial" w:cs="Arial" w:eastAsia="Arial" w:hAnsi="Arial"/>
                  <w:sz w:val="18"/>
                  <w:szCs w:val="18"/>
                  <w:color w:val="0000EE"/>
                  <w:w w:val="98"/>
                </w:rPr>
                <w:t>Amendment No. 6 to the Credit Agreement, dated November 17, 2017, to the Credit</w:t>
              </w:r>
            </w:hyperlink>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Agreement, dated February 24, 2011, by and among Burlington Coat Factory Warehouse</w:t>
              </w:r>
            </w:hyperlink>
          </w:p>
        </w:tc>
        <w:tc>
          <w:tcPr>
            <w:tcW w:w="200" w:type="dxa"/>
            <w:vAlign w:val="bottom"/>
            <w:tcBorders>
              <w:right w:val="single" w:sz="8" w:color="auto"/>
            </w:tcBorders>
            <w:gridSpan w:val="7"/>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21, 2017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Corporation, the lenders party thereto, JPMorgan Chase Bank, N.A., as administrative</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agent and as collateral agent.</w:t>
              </w:r>
            </w:hyperlink>
          </w:p>
        </w:tc>
        <w:tc>
          <w:tcPr>
            <w:tcW w:w="420" w:type="dxa"/>
            <w:vAlign w:val="bottom"/>
            <w:tcBorders>
              <w:right w:val="single" w:sz="8" w:color="auto"/>
            </w:tcBorders>
            <w:gridSpan w:val="11"/>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10.1.7</w:t>
            </w:r>
          </w:p>
        </w:tc>
        <w:tc>
          <w:tcPr>
            <w:tcW w:w="5980" w:type="dxa"/>
            <w:vAlign w:val="bottom"/>
            <w:tcBorders>
              <w:bottom w:val="single" w:sz="8" w:color="0000EE"/>
            </w:tcBorders>
            <w:gridSpan w:val="9"/>
          </w:tcPr>
          <w:p>
            <w:pPr>
              <w:spacing w:after="0" w:line="169"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7 to the Credit Agreement, dated November 2, 2018, to the Credit</w:t>
              </w:r>
            </w:hyperlink>
          </w:p>
        </w:tc>
        <w:tc>
          <w:tcPr>
            <w:tcW w:w="620" w:type="dxa"/>
            <w:vAlign w:val="bottom"/>
            <w:tcBorders>
              <w:right w:val="single" w:sz="8" w:color="auto"/>
            </w:tcBorders>
            <w:gridSpan w:val="15"/>
          </w:tcPr>
          <w:p>
            <w:pPr>
              <w:spacing w:after="0"/>
              <w:rPr>
                <w:sz w:val="14"/>
                <w:szCs w:val="14"/>
                <w:color w:val="auto"/>
              </w:rPr>
            </w:pPr>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Agreement, dated February 24, 2011, by and among Burlington Coat Factor Warehouse</w:t>
              </w:r>
            </w:hyperlink>
          </w:p>
        </w:tc>
        <w:tc>
          <w:tcPr>
            <w:tcW w:w="300" w:type="dxa"/>
            <w:vAlign w:val="bottom"/>
            <w:tcBorders>
              <w:right w:val="single" w:sz="8" w:color="auto"/>
            </w:tcBorders>
            <w:gridSpan w:val="10"/>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8, 2018</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Corporation, the lenders party thereto, JPMorgan Chase Bank, N.A., as administrative</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agent and as collateral agent.</w:t>
              </w:r>
            </w:hyperlink>
          </w:p>
        </w:tc>
        <w:tc>
          <w:tcPr>
            <w:tcW w:w="420" w:type="dxa"/>
            <w:vAlign w:val="bottom"/>
            <w:tcBorders>
              <w:right w:val="single" w:sz="8" w:color="auto"/>
            </w:tcBorders>
            <w:gridSpan w:val="11"/>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10.1.8</w:t>
            </w:r>
          </w:p>
        </w:tc>
        <w:tc>
          <w:tcPr>
            <w:tcW w:w="596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Amendment No. 8 to the Credit Agreement, dated February 26, 2020, to the Credit</w:t>
              </w:r>
            </w:hyperlink>
          </w:p>
        </w:tc>
        <w:tc>
          <w:tcPr>
            <w:tcW w:w="640" w:type="dxa"/>
            <w:vAlign w:val="bottom"/>
            <w:tcBorders>
              <w:right w:val="single" w:sz="8" w:color="auto"/>
            </w:tcBorders>
            <w:gridSpan w:val="16"/>
          </w:tcPr>
          <w:p>
            <w:pPr>
              <w:spacing w:after="0"/>
              <w:rPr>
                <w:sz w:val="14"/>
                <w:szCs w:val="14"/>
                <w:color w:val="auto"/>
              </w:rPr>
            </w:pPr>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March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Agreement, dated February 24, 2011, by and among Burlington Coat Factory Warehouse</w:t>
              </w:r>
            </w:hyperlink>
          </w:p>
        </w:tc>
        <w:tc>
          <w:tcPr>
            <w:tcW w:w="200" w:type="dxa"/>
            <w:vAlign w:val="bottom"/>
            <w:tcBorders>
              <w:right w:val="single" w:sz="8" w:color="auto"/>
            </w:tcBorders>
            <w:gridSpan w:val="7"/>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2020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Corporation, the lenders party thereto, JPMorgan Chase Bank, N.A., as administrative</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agent and as collateral agent.</w:t>
              </w:r>
            </w:hyperlink>
          </w:p>
        </w:tc>
        <w:tc>
          <w:tcPr>
            <w:tcW w:w="420" w:type="dxa"/>
            <w:vAlign w:val="bottom"/>
            <w:tcBorders>
              <w:right w:val="single" w:sz="8" w:color="auto"/>
            </w:tcBorders>
            <w:gridSpan w:val="11"/>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w:t>
            </w:r>
          </w:p>
        </w:tc>
        <w:tc>
          <w:tcPr>
            <w:tcW w:w="6600" w:type="dxa"/>
            <w:vAlign w:val="bottom"/>
            <w:tcBorders>
              <w:right w:val="single" w:sz="8" w:color="auto"/>
            </w:tcBorders>
            <w:gridSpan w:val="24"/>
          </w:tcPr>
          <w:p>
            <w:pPr>
              <w:spacing w:after="0" w:line="169"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Second Amended and Restated Credit Agreement, dated September 2, 2011, among</w:t>
              </w:r>
            </w:hyperlink>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Burlington Coat Factory Warehouse Corporation, as lead borrower, the borrowers named</w:t>
              </w:r>
            </w:hyperlink>
          </w:p>
        </w:tc>
        <w:tc>
          <w:tcPr>
            <w:tcW w:w="180" w:type="dxa"/>
            <w:vAlign w:val="bottom"/>
            <w:tcBorders>
              <w:right w:val="single" w:sz="8" w:color="auto"/>
            </w:tcBorders>
            <w:gridSpan w:val="6"/>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9, 2011</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therein and the facility guarantors party thereto, Bank of America, N.A., as administrative</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agent and as collateral agent, Wells Fargo Capital Finance, LLC and JPMorgan Chase</w:t>
              </w:r>
            </w:hyperlink>
          </w:p>
        </w:tc>
        <w:tc>
          <w:tcPr>
            <w:tcW w:w="140" w:type="dxa"/>
            <w:vAlign w:val="bottom"/>
            <w:tcBorders>
              <w:right w:val="single" w:sz="8" w:color="auto"/>
            </w:tcBorders>
            <w:gridSpan w:val="4"/>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Bank, N.A., as co-syndication agents, and Suntrust Bank and U.S. Bank, National</w:t>
              </w:r>
            </w:hyperlink>
          </w:p>
        </w:tc>
        <w:tc>
          <w:tcPr>
            <w:tcW w:w="440" w:type="dxa"/>
            <w:vAlign w:val="bottom"/>
            <w:tcBorders>
              <w:right w:val="single" w:sz="8" w:color="auto"/>
            </w:tcBorders>
            <w:gridSpan w:val="12"/>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5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Association, as co-documentation agents, the lenders named therein, Merrill Lynch, Pierce,</w:t>
              </w:r>
            </w:hyperlink>
          </w:p>
        </w:tc>
        <w:tc>
          <w:tcPr>
            <w:tcW w:w="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Fenner &amp; Smith Incorporated and Wells Fargo Capital Finance, LLC, as joint lead</w:t>
              </w:r>
            </w:hyperlink>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arrangers, and Merrill Lynch, Pierce, Fenner &amp; Smith Incorporated and Wells Fargo</w:t>
              </w:r>
            </w:hyperlink>
          </w:p>
        </w:tc>
        <w:tc>
          <w:tcPr>
            <w:tcW w:w="540" w:type="dxa"/>
            <w:vAlign w:val="bottom"/>
            <w:tcBorders>
              <w:right w:val="single" w:sz="8" w:color="auto"/>
            </w:tcBorders>
            <w:gridSpan w:val="13"/>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Capital Finance, LLC, as joint bookrunners.</w:t>
              </w:r>
            </w:hyperlink>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10.2.1</w:t>
            </w:r>
          </w:p>
        </w:tc>
        <w:tc>
          <w:tcPr>
            <w:tcW w:w="6600" w:type="dxa"/>
            <w:vAlign w:val="bottom"/>
            <w:tcBorders>
              <w:right w:val="single" w:sz="8" w:color="auto"/>
            </w:tcBorders>
            <w:gridSpan w:val="24"/>
          </w:tcPr>
          <w:p>
            <w:pPr>
              <w:spacing w:after="0" w:line="169"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First Amendment to Second Amended and Restated Credit Agreement, dated August 13,</w:t>
              </w:r>
            </w:hyperlink>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38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2014, by and among Burlington Coat Factory Warehouse Corporation, as lead borrower,</w:t>
              </w:r>
            </w:hyperlink>
          </w:p>
        </w:tc>
        <w:tc>
          <w:tcPr>
            <w:tcW w:w="220" w:type="dxa"/>
            <w:vAlign w:val="bottom"/>
            <w:tcBorders>
              <w:right w:val="single" w:sz="8" w:color="auto"/>
            </w:tcBorders>
            <w:gridSpan w:val="8"/>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18, 2014</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120" w:type="dxa"/>
            <w:vAlign w:val="bottom"/>
            <w:gridSpan w:val="11"/>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the other borrowers party thereto, the facility guarantors thereto, the lenders party thereto</w:t>
              </w:r>
            </w:hyperlink>
          </w:p>
        </w:tc>
        <w:tc>
          <w:tcPr>
            <w:tcW w:w="180" w:type="dxa"/>
            <w:vAlign w:val="bottom"/>
            <w:tcBorders>
              <w:right w:val="single" w:sz="8" w:color="auto"/>
            </w:tcBorders>
            <w:gridSpan w:val="6"/>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and Bank of America, N.A., as administrative agent and collateral agent.</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060" w:type="dxa"/>
            <w:vAlign w:val="bottom"/>
            <w:tcBorders>
              <w:top w:val="single" w:sz="8" w:color="0000EE"/>
              <w:bottom w:val="single" w:sz="8" w:color="auto"/>
            </w:tcBorders>
          </w:tcPr>
          <w:p>
            <w:pPr>
              <w:spacing w:after="0"/>
              <w:rPr>
                <w:sz w:val="20"/>
                <w:szCs w:val="20"/>
                <w:color w:val="auto"/>
              </w:rPr>
            </w:pPr>
          </w:p>
        </w:tc>
        <w:tc>
          <w:tcPr>
            <w:tcW w:w="2060" w:type="dxa"/>
            <w:vAlign w:val="bottom"/>
            <w:tcBorders>
              <w:top w:val="single" w:sz="8" w:color="0000EE"/>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10.2.2</w:t>
            </w:r>
          </w:p>
        </w:tc>
        <w:tc>
          <w:tcPr>
            <w:tcW w:w="6400" w:type="dxa"/>
            <w:vAlign w:val="bottom"/>
            <w:tcBorders>
              <w:bottom w:val="single" w:sz="8" w:color="0000EE"/>
            </w:tcBorders>
            <w:gridSpan w:val="17"/>
          </w:tcPr>
          <w:p>
            <w:pPr>
              <w:spacing w:after="0" w:line="169"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Second Amendment to Second Amended and Restated Credit Agreement, dated June 29,</w:t>
              </w:r>
            </w:hyperlink>
          </w:p>
        </w:tc>
        <w:tc>
          <w:tcPr>
            <w:tcW w:w="200" w:type="dxa"/>
            <w:vAlign w:val="bottom"/>
            <w:tcBorders>
              <w:right w:val="single" w:sz="8" w:color="auto"/>
            </w:tcBorders>
            <w:gridSpan w:val="7"/>
          </w:tcPr>
          <w:p>
            <w:pPr>
              <w:spacing w:after="0"/>
              <w:rPr>
                <w:sz w:val="14"/>
                <w:szCs w:val="14"/>
                <w:color w:val="auto"/>
              </w:rPr>
            </w:pPr>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July 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2018, by and among Burlington Coat Factory Warehouse Corporation, as lead borrower,</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2018</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240" w:type="dxa"/>
            <w:vAlign w:val="bottom"/>
            <w:gridSpan w:val="1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the other borrowers party thereto, the facility guarantors thereto, the lenders party thereto</w:t>
              </w:r>
            </w:hyperlink>
          </w:p>
        </w:tc>
        <w:tc>
          <w:tcPr>
            <w:tcW w:w="180" w:type="dxa"/>
            <w:vAlign w:val="bottom"/>
            <w:tcBorders>
              <w:right w:val="single" w:sz="8" w:color="auto"/>
            </w:tcBorders>
            <w:gridSpan w:val="6"/>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and Bank of America, N.A., as administrative agent and collateral agent.</w:t>
              </w:r>
            </w:hyperlink>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060" w:type="dxa"/>
            <w:vAlign w:val="bottom"/>
            <w:tcBorders>
              <w:top w:val="single" w:sz="8" w:color="0000EE"/>
              <w:bottom w:val="single" w:sz="8" w:color="auto"/>
            </w:tcBorders>
          </w:tcPr>
          <w:p>
            <w:pPr>
              <w:spacing w:after="0"/>
              <w:rPr>
                <w:sz w:val="20"/>
                <w:szCs w:val="20"/>
                <w:color w:val="auto"/>
              </w:rPr>
            </w:pPr>
          </w:p>
        </w:tc>
        <w:tc>
          <w:tcPr>
            <w:tcW w:w="2060" w:type="dxa"/>
            <w:vAlign w:val="bottom"/>
            <w:tcBorders>
              <w:top w:val="single" w:sz="8" w:color="0000EE"/>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10.2.3</w:t>
            </w:r>
          </w:p>
        </w:tc>
        <w:tc>
          <w:tcPr>
            <w:tcW w:w="6600" w:type="dxa"/>
            <w:vAlign w:val="bottom"/>
            <w:tcBorders>
              <w:right w:val="single" w:sz="8" w:color="auto"/>
            </w:tcBorders>
            <w:gridSpan w:val="24"/>
          </w:tcPr>
          <w:p>
            <w:pPr>
              <w:spacing w:after="0" w:line="169"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Consent and Technical Modification Agreement, dated December 3, 2018, by and between</w:t>
              </w:r>
            </w:hyperlink>
          </w:p>
        </w:tc>
        <w:tc>
          <w:tcPr>
            <w:tcW w:w="5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2"/>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20,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52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Burlington Coat Factory Warehouse Corporation, as lead borrower, and Bank of America,</w:t>
              </w:r>
            </w:hyperlink>
          </w:p>
        </w:tc>
        <w:tc>
          <w:tcPr>
            <w:tcW w:w="80" w:type="dxa"/>
            <w:vAlign w:val="bottom"/>
            <w:tcBorders>
              <w:right w:val="single" w:sz="8" w:color="auto"/>
            </w:tcBorders>
            <w:gridSpan w:val="3"/>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6"/>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N.A., as administrative agent</w:t>
              </w:r>
            </w:hyperlink>
          </w:p>
        </w:tc>
        <w:tc>
          <w:tcPr>
            <w:tcW w:w="140" w:type="dxa"/>
            <w:vAlign w:val="bottom"/>
            <w:tcBorders>
              <w:right w:val="single" w:sz="8" w:color="auto"/>
            </w:tcBorders>
            <w:gridSpan w:val="4"/>
          </w:tcPr>
          <w:p>
            <w:pPr>
              <w:spacing w:after="0"/>
              <w:rPr>
                <w:sz w:val="17"/>
                <w:szCs w:val="17"/>
                <w:color w:val="auto"/>
              </w:rPr>
            </w:pPr>
          </w:p>
        </w:tc>
        <w:tc>
          <w:tcPr>
            <w:tcW w:w="5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w:t>
            </w:r>
          </w:p>
        </w:tc>
        <w:tc>
          <w:tcPr>
            <w:tcW w:w="8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20" w:type="dxa"/>
            <w:vAlign w:val="bottom"/>
            <w:gridSpan w:val="4"/>
          </w:tcPr>
          <w:p>
            <w:pPr>
              <w:ind w:left="354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80" w:type="dxa"/>
            <w:vAlign w:val="bottom"/>
            <w:tcBorders>
              <w:bottom w:val="single" w:sz="8" w:color="auto"/>
              <w:right w:val="single" w:sz="8" w:color="auto"/>
            </w:tcBorders>
            <w:gridSpan w:val="27"/>
          </w:tcPr>
          <w:p>
            <w:pPr>
              <w:ind w:left="58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Form</w:t>
            </w:r>
          </w:p>
        </w:tc>
        <w:tc>
          <w:tcPr>
            <w:tcW w:w="7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of PNC Bank, National Association.</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of Siemens Financial Services, Inc.</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w:t>
            </w:r>
          </w:p>
        </w:tc>
        <w:tc>
          <w:tcPr>
            <w:tcW w:w="5640" w:type="dxa"/>
            <w:vAlign w:val="bottom"/>
            <w:tcBorders>
              <w:bottom w:val="single" w:sz="8" w:color="0000EE"/>
            </w:tcBorders>
            <w:gridSpan w:val="18"/>
          </w:tcPr>
          <w:p>
            <w:pPr>
              <w:spacing w:after="0" w:line="169"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Amended and Restated Revolving Credit Note, dated January 15, 2010, by the</w:t>
              </w:r>
            </w:hyperlink>
          </w:p>
        </w:tc>
        <w:tc>
          <w:tcPr>
            <w:tcW w:w="640" w:type="dxa"/>
            <w:vAlign w:val="bottom"/>
            <w:tcBorders>
              <w:right w:val="single" w:sz="8" w:color="auto"/>
            </w:tcBorders>
            <w:gridSpan w:val="15"/>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Transition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borrowers party thereto in favor of Wells Fargo Retail Finance, LLC.</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K/T</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10.6</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47">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of National City Business Credit, Inc.</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10.7</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of Citizens Bank of Pennsylvania.</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10.8</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of HSBC Business Credit (USA), Inc.</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10.9</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Revolving Credit Note, dated April 13, 2006, by the borrowers party thereto in favor</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of Sovereign Bank.</w:t>
              </w:r>
            </w:hyperlink>
          </w:p>
        </w:tc>
        <w:tc>
          <w:tcPr>
            <w:tcW w:w="20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10.10</w:t>
            </w:r>
          </w:p>
        </w:tc>
        <w:tc>
          <w:tcPr>
            <w:tcW w:w="5640" w:type="dxa"/>
            <w:vAlign w:val="bottom"/>
            <w:tcBorders>
              <w:bottom w:val="single" w:sz="8" w:color="0000EE"/>
            </w:tcBorders>
            <w:gridSpan w:val="18"/>
          </w:tcPr>
          <w:p>
            <w:pPr>
              <w:spacing w:after="0" w:line="169"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Amended and Restated Revolving Credit Note, dated January 15, 2010, by the</w:t>
              </w:r>
            </w:hyperlink>
          </w:p>
        </w:tc>
        <w:tc>
          <w:tcPr>
            <w:tcW w:w="640" w:type="dxa"/>
            <w:vAlign w:val="bottom"/>
            <w:tcBorders>
              <w:right w:val="single" w:sz="8" w:color="auto"/>
            </w:tcBorders>
            <w:gridSpan w:val="15"/>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Transition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borrowers party thereto in favor of Capital One Leverage Finance Corp.</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K/T</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10.11</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rPr>
            </w:pPr>
            <w:hyperlink r:id="rId152">
              <w:r>
                <w:rPr>
                  <w:rFonts w:ascii="Arial" w:cs="Arial" w:eastAsia="Arial" w:hAnsi="Arial"/>
                  <w:sz w:val="18"/>
                  <w:szCs w:val="18"/>
                  <w:color w:val="0000EE"/>
                </w:rPr>
                <w:t>Form of Swingline Note.</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Guaranty, dated April 13, 2006, by the facility guarantors party thereto in favor of</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7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Bank of America, N.A., as administrative Agent and Bank of America, N.A., as</w:t>
              </w:r>
            </w:hyperlink>
          </w:p>
        </w:tc>
        <w:tc>
          <w:tcPr>
            <w:tcW w:w="140" w:type="dxa"/>
            <w:vAlign w:val="bottom"/>
            <w:tcBorders>
              <w:top w:val="single" w:sz="8" w:color="0000EE"/>
            </w:tcBorders>
          </w:tcPr>
          <w:p>
            <w:pPr>
              <w:spacing w:after="0"/>
              <w:rPr>
                <w:sz w:val="17"/>
                <w:szCs w:val="17"/>
                <w:color w:val="auto"/>
              </w:rPr>
            </w:pPr>
          </w:p>
        </w:tc>
        <w:tc>
          <w:tcPr>
            <w:tcW w:w="400" w:type="dxa"/>
            <w:vAlign w:val="bottom"/>
            <w:tcBorders>
              <w:right w:val="single" w:sz="8" w:color="auto"/>
            </w:tcBorders>
            <w:gridSpan w:val="12"/>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Collateral 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5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10.13</w:t>
            </w:r>
          </w:p>
        </w:tc>
        <w:tc>
          <w:tcPr>
            <w:tcW w:w="6160" w:type="dxa"/>
            <w:vAlign w:val="bottom"/>
            <w:tcBorders>
              <w:bottom w:val="single" w:sz="8" w:color="0000EE"/>
            </w:tcBorders>
            <w:gridSpan w:val="31"/>
          </w:tcPr>
          <w:p>
            <w:pPr>
              <w:spacing w:after="0" w:line="169"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Security Agreement, dated April 13, 2006, by and among each of the borrowers party</w:t>
              </w:r>
            </w:hyperlink>
          </w:p>
        </w:tc>
        <w:tc>
          <w:tcPr>
            <w:tcW w:w="120" w:type="dxa"/>
            <w:vAlign w:val="bottom"/>
            <w:tcBorders>
              <w:right w:val="single" w:sz="8" w:color="auto"/>
            </w:tcBorders>
            <w:gridSpan w:val="2"/>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thereto, each of the facility guarantors party thereto, and Bank of America, N.A., as</w:t>
              </w:r>
            </w:hyperlink>
          </w:p>
        </w:tc>
        <w:tc>
          <w:tcPr>
            <w:tcW w:w="260" w:type="dxa"/>
            <w:vAlign w:val="bottom"/>
            <w:tcBorders>
              <w:right w:val="single" w:sz="8" w:color="auto"/>
            </w:tcBorders>
            <w:gridSpan w:val="7"/>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collateral 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52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10.14</w:t>
            </w:r>
          </w:p>
        </w:tc>
        <w:tc>
          <w:tcPr>
            <w:tcW w:w="6220" w:type="dxa"/>
            <w:vAlign w:val="bottom"/>
            <w:tcBorders>
              <w:bottom w:val="single" w:sz="8" w:color="0000EE"/>
            </w:tcBorders>
            <w:gridSpan w:val="32"/>
          </w:tcPr>
          <w:p>
            <w:pPr>
              <w:spacing w:after="0" w:line="169"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Intellectual Property Security Agreement, dated April 13, 2006, by and among each of</w:t>
              </w:r>
            </w:hyperlink>
          </w:p>
        </w:tc>
        <w:tc>
          <w:tcPr>
            <w:tcW w:w="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the borrowers party thereto, each of the facility guarantors party thereto, and Bank of</w:t>
              </w:r>
            </w:hyperlink>
          </w:p>
        </w:tc>
        <w:tc>
          <w:tcPr>
            <w:tcW w:w="160" w:type="dxa"/>
            <w:vAlign w:val="bottom"/>
            <w:tcBorders>
              <w:right w:val="single" w:sz="8" w:color="auto"/>
            </w:tcBorders>
            <w:gridSpan w:val="4"/>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America, N.A., as collateral 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5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6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10.15</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Pledge Agreement, dated April 13, 2006, by and between Burlington Coat Factory</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Registration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Holdings, Inc., Burlington Coat Factory Investments Holdings, Inc., Burlington Coat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Factory Warehouse Corporation, Burlington Coat Factory Realty Corp., Burlington</w:t>
              </w:r>
            </w:hyperlink>
          </w:p>
        </w:tc>
        <w:tc>
          <w:tcPr>
            <w:tcW w:w="100" w:type="dxa"/>
            <w:vAlign w:val="bottom"/>
            <w:tcBorders>
              <w:top w:val="single" w:sz="8" w:color="0000EE"/>
            </w:tcBorders>
            <w:gridSpan w:val="3"/>
          </w:tcPr>
          <w:p>
            <w:pPr>
              <w:spacing w:after="0"/>
              <w:rPr>
                <w:sz w:val="17"/>
                <w:szCs w:val="17"/>
                <w:color w:val="auto"/>
              </w:rPr>
            </w:pPr>
          </w:p>
        </w:tc>
        <w:tc>
          <w:tcPr>
            <w:tcW w:w="180" w:type="dxa"/>
            <w:vAlign w:val="bottom"/>
            <w:tcBorders>
              <w:right w:val="single" w:sz="8" w:color="auto"/>
            </w:tcBorders>
            <w:gridSpan w:val="5"/>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Coat Factory Purchasing, Inc., K&amp;T Acquisition Corp., Burlington Coat Factory of</w:t>
              </w:r>
            </w:hyperlink>
          </w:p>
        </w:tc>
        <w:tc>
          <w:tcPr>
            <w:tcW w:w="280" w:type="dxa"/>
            <w:vAlign w:val="bottom"/>
            <w:tcBorders>
              <w:right w:val="single" w:sz="8" w:color="auto"/>
            </w:tcBorders>
            <w:gridSpan w:val="8"/>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4</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New York, LLC, Burlington Coat Factory Warehouse of Baytown, Inc., Burlington</w:t>
              </w:r>
            </w:hyperlink>
          </w:p>
        </w:tc>
        <w:tc>
          <w:tcPr>
            <w:tcW w:w="300" w:type="dxa"/>
            <w:vAlign w:val="bottom"/>
            <w:tcBorders>
              <w:right w:val="single" w:sz="8" w:color="auto"/>
            </w:tcBorders>
            <w:gridSpan w:val="9"/>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Coat Factory of Texas, Inc., as the pledgors, and Bank of America, N.A., as collateral</w:t>
              </w:r>
            </w:hyperlink>
          </w:p>
        </w:tc>
        <w:tc>
          <w:tcPr>
            <w:tcW w:w="9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agent.</w:t>
              </w:r>
            </w:hyperlink>
          </w:p>
        </w:tc>
        <w:tc>
          <w:tcPr>
            <w:tcW w:w="140" w:type="dxa"/>
            <w:vAlign w:val="bottom"/>
            <w:tcBorders>
              <w:right w:val="single" w:sz="8" w:color="auto"/>
            </w:tcBorders>
            <w:gridSpan w:val="3"/>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10.16+</w:t>
            </w:r>
          </w:p>
        </w:tc>
        <w:tc>
          <w:tcPr>
            <w:tcW w:w="5980" w:type="dxa"/>
            <w:vAlign w:val="bottom"/>
            <w:tcBorders>
              <w:bottom w:val="single" w:sz="8" w:color="0000EE"/>
            </w:tcBorders>
            <w:gridSpan w:val="24"/>
          </w:tcPr>
          <w:p>
            <w:pPr>
              <w:spacing w:after="0" w:line="169"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Employment Agreement, dated October 13, 2009, by and between Burlington Coat</w:t>
              </w:r>
            </w:hyperlink>
          </w:p>
        </w:tc>
        <w:tc>
          <w:tcPr>
            <w:tcW w:w="300" w:type="dxa"/>
            <w:vAlign w:val="bottom"/>
            <w:tcBorders>
              <w:right w:val="single" w:sz="8" w:color="auto"/>
            </w:tcBorders>
            <w:gridSpan w:val="9"/>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Transition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Factory Warehouse Corporation and Joyce Manning Magrini.</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K/T</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10.16.1+</w:t>
            </w:r>
          </w:p>
        </w:tc>
        <w:tc>
          <w:tcPr>
            <w:tcW w:w="5960" w:type="dxa"/>
            <w:vAlign w:val="bottom"/>
            <w:tcBorders>
              <w:bottom w:val="single" w:sz="8" w:color="0000EE"/>
            </w:tcBorders>
            <w:gridSpan w:val="23"/>
          </w:tcPr>
          <w:p>
            <w:pPr>
              <w:spacing w:after="0" w:line="169"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Amendment to Employment Agreement, dated February 26, 2010, by and between</w:t>
              </w:r>
            </w:hyperlink>
          </w:p>
        </w:tc>
        <w:tc>
          <w:tcPr>
            <w:tcW w:w="320" w:type="dxa"/>
            <w:vAlign w:val="bottom"/>
            <w:tcBorders>
              <w:right w:val="single" w:sz="8" w:color="auto"/>
            </w:tcBorders>
            <w:gridSpan w:val="10"/>
          </w:tcPr>
          <w:p>
            <w:pPr>
              <w:spacing w:after="0"/>
              <w:rPr>
                <w:sz w:val="14"/>
                <w:szCs w:val="14"/>
                <w:color w:val="auto"/>
              </w:rPr>
            </w:pPr>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Transition</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Burlington Coat Factory Warehouse Corporation and Joyce Manning Magrini.</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K/T</w:t>
            </w:r>
          </w:p>
        </w:tc>
        <w:tc>
          <w:tcPr>
            <w:tcW w:w="76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10.16.2+</w:t>
            </w:r>
          </w:p>
        </w:tc>
        <w:tc>
          <w:tcPr>
            <w:tcW w:w="6280" w:type="dxa"/>
            <w:vAlign w:val="bottom"/>
            <w:tcBorders>
              <w:right w:val="single" w:sz="8" w:color="auto"/>
            </w:tcBorders>
            <w:gridSpan w:val="33"/>
          </w:tcPr>
          <w:p>
            <w:pPr>
              <w:spacing w:after="0" w:line="169"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Amendment No. 2 to Employment Agreement, dated October 18, 2012, by and</w:t>
              </w:r>
            </w:hyperlink>
          </w:p>
        </w:tc>
        <w:tc>
          <w:tcPr>
            <w:tcW w:w="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December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8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between Burlington Coat Factory Warehouse Corporation and Joyce Manning</w:t>
              </w:r>
            </w:hyperlink>
          </w:p>
        </w:tc>
        <w:tc>
          <w:tcPr>
            <w:tcW w:w="600" w:type="dxa"/>
            <w:vAlign w:val="bottom"/>
            <w:tcBorders>
              <w:right w:val="single" w:sz="8" w:color="auto"/>
            </w:tcBorders>
            <w:gridSpan w:val="14"/>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11, 2012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Magrini.</w:t>
              </w:r>
            </w:hyperlink>
          </w:p>
        </w:tc>
        <w:tc>
          <w:tcPr>
            <w:tcW w:w="680" w:type="dxa"/>
            <w:vAlign w:val="bottom"/>
            <w:tcBorders>
              <w:right w:val="single" w:sz="8" w:color="auto"/>
            </w:tcBorders>
            <w:gridSpan w:val="17"/>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7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20" w:type="dxa"/>
            <w:vAlign w:val="bottom"/>
            <w:gridSpan w:val="13"/>
          </w:tcPr>
          <w:p>
            <w:pPr>
              <w:ind w:left="3540"/>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1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21"/>
          </w:tcPr>
          <w:p>
            <w:pPr>
              <w:ind w:left="380"/>
              <w:spacing w:after="0"/>
              <w:rPr>
                <w:sz w:val="20"/>
                <w:szCs w:val="20"/>
                <w:color w:val="auto"/>
              </w:rPr>
            </w:pPr>
            <w:r>
              <w:rPr>
                <w:rFonts w:ascii="Arial" w:cs="Arial" w:eastAsia="Arial" w:hAnsi="Arial"/>
                <w:sz w:val="18"/>
                <w:szCs w:val="18"/>
                <w:b w:val="1"/>
                <w:bCs w:val="1"/>
                <w:color w:val="auto"/>
              </w:rPr>
              <w:t>Exhibit Description</w:t>
            </w:r>
          </w:p>
        </w:tc>
        <w:tc>
          <w:tcPr>
            <w:tcW w:w="10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Form</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10.17+</w:t>
            </w:r>
          </w:p>
        </w:tc>
        <w:tc>
          <w:tcPr>
            <w:tcW w:w="5940" w:type="dxa"/>
            <w:vAlign w:val="bottom"/>
            <w:tcBorders>
              <w:bottom w:val="single" w:sz="8" w:color="0000EE"/>
            </w:tcBorders>
            <w:gridSpan w:val="19"/>
          </w:tcPr>
          <w:p>
            <w:pPr>
              <w:spacing w:after="0" w:line="169"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Employment Agreement, dated December 2, 2008, by and among Burlington Coat</w:t>
              </w:r>
            </w:hyperlink>
          </w:p>
        </w:tc>
        <w:tc>
          <w:tcPr>
            <w:tcW w:w="140" w:type="dxa"/>
            <w:vAlign w:val="bottom"/>
            <w:tcBorders>
              <w:right w:val="single" w:sz="8" w:color="auto"/>
            </w:tcBorders>
            <w:gridSpan w:val="4"/>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14,</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Factory Warehouse Corporation, Burlington Coat Factory Holdings, Inc., and</w:t>
              </w:r>
            </w:hyperlink>
          </w:p>
        </w:tc>
        <w:tc>
          <w:tcPr>
            <w:tcW w:w="500" w:type="dxa"/>
            <w:vAlign w:val="bottom"/>
            <w:tcBorders>
              <w:right w:val="single" w:sz="8" w:color="auto"/>
            </w:tcBorders>
            <w:gridSpan w:val="13"/>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Thomas Kingsbury.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10.17.1+</w:t>
            </w:r>
          </w:p>
        </w:tc>
        <w:tc>
          <w:tcPr>
            <w:tcW w:w="5700" w:type="dxa"/>
            <w:vAlign w:val="bottom"/>
            <w:tcBorders>
              <w:bottom w:val="single" w:sz="8" w:color="0000EE"/>
            </w:tcBorders>
            <w:gridSpan w:val="14"/>
          </w:tcPr>
          <w:p>
            <w:pPr>
              <w:spacing w:after="0" w:line="169"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Amendment No. 1 to Employment Agreement, dated October 23, 2012, by and</w:t>
              </w:r>
            </w:hyperlink>
          </w:p>
        </w:tc>
        <w:tc>
          <w:tcPr>
            <w:tcW w:w="380" w:type="dxa"/>
            <w:vAlign w:val="bottom"/>
            <w:tcBorders>
              <w:right w:val="single" w:sz="8" w:color="auto"/>
            </w:tcBorders>
            <w:gridSpan w:val="9"/>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December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among Burlington Coat Factory Warehouse Corporation, Burlington Coat Factory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11, 2012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Holdings, Inc., and Thomas Kingsbury.</w:t>
              </w:r>
            </w:hyperlink>
          </w:p>
        </w:tc>
        <w:tc>
          <w:tcPr>
            <w:tcW w:w="200" w:type="dxa"/>
            <w:vAlign w:val="bottom"/>
            <w:tcBorders>
              <w:right w:val="single" w:sz="8" w:color="auto"/>
            </w:tcBorders>
            <w:gridSpan w:val="5"/>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10.17.2+</w:t>
            </w:r>
          </w:p>
        </w:tc>
        <w:tc>
          <w:tcPr>
            <w:tcW w:w="5760" w:type="dxa"/>
            <w:vAlign w:val="bottom"/>
            <w:tcBorders>
              <w:bottom w:val="single" w:sz="8" w:color="0000EE"/>
            </w:tcBorders>
            <w:gridSpan w:val="16"/>
          </w:tcPr>
          <w:p>
            <w:pPr>
              <w:spacing w:after="0" w:line="169"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Amendment No. 2 to Employment Agreement, dated December 8, 2014, by and</w:t>
              </w:r>
            </w:hyperlink>
          </w:p>
        </w:tc>
        <w:tc>
          <w:tcPr>
            <w:tcW w:w="320" w:type="dxa"/>
            <w:vAlign w:val="bottom"/>
            <w:tcBorders>
              <w:right w:val="single" w:sz="8" w:color="auto"/>
            </w:tcBorders>
            <w:gridSpan w:val="7"/>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December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among Burlington Coat Factory Warehouse Corporation, Burlington Coat Factory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9, 2014</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Holdings, LLC, Burlington Stores, Inc. and Thomas Kingsbury.</w:t>
              </w:r>
            </w:hyperlink>
          </w:p>
        </w:tc>
        <w:tc>
          <w:tcPr>
            <w:tcW w:w="200" w:type="dxa"/>
            <w:vAlign w:val="bottom"/>
            <w:tcBorders>
              <w:right w:val="single" w:sz="8" w:color="auto"/>
            </w:tcBorders>
            <w:gridSpan w:val="5"/>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10.17.3+</w:t>
            </w:r>
          </w:p>
        </w:tc>
        <w:tc>
          <w:tcPr>
            <w:tcW w:w="5980" w:type="dxa"/>
            <w:vAlign w:val="bottom"/>
            <w:tcBorders>
              <w:bottom w:val="single" w:sz="8" w:color="0000EE"/>
            </w:tcBorders>
            <w:gridSpan w:val="21"/>
          </w:tcPr>
          <w:p>
            <w:pPr>
              <w:spacing w:after="0" w:line="169"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Amendment No. 3 to Employment Agreement, dated May 18, 2015, by and among</w:t>
              </w:r>
            </w:hyperlink>
          </w:p>
        </w:tc>
        <w:tc>
          <w:tcPr>
            <w:tcW w:w="100" w:type="dxa"/>
            <w:vAlign w:val="bottom"/>
            <w:tcBorders>
              <w:right w:val="single" w:sz="8" w:color="auto"/>
            </w:tcBorders>
            <w:gridSpan w:val="2"/>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Burlington Coat Factory Warehouse Corporation, Burlington Coat Factory</w:t>
              </w:r>
            </w:hyperlink>
          </w:p>
        </w:tc>
        <w:tc>
          <w:tcPr>
            <w:tcW w:w="720" w:type="dxa"/>
            <w:vAlign w:val="bottom"/>
            <w:tcBorders>
              <w:right w:val="single" w:sz="8" w:color="auto"/>
            </w:tcBorders>
            <w:gridSpan w:val="15"/>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31, 2015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Holdings, LLC, Burlington Stores, Inc. and Thomas Kingsbury.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10.17.4+</w:t>
            </w:r>
          </w:p>
        </w:tc>
        <w:tc>
          <w:tcPr>
            <w:tcW w:w="5980" w:type="dxa"/>
            <w:vAlign w:val="bottom"/>
            <w:tcBorders>
              <w:bottom w:val="single" w:sz="8" w:color="0000EE"/>
            </w:tcBorders>
            <w:gridSpan w:val="21"/>
          </w:tcPr>
          <w:p>
            <w:pPr>
              <w:spacing w:after="0" w:line="169"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Amendment No. 4 to Employment Agreement, dated May 29, 2015, by and among</w:t>
              </w:r>
            </w:hyperlink>
          </w:p>
        </w:tc>
        <w:tc>
          <w:tcPr>
            <w:tcW w:w="100" w:type="dxa"/>
            <w:vAlign w:val="bottom"/>
            <w:tcBorders>
              <w:right w:val="single" w:sz="8" w:color="auto"/>
            </w:tcBorders>
            <w:gridSpan w:val="2"/>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June 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Burlington Coat Factory Warehouse Corporation, Burlington Coat Factory</w:t>
              </w:r>
            </w:hyperlink>
          </w:p>
        </w:tc>
        <w:tc>
          <w:tcPr>
            <w:tcW w:w="720" w:type="dxa"/>
            <w:vAlign w:val="bottom"/>
            <w:tcBorders>
              <w:right w:val="single" w:sz="8" w:color="auto"/>
            </w:tcBorders>
            <w:gridSpan w:val="15"/>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Holdings, LLC, Burlington Stores, Inc. and Thomas Kingsbury.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10.17.5+</w:t>
            </w:r>
          </w:p>
        </w:tc>
        <w:tc>
          <w:tcPr>
            <w:tcW w:w="6080" w:type="dxa"/>
            <w:vAlign w:val="bottom"/>
            <w:tcBorders>
              <w:right w:val="single" w:sz="8" w:color="auto"/>
            </w:tcBorders>
            <w:gridSpan w:val="23"/>
          </w:tcPr>
          <w:p>
            <w:pPr>
              <w:spacing w:after="0" w:line="169"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Amendment No. 5 to Employment Agreement, dated July 7, 2015, by and among</w:t>
              </w:r>
            </w:hyperlink>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July 7,</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Burlington Coat Factory Warehouse Corporation, Burlington Coat Factory</w:t>
              </w:r>
            </w:hyperlink>
          </w:p>
        </w:tc>
        <w:tc>
          <w:tcPr>
            <w:tcW w:w="480" w:type="dxa"/>
            <w:vAlign w:val="bottom"/>
            <w:tcBorders>
              <w:top w:val="single" w:sz="8" w:color="0000EE"/>
            </w:tcBorders>
            <w:gridSpan w:val="9"/>
          </w:tcPr>
          <w:p>
            <w:pPr>
              <w:spacing w:after="0"/>
              <w:rPr>
                <w:sz w:val="17"/>
                <w:szCs w:val="17"/>
                <w:color w:val="auto"/>
              </w:rPr>
            </w:pPr>
          </w:p>
        </w:tc>
        <w:tc>
          <w:tcPr>
            <w:tcW w:w="240" w:type="dxa"/>
            <w:vAlign w:val="bottom"/>
            <w:tcBorders>
              <w:right w:val="single" w:sz="8" w:color="auto"/>
            </w:tcBorders>
            <w:gridSpan w:val="6"/>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Holdings, LLC, Burlington Stores, Inc. and Thomas Kingsbury.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10.17.6+</w:t>
            </w:r>
          </w:p>
        </w:tc>
        <w:tc>
          <w:tcPr>
            <w:tcW w:w="6080" w:type="dxa"/>
            <w:vAlign w:val="bottom"/>
            <w:tcBorders>
              <w:right w:val="single" w:sz="8" w:color="auto"/>
            </w:tcBorders>
            <w:gridSpan w:val="23"/>
          </w:tcPr>
          <w:p>
            <w:pPr>
              <w:spacing w:after="0" w:line="169" w:lineRule="exact"/>
              <w:rPr>
                <w:rFonts w:ascii="Arial" w:cs="Arial" w:eastAsia="Arial" w:hAnsi="Arial"/>
                <w:sz w:val="18"/>
                <w:szCs w:val="18"/>
                <w:color w:val="0000EE"/>
                <w:w w:val="96"/>
              </w:rPr>
            </w:pPr>
            <w:hyperlink r:id="rId168">
              <w:r>
                <w:rPr>
                  <w:rFonts w:ascii="Arial" w:cs="Arial" w:eastAsia="Arial" w:hAnsi="Arial"/>
                  <w:sz w:val="18"/>
                  <w:szCs w:val="18"/>
                  <w:color w:val="0000EE"/>
                  <w:w w:val="96"/>
                </w:rPr>
                <w:t>Amendment No. 6 to Employment Agreement, dated January 20, 2017, by and</w:t>
              </w:r>
            </w:hyperlink>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January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among Burlington Coat Factory Warehouse Corporation, Burlington Coat Factory</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20, 2017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Holdings, LLC, Burlington Stores, Inc. and Thomas Kingsbury.</w:t>
              </w:r>
            </w:hyperlink>
          </w:p>
        </w:tc>
        <w:tc>
          <w:tcPr>
            <w:tcW w:w="200" w:type="dxa"/>
            <w:vAlign w:val="bottom"/>
            <w:tcBorders>
              <w:right w:val="single" w:sz="8" w:color="auto"/>
            </w:tcBorders>
            <w:gridSpan w:val="5"/>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10.17.7+</w:t>
            </w:r>
          </w:p>
        </w:tc>
        <w:tc>
          <w:tcPr>
            <w:tcW w:w="5980" w:type="dxa"/>
            <w:vAlign w:val="bottom"/>
            <w:tcBorders>
              <w:bottom w:val="single" w:sz="8" w:color="0000EE"/>
            </w:tcBorders>
            <w:gridSpan w:val="21"/>
          </w:tcPr>
          <w:p>
            <w:pPr>
              <w:spacing w:after="0" w:line="169"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Chairman Agreement, dated June 14, 2019, by and between Burlington Stores, Inc.</w:t>
              </w:r>
            </w:hyperlink>
          </w:p>
        </w:tc>
        <w:tc>
          <w:tcPr>
            <w:tcW w:w="100" w:type="dxa"/>
            <w:vAlign w:val="bottom"/>
            <w:tcBorders>
              <w:right w:val="single" w:sz="8" w:color="auto"/>
            </w:tcBorders>
            <w:gridSpan w:val="2"/>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June 17,</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and Thomas A. Kingsbury</w:t>
              </w:r>
              <w:r>
                <w:rPr>
                  <w:rFonts w:ascii="Arial" w:cs="Arial" w:eastAsia="Arial" w:hAnsi="Arial"/>
                  <w:sz w:val="18"/>
                  <w:szCs w:val="18"/>
                  <w:color w:val="000000"/>
                </w:rPr>
                <w:t>.</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10.18+</w:t>
            </w:r>
          </w:p>
        </w:tc>
        <w:tc>
          <w:tcPr>
            <w:tcW w:w="5960" w:type="dxa"/>
            <w:vAlign w:val="bottom"/>
            <w:tcBorders>
              <w:bottom w:val="single" w:sz="8" w:color="0000EE"/>
            </w:tcBorders>
            <w:gridSpan w:val="20"/>
          </w:tcPr>
          <w:p>
            <w:pPr>
              <w:spacing w:after="0" w:line="169"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Employment Agreement, dated January 28, 2008, by and between Burlington Coat</w:t>
              </w:r>
            </w:hyperlink>
          </w:p>
        </w:tc>
        <w:tc>
          <w:tcPr>
            <w:tcW w:w="120" w:type="dxa"/>
            <w:vAlign w:val="bottom"/>
            <w:tcBorders>
              <w:right w:val="single" w:sz="8" w:color="auto"/>
            </w:tcBorders>
            <w:gridSpan w:val="3"/>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15,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Factory Warehouse Corporation and Fred Hand.</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2008</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40" w:type="dxa"/>
            <w:vAlign w:val="bottom"/>
            <w:tcBorders>
              <w:top w:val="single" w:sz="8" w:color="0000EE"/>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10-Q</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10.18.1+</w:t>
            </w:r>
          </w:p>
        </w:tc>
        <w:tc>
          <w:tcPr>
            <w:tcW w:w="6080" w:type="dxa"/>
            <w:vAlign w:val="bottom"/>
            <w:tcBorders>
              <w:right w:val="single" w:sz="8" w:color="auto"/>
            </w:tcBorders>
            <w:gridSpan w:val="23"/>
          </w:tcPr>
          <w:p>
            <w:pPr>
              <w:spacing w:after="0" w:line="169"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Amendment No. 1 to Employment Agreement, dated October 31, 2012, by and</w:t>
              </w:r>
            </w:hyperlink>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8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between Burlington Coat Factory Warehouse Corporation and Fred Hand.</w:t>
              </w:r>
            </w:hyperlink>
          </w:p>
        </w:tc>
        <w:tc>
          <w:tcPr>
            <w:tcW w:w="400" w:type="dxa"/>
            <w:vAlign w:val="bottom"/>
            <w:tcBorders>
              <w:right w:val="single" w:sz="8" w:color="auto"/>
            </w:tcBorders>
            <w:gridSpan w:val="10"/>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Statement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40" w:type="dxa"/>
            <w:vAlign w:val="bottom"/>
            <w:tcBorders>
              <w:top w:val="single" w:sz="8" w:color="0000EE"/>
              <w:bottom w:val="single" w:sz="8" w:color="auto"/>
            </w:tcBorders>
          </w:tcPr>
          <w:p>
            <w:pPr>
              <w:spacing w:after="0"/>
              <w:rPr>
                <w:sz w:val="20"/>
                <w:szCs w:val="20"/>
                <w:color w:val="auto"/>
              </w:rPr>
            </w:pPr>
          </w:p>
        </w:tc>
        <w:tc>
          <w:tcPr>
            <w:tcW w:w="1120" w:type="dxa"/>
            <w:vAlign w:val="bottom"/>
            <w:tcBorders>
              <w:top w:val="single" w:sz="8" w:color="0000EE"/>
              <w:bottom w:val="single" w:sz="8" w:color="auto"/>
            </w:tcBorders>
          </w:tcPr>
          <w:p>
            <w:pPr>
              <w:spacing w:after="0"/>
              <w:rPr>
                <w:sz w:val="20"/>
                <w:szCs w:val="20"/>
                <w:color w:val="auto"/>
              </w:rPr>
            </w:pPr>
          </w:p>
        </w:tc>
        <w:tc>
          <w:tcPr>
            <w:tcW w:w="72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S-1/A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10.19+</w:t>
            </w:r>
          </w:p>
        </w:tc>
        <w:tc>
          <w:tcPr>
            <w:tcW w:w="6080" w:type="dxa"/>
            <w:vAlign w:val="bottom"/>
            <w:tcBorders>
              <w:right w:val="single" w:sz="8" w:color="auto"/>
            </w:tcBorders>
            <w:gridSpan w:val="23"/>
          </w:tcPr>
          <w:p>
            <w:pPr>
              <w:spacing w:after="0" w:line="169"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Employment Agreement, dated June 26, 2008, by and between Burlington Coat</w:t>
              </w:r>
            </w:hyperlink>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June 27,</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Factory Warehouse Corporation and Marc Katz.</w:t>
              </w:r>
            </w:hyperlink>
          </w:p>
        </w:tc>
        <w:tc>
          <w:tcPr>
            <w:tcW w:w="360" w:type="dxa"/>
            <w:vAlign w:val="bottom"/>
            <w:tcBorders>
              <w:right w:val="single" w:sz="8" w:color="auto"/>
            </w:tcBorders>
            <w:gridSpan w:val="8"/>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2008</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40" w:type="dxa"/>
            <w:vAlign w:val="bottom"/>
            <w:tcBorders>
              <w:top w:val="single" w:sz="8" w:color="0000EE"/>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10.19.1+</w:t>
            </w:r>
          </w:p>
        </w:tc>
        <w:tc>
          <w:tcPr>
            <w:tcW w:w="6080" w:type="dxa"/>
            <w:vAlign w:val="bottom"/>
            <w:tcBorders>
              <w:right w:val="single" w:sz="8" w:color="auto"/>
            </w:tcBorders>
            <w:gridSpan w:val="23"/>
          </w:tcPr>
          <w:p>
            <w:pPr>
              <w:spacing w:after="0" w:line="169"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Amendment No. 1 to Employment Agreement, dated October 16, 2012, by and</w:t>
              </w:r>
            </w:hyperlink>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8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between Burlington Coat Factory Warehouse Corporation and Marc Katz.</w:t>
              </w:r>
            </w:hyperlink>
          </w:p>
        </w:tc>
        <w:tc>
          <w:tcPr>
            <w:tcW w:w="400" w:type="dxa"/>
            <w:vAlign w:val="bottom"/>
            <w:tcBorders>
              <w:right w:val="single" w:sz="8" w:color="auto"/>
            </w:tcBorders>
            <w:gridSpan w:val="10"/>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Statement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40" w:type="dxa"/>
            <w:vAlign w:val="bottom"/>
            <w:tcBorders>
              <w:top w:val="single" w:sz="8" w:color="0000EE"/>
              <w:bottom w:val="single" w:sz="8" w:color="auto"/>
            </w:tcBorders>
          </w:tcPr>
          <w:p>
            <w:pPr>
              <w:spacing w:after="0"/>
              <w:rPr>
                <w:sz w:val="20"/>
                <w:szCs w:val="20"/>
                <w:color w:val="auto"/>
              </w:rPr>
            </w:pPr>
          </w:p>
        </w:tc>
        <w:tc>
          <w:tcPr>
            <w:tcW w:w="1120" w:type="dxa"/>
            <w:vAlign w:val="bottom"/>
            <w:tcBorders>
              <w:top w:val="single" w:sz="8" w:color="0000EE"/>
              <w:bottom w:val="single" w:sz="8" w:color="auto"/>
            </w:tcBorders>
          </w:tcPr>
          <w:p>
            <w:pPr>
              <w:spacing w:after="0"/>
              <w:rPr>
                <w:sz w:val="20"/>
                <w:szCs w:val="20"/>
                <w:color w:val="auto"/>
              </w:rPr>
            </w:pPr>
          </w:p>
        </w:tc>
        <w:tc>
          <w:tcPr>
            <w:tcW w:w="72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S-1/A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10.20+</w:t>
            </w:r>
          </w:p>
        </w:tc>
        <w:tc>
          <w:tcPr>
            <w:tcW w:w="5560" w:type="dxa"/>
            <w:vAlign w:val="bottom"/>
            <w:tcBorders>
              <w:bottom w:val="single" w:sz="8" w:color="0000EE"/>
            </w:tcBorders>
            <w:gridSpan w:val="9"/>
          </w:tcPr>
          <w:p>
            <w:pPr>
              <w:spacing w:after="0" w:line="169"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Amended and Restated Employment Agreement, dated July 28, 2015, by and</w:t>
              </w:r>
            </w:hyperlink>
          </w:p>
        </w:tc>
        <w:tc>
          <w:tcPr>
            <w:tcW w:w="520" w:type="dxa"/>
            <w:vAlign w:val="bottom"/>
            <w:tcBorders>
              <w:right w:val="single" w:sz="8" w:color="auto"/>
            </w:tcBorders>
            <w:gridSpan w:val="14"/>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w w:val="96"/>
              </w:rPr>
            </w:pPr>
            <w:hyperlink r:id="rId174">
              <w:r>
                <w:rPr>
                  <w:rFonts w:ascii="Arial" w:cs="Arial" w:eastAsia="Arial" w:hAnsi="Arial"/>
                  <w:sz w:val="18"/>
                  <w:szCs w:val="18"/>
                  <w:color w:val="0000EE"/>
                  <w:w w:val="96"/>
                </w:rPr>
                <w:t>among Burlington Coat Factory Warehouse Corporation and Jennifer Vecchio.</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31, 2015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10-Q</w:t>
            </w:r>
          </w:p>
        </w:tc>
        <w:tc>
          <w:tcPr>
            <w:tcW w:w="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7"/>
              </w:rPr>
              <w:t>10.20.1+</w:t>
            </w:r>
          </w:p>
        </w:tc>
        <w:tc>
          <w:tcPr>
            <w:tcW w:w="5600" w:type="dxa"/>
            <w:vAlign w:val="bottom"/>
            <w:tcBorders>
              <w:bottom w:val="single" w:sz="8" w:color="0000EE"/>
            </w:tcBorders>
            <w:gridSpan w:val="11"/>
          </w:tcPr>
          <w:p>
            <w:pPr>
              <w:spacing w:after="0" w:line="169"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Amendment, dated May 19, 2017, to the Amended and Restated Employment</w:t>
              </w:r>
            </w:hyperlink>
          </w:p>
        </w:tc>
        <w:tc>
          <w:tcPr>
            <w:tcW w:w="48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right w:val="single" w:sz="8" w:color="auto"/>
            </w:tcBorders>
            <w:gridSpan w:val="23"/>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Agreement, dated July 28, 2015, by and among Burlington Coat Factory Warehouse</w:t>
              </w:r>
            </w:hyperlink>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Corporation and Jennifer Vecchio.</w:t>
              </w:r>
            </w:hyperlink>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00" w:type="dxa"/>
            <w:vAlign w:val="bottom"/>
            <w:tcBorders>
              <w:top w:val="single" w:sz="8" w:color="0000EE"/>
              <w:bottom w:val="single" w:sz="8" w:color="auto"/>
            </w:tcBorders>
          </w:tcPr>
          <w:p>
            <w:pPr>
              <w:spacing w:after="0"/>
              <w:rPr>
                <w:sz w:val="20"/>
                <w:szCs w:val="20"/>
                <w:color w:val="auto"/>
              </w:rPr>
            </w:pPr>
          </w:p>
        </w:tc>
        <w:tc>
          <w:tcPr>
            <w:tcW w:w="560" w:type="dxa"/>
            <w:vAlign w:val="bottom"/>
            <w:tcBorders>
              <w:top w:val="single" w:sz="8" w:color="0000EE"/>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6"/>
          </w:tcPr>
          <w:p>
            <w:pPr>
              <w:ind w:left="3540"/>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24"/>
          </w:tcPr>
          <w:p>
            <w:pPr>
              <w:ind w:left="18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Form</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10.21+</w:t>
            </w:r>
          </w:p>
        </w:tc>
        <w:tc>
          <w:tcPr>
            <w:tcW w:w="5780" w:type="dxa"/>
            <w:vAlign w:val="bottom"/>
            <w:tcBorders>
              <w:bottom w:val="single" w:sz="8" w:color="0000EE"/>
            </w:tcBorders>
            <w:gridSpan w:val="17"/>
          </w:tcPr>
          <w:p>
            <w:pPr>
              <w:spacing w:after="0" w:line="169"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Employment Agreement, dated as of April 23, 2019, by and between Burlington</w:t>
              </w:r>
            </w:hyperlink>
          </w:p>
        </w:tc>
        <w:tc>
          <w:tcPr>
            <w:tcW w:w="480" w:type="dxa"/>
            <w:vAlign w:val="bottom"/>
            <w:tcBorders>
              <w:right w:val="single" w:sz="8" w:color="auto"/>
            </w:tcBorders>
            <w:gridSpan w:val="11"/>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23,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Stores, Inc. and Michael O’Sullivan.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16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10.22+†</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Employment Agreement, dated as of March 23, 2011, by and between Burlington</w:t>
              </w:r>
            </w:hyperlink>
          </w:p>
        </w:tc>
        <w:tc>
          <w:tcPr>
            <w:tcW w:w="9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Coat Factory Warehouse Corporation and John Crimmins</w:t>
              </w:r>
            </w:hyperlink>
          </w:p>
        </w:tc>
        <w:tc>
          <w:tcPr>
            <w:tcW w:w="400" w:type="dxa"/>
            <w:vAlign w:val="bottom"/>
            <w:tcBorders>
              <w:right w:val="single" w:sz="8" w:color="auto"/>
            </w:tcBorders>
            <w:gridSpan w:val="9"/>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10.23+</w:t>
            </w:r>
          </w:p>
        </w:tc>
        <w:tc>
          <w:tcPr>
            <w:tcW w:w="5980" w:type="dxa"/>
            <w:vAlign w:val="bottom"/>
            <w:tcBorders>
              <w:bottom w:val="single" w:sz="8" w:color="0000EE"/>
            </w:tcBorders>
            <w:gridSpan w:val="22"/>
          </w:tcPr>
          <w:p>
            <w:pPr>
              <w:spacing w:after="0" w:line="169"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Form of Non-Qualified Stock Option Agreement between Burlington Coat Factory</w:t>
              </w:r>
            </w:hyperlink>
          </w:p>
        </w:tc>
        <w:tc>
          <w:tcPr>
            <w:tcW w:w="280" w:type="dxa"/>
            <w:vAlign w:val="bottom"/>
            <w:tcBorders>
              <w:right w:val="single" w:sz="8" w:color="auto"/>
            </w:tcBorders>
            <w:gridSpan w:val="6"/>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w w:val="94"/>
              </w:rPr>
            </w:pPr>
            <w:hyperlink r:id="rId179">
              <w:r>
                <w:rPr>
                  <w:rFonts w:ascii="Arial" w:cs="Arial" w:eastAsia="Arial" w:hAnsi="Arial"/>
                  <w:sz w:val="18"/>
                  <w:szCs w:val="18"/>
                  <w:color w:val="0000EE"/>
                  <w:w w:val="94"/>
                </w:rPr>
                <w:t>Holdings, Inc. and Employees with Employment Agreements (for grants made after</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March 2009 and prior to 2014 (other than 2013 special one-time grants)) pursuant to</w:t>
              </w:r>
            </w:hyperlink>
          </w:p>
        </w:tc>
        <w:tc>
          <w:tcPr>
            <w:tcW w:w="180" w:type="dxa"/>
            <w:vAlign w:val="bottom"/>
            <w:tcBorders>
              <w:right w:val="single" w:sz="8" w:color="auto"/>
            </w:tcBorders>
            <w:gridSpan w:val="5"/>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2006 Management Incentive Plan.</w:t>
              </w:r>
            </w:hyperlink>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10.24+</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6"/>
              </w:rPr>
            </w:pPr>
            <w:hyperlink r:id="rId180">
              <w:r>
                <w:rPr>
                  <w:rFonts w:ascii="Arial" w:cs="Arial" w:eastAsia="Arial" w:hAnsi="Arial"/>
                  <w:sz w:val="18"/>
                  <w:szCs w:val="18"/>
                  <w:color w:val="0000EE"/>
                  <w:w w:val="96"/>
                </w:rPr>
                <w:t>Form of Non-Qualified Stock Option Agreement between Burlington Coat Factory</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April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60" w:type="dxa"/>
            <w:vAlign w:val="bottom"/>
            <w:tcBorders>
              <w:top w:val="single" w:sz="8" w:color="0000EE"/>
            </w:tcBorders>
            <w:gridSpan w:val="21"/>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Holdings, Inc. and Employees without Employment Agreements (for grants made</w:t>
              </w:r>
            </w:hyperlink>
          </w:p>
        </w:tc>
        <w:tc>
          <w:tcPr>
            <w:tcW w:w="300" w:type="dxa"/>
            <w:vAlign w:val="bottom"/>
            <w:tcBorders>
              <w:right w:val="single" w:sz="8" w:color="auto"/>
            </w:tcBorders>
            <w:gridSpan w:val="7"/>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after March 2009 and prior to 2014 (other than 2013 special one-time grants))</w:t>
              </w:r>
            </w:hyperlink>
          </w:p>
        </w:tc>
        <w:tc>
          <w:tcPr>
            <w:tcW w:w="280" w:type="dxa"/>
            <w:vAlign w:val="bottom"/>
            <w:tcBorders>
              <w:top w:val="single" w:sz="8" w:color="0000EE"/>
            </w:tcBorders>
            <w:gridSpan w:val="6"/>
          </w:tcPr>
          <w:p>
            <w:pPr>
              <w:spacing w:after="0"/>
              <w:rPr>
                <w:sz w:val="17"/>
                <w:szCs w:val="17"/>
                <w:color w:val="auto"/>
              </w:rPr>
            </w:pPr>
          </w:p>
        </w:tc>
        <w:tc>
          <w:tcPr>
            <w:tcW w:w="380" w:type="dxa"/>
            <w:vAlign w:val="bottom"/>
            <w:tcBorders>
              <w:right w:val="single" w:sz="8" w:color="auto"/>
            </w:tcBorders>
            <w:gridSpan w:val="8"/>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pursuant to 2006 Management Incentive Plan.</w:t>
              </w:r>
            </w:hyperlink>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10.25+</w:t>
            </w:r>
          </w:p>
        </w:tc>
        <w:tc>
          <w:tcPr>
            <w:tcW w:w="6100" w:type="dxa"/>
            <w:vAlign w:val="bottom"/>
            <w:tcBorders>
              <w:bottom w:val="single" w:sz="8" w:color="0000EE"/>
            </w:tcBorders>
            <w:gridSpan w:val="24"/>
          </w:tcPr>
          <w:p>
            <w:pPr>
              <w:spacing w:after="0" w:line="169"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Burlington Coat Factory Holdings, Inc. 2006 Management Incentive Plan (Amended</w:t>
              </w:r>
            </w:hyperlink>
          </w:p>
        </w:tc>
        <w:tc>
          <w:tcPr>
            <w:tcW w:w="160" w:type="dxa"/>
            <w:vAlign w:val="bottom"/>
            <w:tcBorders>
              <w:right w:val="single" w:sz="8" w:color="auto"/>
            </w:tcBorders>
            <w:gridSpan w:val="4"/>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and Restated June 15, 2013).</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6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10.26+</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rPr>
            </w:pPr>
            <w:hyperlink r:id="rId182">
              <w:r>
                <w:rPr>
                  <w:rFonts w:ascii="Arial" w:cs="Arial" w:eastAsia="Arial" w:hAnsi="Arial"/>
                  <w:sz w:val="18"/>
                  <w:szCs w:val="18"/>
                  <w:color w:val="0000EE"/>
                </w:rPr>
                <w:t>Form of Directors and Officers Indemnification Agreement.</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10, 2013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1/A</w:t>
            </w: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10.27+</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rPr>
            </w:pPr>
            <w:hyperlink r:id="rId183">
              <w:r>
                <w:rPr>
                  <w:rFonts w:ascii="Arial" w:cs="Arial" w:eastAsia="Arial" w:hAnsi="Arial"/>
                  <w:sz w:val="18"/>
                  <w:szCs w:val="18"/>
                  <w:color w:val="0000EE"/>
                </w:rPr>
                <w:t>Burlington Stores, Inc. 2013 Omnibus Incentive Plan,</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as amended and restated May 17, 2017.</w:t>
              </w:r>
            </w:hyperlink>
          </w:p>
        </w:tc>
        <w:tc>
          <w:tcPr>
            <w:tcW w:w="2400" w:type="dxa"/>
            <w:vAlign w:val="bottom"/>
            <w:tcBorders>
              <w:right w:val="single" w:sz="8" w:color="auto"/>
            </w:tcBorders>
            <w:gridSpan w:val="18"/>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6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10.28+</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6"/>
              </w:rPr>
            </w:pPr>
            <w:hyperlink r:id="rId184">
              <w:r>
                <w:rPr>
                  <w:rFonts w:ascii="Arial" w:cs="Arial" w:eastAsia="Arial" w:hAnsi="Arial"/>
                  <w:sz w:val="18"/>
                  <w:szCs w:val="18"/>
                  <w:color w:val="0000EE"/>
                  <w:w w:val="96"/>
                </w:rPr>
                <w:t>Form of Non-Qualified Stock Option Agreement, pursuant to Burlington Holdings,</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8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Inc. 2006 Management Incentive Plan (Amended and Restated June 15, 2013),</w:t>
              </w:r>
            </w:hyperlink>
          </w:p>
        </w:tc>
        <w:tc>
          <w:tcPr>
            <w:tcW w:w="28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between Burlington Holdings, Inc. and Employees with Employment Agreements (for</w:t>
              </w:r>
            </w:hyperlink>
          </w:p>
        </w:tc>
        <w:tc>
          <w:tcPr>
            <w:tcW w:w="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2013 special one-time grants).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10.29+</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6"/>
              </w:rPr>
            </w:pPr>
            <w:hyperlink r:id="rId185">
              <w:r>
                <w:rPr>
                  <w:rFonts w:ascii="Arial" w:cs="Arial" w:eastAsia="Arial" w:hAnsi="Arial"/>
                  <w:sz w:val="18"/>
                  <w:szCs w:val="18"/>
                  <w:color w:val="0000EE"/>
                  <w:w w:val="96"/>
                </w:rPr>
                <w:t>Form of Non-Qualified Stock Option Agreement, pursuant to Burlington Holdings,</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8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Inc. 2006 Management Incentive Plan (Amended and Restated June 15, 2013),</w:t>
              </w:r>
            </w:hyperlink>
          </w:p>
        </w:tc>
        <w:tc>
          <w:tcPr>
            <w:tcW w:w="28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between Burlington Holdings, Inc. and Employees without Employment Agreements</w:t>
              </w:r>
            </w:hyperlink>
          </w:p>
        </w:tc>
        <w:tc>
          <w:tcPr>
            <w:tcW w:w="12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(for 2013 special one-time grants).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10.30+</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Form of Non-Qualified Stock Option Agreement, pursuant to Burlington Holdings,</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Registration</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6"/>
              </w:rPr>
              <w:t>September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Inc. 2006 Management Incentive Plan (Amended and Restated June 15, 2013), dated</w:t>
              </w:r>
            </w:hyperlink>
          </w:p>
        </w:tc>
        <w:tc>
          <w:tcPr>
            <w:tcW w:w="16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June 17, 2013, between Burlington Holdings, Inc. and Thomas A. Kingsbury (for</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2013 special one-time grant).</w:t>
              </w:r>
            </w:hyperlink>
          </w:p>
        </w:tc>
        <w:tc>
          <w:tcPr>
            <w:tcW w:w="420" w:type="dxa"/>
            <w:vAlign w:val="bottom"/>
            <w:tcBorders>
              <w:right w:val="single" w:sz="8" w:color="auto"/>
            </w:tcBorders>
            <w:gridSpan w:val="10"/>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10.31+</w:t>
            </w:r>
          </w:p>
        </w:tc>
        <w:tc>
          <w:tcPr>
            <w:tcW w:w="5740" w:type="dxa"/>
            <w:vAlign w:val="bottom"/>
            <w:tcBorders>
              <w:bottom w:val="single" w:sz="8" w:color="0000EE"/>
            </w:tcBorders>
            <w:gridSpan w:val="16"/>
          </w:tcPr>
          <w:p>
            <w:pPr>
              <w:spacing w:after="0" w:line="169"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Restricted Stock Grant Agreement between Burlington Stores, Inc. and Thomas</w:t>
              </w:r>
            </w:hyperlink>
          </w:p>
        </w:tc>
        <w:tc>
          <w:tcPr>
            <w:tcW w:w="520" w:type="dxa"/>
            <w:vAlign w:val="bottom"/>
            <w:tcBorders>
              <w:right w:val="single" w:sz="8" w:color="auto"/>
            </w:tcBorders>
            <w:gridSpan w:val="12"/>
          </w:tcPr>
          <w:p>
            <w:pPr>
              <w:spacing w:after="0"/>
              <w:rPr>
                <w:sz w:val="14"/>
                <w:szCs w:val="14"/>
                <w:color w:val="auto"/>
              </w:rPr>
            </w:pPr>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25,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Kingsbury, dated December 15, 2014 (for grants made after 2014 and before May</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2019).</w:t>
              </w:r>
            </w:hyperlink>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10.32+</w:t>
            </w:r>
          </w:p>
        </w:tc>
        <w:tc>
          <w:tcPr>
            <w:tcW w:w="6260" w:type="dxa"/>
            <w:vAlign w:val="bottom"/>
            <w:tcBorders>
              <w:right w:val="single" w:sz="8" w:color="auto"/>
            </w:tcBorders>
            <w:gridSpan w:val="28"/>
          </w:tcPr>
          <w:p>
            <w:pPr>
              <w:spacing w:after="0" w:line="169"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Form of Non-Qualified Stock Option Agreement between Burlington Stores, Inc. and</w:t>
              </w:r>
            </w:hyperlink>
          </w:p>
        </w:tc>
        <w:tc>
          <w:tcPr>
            <w:tcW w:w="9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15,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400" w:type="dxa"/>
            <w:vAlign w:val="bottom"/>
            <w:gridSpan w:val="13"/>
            <w:shd w:val="clear" w:color="auto" w:fill="0000EE"/>
          </w:tcPr>
          <w:p>
            <w:pPr>
              <w:spacing w:after="0" w:line="20" w:lineRule="exact"/>
              <w:rPr>
                <w:sz w:val="1"/>
                <w:szCs w:val="1"/>
                <w:color w:val="auto"/>
              </w:rPr>
            </w:pPr>
          </w:p>
        </w:tc>
        <w:tc>
          <w:tcPr>
            <w:tcW w:w="1740" w:type="dxa"/>
            <w:vAlign w:val="bottom"/>
            <w:tcBorders>
              <w:right w:val="single" w:sz="8" w:color="0000EE"/>
            </w:tcBorders>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Employees with Employment Agreements pursuant to Burlington Holdings, Inc. 2006</w:t>
              </w:r>
            </w:hyperlink>
          </w:p>
        </w:tc>
        <w:tc>
          <w:tcPr>
            <w:tcW w:w="6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28"/>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Management Incentive Plan (Amended and Restated June 15, 2013) (for grants made</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from and after December 2015 and prior to November 2016).</w:t>
              </w:r>
            </w:hyperlink>
          </w:p>
        </w:tc>
        <w:tc>
          <w:tcPr>
            <w:tcW w:w="12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10"/>
          </w:tcPr>
          <w:p>
            <w:pPr>
              <w:ind w:left="354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9"/>
              </w:rPr>
              <w:t>Incorporated by</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6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gridSpan w:val="17"/>
          </w:tcPr>
          <w:p>
            <w:pPr>
              <w:ind w:left="2000"/>
              <w:spacing w:after="0"/>
              <w:rPr>
                <w:sz w:val="20"/>
                <w:szCs w:val="20"/>
                <w:color w:val="auto"/>
              </w:rPr>
            </w:pPr>
            <w:r>
              <w:rPr>
                <w:rFonts w:ascii="Arial" w:cs="Arial" w:eastAsia="Arial" w:hAnsi="Arial"/>
                <w:sz w:val="18"/>
                <w:szCs w:val="18"/>
                <w:b w:val="1"/>
                <w:bCs w:val="1"/>
                <w:color w:val="auto"/>
              </w:rPr>
              <w:t>Exhibit Description</w:t>
            </w: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10.33+</w:t>
            </w:r>
          </w:p>
        </w:tc>
        <w:tc>
          <w:tcPr>
            <w:tcW w:w="6160" w:type="dxa"/>
            <w:vAlign w:val="bottom"/>
            <w:tcBorders>
              <w:bottom w:val="single" w:sz="8" w:color="0000EE"/>
            </w:tcBorders>
            <w:gridSpan w:val="12"/>
          </w:tcPr>
          <w:p>
            <w:pPr>
              <w:spacing w:after="0" w:line="169"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Form of Non-Qualified Stock Option Agreement between Burlington Stores, Inc. and</w:t>
              </w:r>
            </w:hyperlink>
          </w:p>
        </w:tc>
        <w:tc>
          <w:tcPr>
            <w:tcW w:w="300" w:type="dxa"/>
            <w:vAlign w:val="bottom"/>
            <w:tcBorders>
              <w:right w:val="single" w:sz="8" w:color="auto"/>
            </w:tcBorders>
            <w:gridSpan w:val="6"/>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15,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Employees without Employment Agreements pursuant to Burlington Holdings, Inc. 2006</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2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Management Incentive Plan (Amended and Restated June 15, 2013) (for grants made</w:t>
              </w:r>
            </w:hyperlink>
          </w:p>
        </w:tc>
        <w:tc>
          <w:tcPr>
            <w:tcW w:w="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from and after December 2015 and prior to November 2016).</w:t>
              </w:r>
            </w:hyperlink>
          </w:p>
        </w:tc>
        <w:tc>
          <w:tcPr>
            <w:tcW w:w="340" w:type="dxa"/>
            <w:vAlign w:val="bottom"/>
            <w:tcBorders>
              <w:right w:val="single" w:sz="8" w:color="auto"/>
            </w:tcBorders>
            <w:gridSpan w:val="8"/>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10.34+</w:t>
            </w:r>
          </w:p>
        </w:tc>
        <w:tc>
          <w:tcPr>
            <w:tcW w:w="5760" w:type="dxa"/>
            <w:vAlign w:val="bottom"/>
            <w:tcBorders>
              <w:bottom w:val="single" w:sz="8" w:color="0000EE"/>
            </w:tcBorders>
            <w:gridSpan w:val="7"/>
          </w:tcPr>
          <w:p>
            <w:pPr>
              <w:spacing w:after="0" w:line="169"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Form of Restricted Stock Grant Agreement between Burlington Stores, Inc. and</w:t>
              </w:r>
            </w:hyperlink>
          </w:p>
        </w:tc>
        <w:tc>
          <w:tcPr>
            <w:tcW w:w="700" w:type="dxa"/>
            <w:vAlign w:val="bottom"/>
            <w:tcBorders>
              <w:right w:val="single" w:sz="8" w:color="auto"/>
            </w:tcBorders>
            <w:gridSpan w:val="11"/>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15,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Employees with Employment Agreements pursuant to Burlington Holdings, Inc. 2006</w:t>
              </w:r>
            </w:hyperlink>
          </w:p>
        </w:tc>
        <w:tc>
          <w:tcPr>
            <w:tcW w:w="260" w:type="dxa"/>
            <w:vAlign w:val="bottom"/>
            <w:tcBorders>
              <w:right w:val="single" w:sz="8" w:color="auto"/>
            </w:tcBorders>
            <w:gridSpan w:val="4"/>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Management Incentive Plan (Amended and Restated June 15, 2013) (for grants made</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from and after December 2015 and prior to November 2016).</w:t>
              </w:r>
            </w:hyperlink>
          </w:p>
        </w:tc>
        <w:tc>
          <w:tcPr>
            <w:tcW w:w="340" w:type="dxa"/>
            <w:vAlign w:val="bottom"/>
            <w:tcBorders>
              <w:right w:val="single" w:sz="8" w:color="auto"/>
            </w:tcBorders>
            <w:gridSpan w:val="8"/>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10.35+</w:t>
            </w:r>
          </w:p>
        </w:tc>
        <w:tc>
          <w:tcPr>
            <w:tcW w:w="5740" w:type="dxa"/>
            <w:vAlign w:val="bottom"/>
            <w:tcBorders>
              <w:bottom w:val="single" w:sz="8" w:color="0000EE"/>
            </w:tcBorders>
            <w:gridSpan w:val="6"/>
          </w:tcPr>
          <w:p>
            <w:pPr>
              <w:spacing w:after="0" w:line="169"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Form of Restricted Stock Grant Agreement between Burlington Stores, Inc. and</w:t>
              </w:r>
            </w:hyperlink>
          </w:p>
        </w:tc>
        <w:tc>
          <w:tcPr>
            <w:tcW w:w="720" w:type="dxa"/>
            <w:vAlign w:val="bottom"/>
            <w:tcBorders>
              <w:right w:val="single" w:sz="8" w:color="auto"/>
            </w:tcBorders>
            <w:gridSpan w:val="12"/>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March 15,</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Employees without Employment Agreements pursuant to Burlington Holdings, Inc. 2006</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2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Management Incentive Plan (Amended and Restated June 15, 2013) (for grants made</w:t>
              </w:r>
            </w:hyperlink>
          </w:p>
        </w:tc>
        <w:tc>
          <w:tcPr>
            <w:tcW w:w="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from and after December 2015 and prior to November 2016).</w:t>
              </w:r>
            </w:hyperlink>
          </w:p>
        </w:tc>
        <w:tc>
          <w:tcPr>
            <w:tcW w:w="340" w:type="dxa"/>
            <w:vAlign w:val="bottom"/>
            <w:tcBorders>
              <w:right w:val="single" w:sz="8" w:color="auto"/>
            </w:tcBorders>
            <w:gridSpan w:val="8"/>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10.36+</w:t>
            </w:r>
          </w:p>
        </w:tc>
        <w:tc>
          <w:tcPr>
            <w:tcW w:w="6460" w:type="dxa"/>
            <w:vAlign w:val="bottom"/>
            <w:tcBorders>
              <w:right w:val="single" w:sz="8" w:color="auto"/>
            </w:tcBorders>
            <w:gridSpan w:val="18"/>
          </w:tcPr>
          <w:p>
            <w:pPr>
              <w:spacing w:after="0" w:line="169"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Form of Non-Qualified Stock Option Agreement between Burlington Stores, Inc. and</w:t>
              </w:r>
            </w:hyperlink>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4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Employees with Employment Agreements pursuant to Burlington Stores, Inc. 2013</w:t>
              </w:r>
            </w:hyperlink>
          </w:p>
        </w:tc>
        <w:tc>
          <w:tcPr>
            <w:tcW w:w="320" w:type="dxa"/>
            <w:vAlign w:val="bottom"/>
            <w:tcBorders>
              <w:right w:val="single" w:sz="8" w:color="auto"/>
            </w:tcBorders>
            <w:gridSpan w:val="7"/>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Omnibus Incentive Plan, as amended and restated May 17, 2017 (for grants made from</w:t>
              </w:r>
            </w:hyperlink>
          </w:p>
        </w:tc>
        <w:tc>
          <w:tcPr>
            <w:tcW w:w="200" w:type="dxa"/>
            <w:vAlign w:val="bottom"/>
            <w:tcBorders>
              <w:right w:val="single" w:sz="8" w:color="auto"/>
            </w:tcBorders>
            <w:gridSpan w:val="2"/>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and after November 2016 and prior to May 2017).</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272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10.37+</w:t>
            </w:r>
          </w:p>
        </w:tc>
        <w:tc>
          <w:tcPr>
            <w:tcW w:w="6160" w:type="dxa"/>
            <w:vAlign w:val="bottom"/>
            <w:tcBorders>
              <w:bottom w:val="single" w:sz="8" w:color="0000EE"/>
            </w:tcBorders>
            <w:gridSpan w:val="12"/>
          </w:tcPr>
          <w:p>
            <w:pPr>
              <w:spacing w:after="0" w:line="169"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Form of Non-Qualified Stock Option Agreement between Burlington Stores, Inc. and</w:t>
              </w:r>
            </w:hyperlink>
          </w:p>
        </w:tc>
        <w:tc>
          <w:tcPr>
            <w:tcW w:w="300" w:type="dxa"/>
            <w:vAlign w:val="bottom"/>
            <w:tcBorders>
              <w:right w:val="single" w:sz="8" w:color="auto"/>
            </w:tcBorders>
            <w:gridSpan w:val="6"/>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Employees without Employment Agreements pursuant to Burlington Stores, Inc. 2013</w:t>
              </w:r>
            </w:hyperlink>
          </w:p>
        </w:tc>
        <w:tc>
          <w:tcPr>
            <w:tcW w:w="240" w:type="dxa"/>
            <w:vAlign w:val="bottom"/>
            <w:tcBorders>
              <w:right w:val="single" w:sz="8" w:color="auto"/>
            </w:tcBorders>
            <w:gridSpan w:val="3"/>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Omnibus Incentive Plan, as amended and restated May 17, 2017 (for grants made from</w:t>
              </w:r>
            </w:hyperlink>
          </w:p>
        </w:tc>
        <w:tc>
          <w:tcPr>
            <w:tcW w:w="200" w:type="dxa"/>
            <w:vAlign w:val="bottom"/>
            <w:tcBorders>
              <w:right w:val="single" w:sz="8" w:color="auto"/>
            </w:tcBorders>
            <w:gridSpan w:val="2"/>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and after November 2016 and prior to May 2017).</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272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10.38+</w:t>
            </w:r>
          </w:p>
        </w:tc>
        <w:tc>
          <w:tcPr>
            <w:tcW w:w="5760" w:type="dxa"/>
            <w:vAlign w:val="bottom"/>
            <w:tcBorders>
              <w:bottom w:val="single" w:sz="8" w:color="0000EE"/>
            </w:tcBorders>
            <w:gridSpan w:val="7"/>
          </w:tcPr>
          <w:p>
            <w:pPr>
              <w:spacing w:after="0" w:line="169"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Form of Restricted Stock Grant Agreement between Burlington Stores, Inc. and</w:t>
              </w:r>
            </w:hyperlink>
          </w:p>
        </w:tc>
        <w:tc>
          <w:tcPr>
            <w:tcW w:w="700" w:type="dxa"/>
            <w:vAlign w:val="bottom"/>
            <w:tcBorders>
              <w:right w:val="single" w:sz="8" w:color="auto"/>
            </w:tcBorders>
            <w:gridSpan w:val="11"/>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7"/>
              </w:rPr>
            </w:pPr>
            <w:hyperlink r:id="rId196">
              <w:r>
                <w:rPr>
                  <w:rFonts w:ascii="Arial" w:cs="Arial" w:eastAsia="Arial" w:hAnsi="Arial"/>
                  <w:sz w:val="18"/>
                  <w:szCs w:val="18"/>
                  <w:color w:val="0000EE"/>
                  <w:w w:val="97"/>
                </w:rPr>
                <w:t>Employees with Employment Agreements pursuant to Burlington Stores, Inc. 2013</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tcBorders>
              <w:right w:val="single" w:sz="8" w:color="auto"/>
            </w:tcBorders>
            <w:gridSpan w:val="5"/>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Omnibus Incentive Plan, as amended and restated May 17, 2017 (for grants made from</w:t>
              </w:r>
            </w:hyperlink>
          </w:p>
        </w:tc>
        <w:tc>
          <w:tcPr>
            <w:tcW w:w="200" w:type="dxa"/>
            <w:vAlign w:val="bottom"/>
            <w:tcBorders>
              <w:right w:val="single" w:sz="8" w:color="auto"/>
            </w:tcBorders>
            <w:gridSpan w:val="2"/>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and after November 2016 and prior to May 2017).</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272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10.39+</w:t>
            </w:r>
          </w:p>
        </w:tc>
        <w:tc>
          <w:tcPr>
            <w:tcW w:w="5760" w:type="dxa"/>
            <w:vAlign w:val="bottom"/>
            <w:tcBorders>
              <w:bottom w:val="single" w:sz="8" w:color="0000EE"/>
            </w:tcBorders>
            <w:gridSpan w:val="7"/>
          </w:tcPr>
          <w:p>
            <w:pPr>
              <w:spacing w:after="0" w:line="169"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Form of Restricted Stock Grant Agreement between Burlington Stores, Inc. and</w:t>
              </w:r>
            </w:hyperlink>
          </w:p>
        </w:tc>
        <w:tc>
          <w:tcPr>
            <w:tcW w:w="700" w:type="dxa"/>
            <w:vAlign w:val="bottom"/>
            <w:tcBorders>
              <w:right w:val="single" w:sz="8" w:color="auto"/>
            </w:tcBorders>
            <w:gridSpan w:val="11"/>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Quarterly</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November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Employees without Employment Agreements pursuant to Burlington Stores, Inc. 2013</w:t>
              </w:r>
            </w:hyperlink>
          </w:p>
        </w:tc>
        <w:tc>
          <w:tcPr>
            <w:tcW w:w="240" w:type="dxa"/>
            <w:vAlign w:val="bottom"/>
            <w:tcBorders>
              <w:right w:val="single" w:sz="8" w:color="auto"/>
            </w:tcBorders>
            <w:gridSpan w:val="3"/>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Omnibus Incentive Plan, as amended and restated May 17, 2017 (for grants made from</w:t>
              </w:r>
            </w:hyperlink>
          </w:p>
        </w:tc>
        <w:tc>
          <w:tcPr>
            <w:tcW w:w="200" w:type="dxa"/>
            <w:vAlign w:val="bottom"/>
            <w:tcBorders>
              <w:right w:val="single" w:sz="8" w:color="auto"/>
            </w:tcBorders>
            <w:gridSpan w:val="2"/>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and after November 2016 and prior to May 2017).</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272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10.40+</w:t>
            </w:r>
          </w:p>
        </w:tc>
        <w:tc>
          <w:tcPr>
            <w:tcW w:w="6460" w:type="dxa"/>
            <w:vAlign w:val="bottom"/>
            <w:tcBorders>
              <w:right w:val="single" w:sz="8" w:color="auto"/>
            </w:tcBorders>
            <w:gridSpan w:val="18"/>
          </w:tcPr>
          <w:p>
            <w:pPr>
              <w:spacing w:after="0" w:line="169" w:lineRule="exact"/>
              <w:rPr>
                <w:rFonts w:ascii="Arial" w:cs="Arial" w:eastAsia="Arial" w:hAnsi="Arial"/>
                <w:sz w:val="18"/>
                <w:szCs w:val="18"/>
                <w:color w:val="0000EE"/>
              </w:rPr>
            </w:pPr>
            <w:hyperlink r:id="rId198">
              <w:r>
                <w:rPr>
                  <w:rFonts w:ascii="Arial" w:cs="Arial" w:eastAsia="Arial" w:hAnsi="Arial"/>
                  <w:sz w:val="18"/>
                  <w:szCs w:val="18"/>
                  <w:color w:val="0000EE"/>
                </w:rPr>
                <w:t>Burlington Stores, Inc. Executive Severance Plan</w:t>
              </w:r>
            </w:hyperlink>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7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8-K</w:t>
            </w:r>
          </w:p>
        </w:tc>
        <w:tc>
          <w:tcPr>
            <w:tcW w:w="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10.41+</w:t>
            </w:r>
          </w:p>
        </w:tc>
        <w:tc>
          <w:tcPr>
            <w:tcW w:w="6160" w:type="dxa"/>
            <w:vAlign w:val="bottom"/>
            <w:tcBorders>
              <w:bottom w:val="single" w:sz="8" w:color="0000EE"/>
            </w:tcBorders>
            <w:gridSpan w:val="12"/>
          </w:tcPr>
          <w:p>
            <w:pPr>
              <w:spacing w:after="0" w:line="169"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Form of Non-Qualified Stock Option Agreement between Burlington Stores, Inc. and</w:t>
              </w:r>
            </w:hyperlink>
          </w:p>
        </w:tc>
        <w:tc>
          <w:tcPr>
            <w:tcW w:w="300" w:type="dxa"/>
            <w:vAlign w:val="bottom"/>
            <w:tcBorders>
              <w:right w:val="single" w:sz="8" w:color="auto"/>
            </w:tcBorders>
            <w:gridSpan w:val="6"/>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3"/>
              </w:rPr>
            </w:pPr>
            <w:hyperlink r:id="rId199">
              <w:r>
                <w:rPr>
                  <w:rFonts w:ascii="Arial" w:cs="Arial" w:eastAsia="Arial" w:hAnsi="Arial"/>
                  <w:sz w:val="18"/>
                  <w:szCs w:val="18"/>
                  <w:color w:val="0000EE"/>
                  <w:w w:val="93"/>
                </w:rPr>
                <w:t>Employees with Employment Agreements or Subject to the Executive Severance Plan</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199">
              <w:r>
                <w:rPr>
                  <w:rFonts w:ascii="Arial" w:cs="Arial" w:eastAsia="Arial" w:hAnsi="Arial"/>
                  <w:sz w:val="18"/>
                  <w:szCs w:val="18"/>
                  <w:color w:val="0000EE"/>
                  <w:w w:val="93"/>
                </w:rPr>
                <w:t>pursuant to Burlington Stores, Inc. 2013 Omnibus Incentive Plan, as amended and</w:t>
              </w:r>
            </w:hyperlink>
          </w:p>
        </w:tc>
        <w:tc>
          <w:tcPr>
            <w:tcW w:w="280" w:type="dxa"/>
            <w:vAlign w:val="bottom"/>
            <w:tcBorders>
              <w:right w:val="single" w:sz="8" w:color="auto"/>
            </w:tcBorders>
            <w:gridSpan w:val="5"/>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gridSpan w:val="9"/>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w w:val="98"/>
              </w:rPr>
            </w:pPr>
            <w:hyperlink r:id="rId199">
              <w:r>
                <w:rPr>
                  <w:rFonts w:ascii="Arial" w:cs="Arial" w:eastAsia="Arial" w:hAnsi="Arial"/>
                  <w:sz w:val="18"/>
                  <w:szCs w:val="18"/>
                  <w:color w:val="0000EE"/>
                  <w:w w:val="98"/>
                </w:rPr>
                <w:t>restated May 17, 2017 (for grants made from and after May 2017 and prior to May</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2019).</w:t>
              </w:r>
            </w:hyperlink>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10.42+</w:t>
            </w:r>
          </w:p>
        </w:tc>
        <w:tc>
          <w:tcPr>
            <w:tcW w:w="6160" w:type="dxa"/>
            <w:vAlign w:val="bottom"/>
            <w:tcBorders>
              <w:bottom w:val="single" w:sz="8" w:color="0000EE"/>
            </w:tcBorders>
            <w:gridSpan w:val="12"/>
          </w:tcPr>
          <w:p>
            <w:pPr>
              <w:spacing w:after="0" w:line="169"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Form of Non-Qualified Stock Option Agreement between Burlington Stores, Inc. and</w:t>
              </w:r>
            </w:hyperlink>
          </w:p>
        </w:tc>
        <w:tc>
          <w:tcPr>
            <w:tcW w:w="300" w:type="dxa"/>
            <w:vAlign w:val="bottom"/>
            <w:tcBorders>
              <w:right w:val="single" w:sz="8" w:color="auto"/>
            </w:tcBorders>
            <w:gridSpan w:val="6"/>
          </w:tcPr>
          <w:p>
            <w:pPr>
              <w:spacing w:after="0"/>
              <w:rPr>
                <w:sz w:val="14"/>
                <w:szCs w:val="14"/>
                <w:color w:val="auto"/>
              </w:rPr>
            </w:pPr>
          </w:p>
        </w:tc>
        <w:tc>
          <w:tcPr>
            <w:tcW w:w="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 22,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Employees without Employment Agreements pursuant to Burlington Stores, Inc. 2013</w:t>
              </w:r>
            </w:hyperlink>
          </w:p>
        </w:tc>
        <w:tc>
          <w:tcPr>
            <w:tcW w:w="240" w:type="dxa"/>
            <w:vAlign w:val="bottom"/>
            <w:tcBorders>
              <w:right w:val="single" w:sz="8" w:color="auto"/>
            </w:tcBorders>
            <w:gridSpan w:val="3"/>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Omnibus Incentive Plan, as amended and restated May 17, 2017 (for grants made from</w:t>
              </w:r>
            </w:hyperlink>
          </w:p>
        </w:tc>
        <w:tc>
          <w:tcPr>
            <w:tcW w:w="200" w:type="dxa"/>
            <w:vAlign w:val="bottom"/>
            <w:tcBorders>
              <w:right w:val="single" w:sz="8" w:color="auto"/>
            </w:tcBorders>
            <w:gridSpan w:val="2"/>
          </w:tcPr>
          <w:p>
            <w:pPr>
              <w:spacing w:after="0"/>
              <w:rPr>
                <w:sz w:val="17"/>
                <w:szCs w:val="17"/>
                <w:color w:val="auto"/>
              </w:rPr>
            </w:pPr>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on Form</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and after May 2017 and prior to May 2019).</w:t>
              </w:r>
            </w:hyperlink>
          </w:p>
        </w:tc>
        <w:tc>
          <w:tcPr>
            <w:tcW w:w="7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8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2720" w:type="dxa"/>
            <w:vAlign w:val="bottom"/>
            <w:tcBorders>
              <w:top w:val="single" w:sz="8" w:color="0000EE"/>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gridSpan w:val="5"/>
          </w:tcPr>
          <w:p>
            <w:pPr>
              <w:ind w:left="3540"/>
              <w:spacing w:after="0"/>
              <w:rPr>
                <w:sz w:val="20"/>
                <w:szCs w:val="20"/>
                <w:color w:val="auto"/>
              </w:rPr>
            </w:pPr>
            <w:r>
              <w:rPr>
                <w:rFonts w:ascii="Arial" w:cs="Arial" w:eastAsia="Arial" w:hAnsi="Arial"/>
                <w:sz w:val="18"/>
                <w:szCs w:val="18"/>
                <w:color w:val="auto"/>
              </w:rPr>
              <w:t>91</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1"/>
        </w:trPr>
        <w:tc>
          <w:tcPr>
            <w:tcW w:w="13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Incorporated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9"/>
              </w:rPr>
              <w:t>by Reference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580" w:type="dxa"/>
            <w:vAlign w:val="bottom"/>
            <w:tcBorders>
              <w:bottom w:val="single" w:sz="8" w:color="auto"/>
              <w:right w:val="single" w:sz="8" w:color="auto"/>
            </w:tcBorders>
            <w:gridSpan w:val="21"/>
          </w:tcPr>
          <w:p>
            <w:pPr>
              <w:ind w:left="460"/>
              <w:spacing w:after="0"/>
              <w:rPr>
                <w:sz w:val="20"/>
                <w:szCs w:val="20"/>
                <w:color w:val="auto"/>
              </w:rPr>
            </w:pPr>
            <w:r>
              <w:rPr>
                <w:rFonts w:ascii="Arial" w:cs="Arial" w:eastAsia="Arial" w:hAnsi="Arial"/>
                <w:sz w:val="18"/>
                <w:szCs w:val="18"/>
                <w:b w:val="1"/>
                <w:bCs w:val="1"/>
                <w:color w:val="auto"/>
              </w:rPr>
              <w:t>Exhibit Description</w:t>
            </w:r>
          </w:p>
        </w:tc>
        <w:tc>
          <w:tcPr>
            <w:tcW w:w="7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10.43+</w:t>
            </w:r>
          </w:p>
        </w:tc>
        <w:tc>
          <w:tcPr>
            <w:tcW w:w="6700" w:type="dxa"/>
            <w:vAlign w:val="bottom"/>
            <w:tcBorders>
              <w:right w:val="single" w:sz="8" w:color="auto"/>
            </w:tcBorders>
            <w:gridSpan w:val="25"/>
          </w:tcPr>
          <w:p>
            <w:pPr>
              <w:spacing w:after="0" w:line="169"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Form of Restricted Stock Grant Agreement between Burlington Stores, Inc. and Employees</w:t>
              </w:r>
            </w:hyperlink>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with Employment Agreements or Subject to the Executive Severance Plan pursuant to</w:t>
              </w:r>
            </w:hyperlink>
          </w:p>
        </w:tc>
        <w:tc>
          <w:tcPr>
            <w:tcW w:w="380" w:type="dxa"/>
            <w:vAlign w:val="bottom"/>
            <w:tcBorders>
              <w:top w:val="single" w:sz="8" w:color="0000EE"/>
            </w:tcBorders>
            <w:gridSpan w:val="10"/>
          </w:tcPr>
          <w:p>
            <w:pPr>
              <w:spacing w:after="0"/>
              <w:rPr>
                <w:sz w:val="17"/>
                <w:szCs w:val="17"/>
                <w:color w:val="auto"/>
              </w:rPr>
            </w:pPr>
          </w:p>
        </w:tc>
        <w:tc>
          <w:tcPr>
            <w:tcW w:w="120" w:type="dxa"/>
            <w:vAlign w:val="bottom"/>
            <w:tcBorders>
              <w:right w:val="single" w:sz="8" w:color="auto"/>
            </w:tcBorders>
            <w:gridSpan w:val="4"/>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5"/>
              </w:rPr>
            </w:pPr>
            <w:hyperlink r:id="rId203">
              <w:r>
                <w:rPr>
                  <w:rFonts w:ascii="Arial" w:cs="Arial" w:eastAsia="Arial" w:hAnsi="Arial"/>
                  <w:sz w:val="18"/>
                  <w:szCs w:val="18"/>
                  <w:color w:val="0000EE"/>
                  <w:w w:val="95"/>
                </w:rPr>
                <w:t>Burlington Stores, Inc. 2013 Omnibus Incentive Plan, as amended and restated May 17,</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2017 (for grants made from and after May 2017 and prior to May 2019).</w:t>
              </w:r>
            </w:hyperlink>
          </w:p>
        </w:tc>
        <w:tc>
          <w:tcPr>
            <w:tcW w:w="400" w:type="dxa"/>
            <w:vAlign w:val="bottom"/>
            <w:tcBorders>
              <w:right w:val="single" w:sz="8" w:color="auto"/>
            </w:tcBorders>
            <w:gridSpan w:val="13"/>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9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920" w:type="dxa"/>
            <w:vAlign w:val="bottom"/>
            <w:tcBorders>
              <w:top w:val="single" w:sz="8" w:color="0000EE"/>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10.44+</w:t>
            </w:r>
          </w:p>
        </w:tc>
        <w:tc>
          <w:tcPr>
            <w:tcW w:w="6700" w:type="dxa"/>
            <w:vAlign w:val="bottom"/>
            <w:tcBorders>
              <w:right w:val="single" w:sz="8" w:color="auto"/>
            </w:tcBorders>
            <w:gridSpan w:val="25"/>
          </w:tcPr>
          <w:p>
            <w:pPr>
              <w:spacing w:after="0" w:line="169"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Form of Restricted Stock Grant Agreement between Burlington Stores, Inc. and Employees</w:t>
              </w:r>
            </w:hyperlink>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without Employment Agreements pursuant to Burlington Stores, Inc. 2013 Omnibus</w:t>
              </w:r>
            </w:hyperlink>
          </w:p>
        </w:tc>
        <w:tc>
          <w:tcPr>
            <w:tcW w:w="500" w:type="dxa"/>
            <w:vAlign w:val="bottom"/>
            <w:tcBorders>
              <w:top w:val="single" w:sz="8" w:color="0000EE"/>
            </w:tcBorders>
            <w:gridSpan w:val="12"/>
          </w:tcPr>
          <w:p>
            <w:pPr>
              <w:spacing w:after="0"/>
              <w:rPr>
                <w:sz w:val="17"/>
                <w:szCs w:val="17"/>
                <w:color w:val="auto"/>
              </w:rPr>
            </w:pPr>
          </w:p>
        </w:tc>
        <w:tc>
          <w:tcPr>
            <w:tcW w:w="120" w:type="dxa"/>
            <w:vAlign w:val="bottom"/>
            <w:tcBorders>
              <w:right w:val="single" w:sz="8" w:color="auto"/>
            </w:tcBorders>
            <w:gridSpan w:val="4"/>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Incentive Plan, as amended and restated May 17, 2017 (for grants made from and after May</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2017 and prior to May 2019).</w:t>
              </w:r>
            </w:hyperlink>
          </w:p>
        </w:tc>
        <w:tc>
          <w:tcPr>
            <w:tcW w:w="100" w:type="dxa"/>
            <w:vAlign w:val="bottom"/>
            <w:tcBorders>
              <w:right w:val="single" w:sz="8" w:color="auto"/>
            </w:tcBorders>
            <w:gridSpan w:val="3"/>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9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10.45+</w:t>
            </w:r>
          </w:p>
        </w:tc>
        <w:tc>
          <w:tcPr>
            <w:tcW w:w="6700" w:type="dxa"/>
            <w:vAlign w:val="bottom"/>
            <w:tcBorders>
              <w:bottom w:val="single" w:sz="8" w:color="0000EE"/>
              <w:right w:val="single" w:sz="8" w:color="auto"/>
            </w:tcBorders>
            <w:gridSpan w:val="25"/>
          </w:tcPr>
          <w:p>
            <w:pPr>
              <w:spacing w:after="0" w:line="169"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Form of Restricted Stock Grant Agreement between Burlington Stores, Inc. and Independent</w:t>
              </w:r>
            </w:hyperlink>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Current</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Directors pursuant to Burlington Stores, Inc. 2013 Omnibus Incentive Plan, as amended and</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2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restated May 17, 2017 (for grants made from and after May 2017 and prior to March 2018).</w:t>
              </w:r>
            </w:hyperlink>
          </w:p>
        </w:tc>
        <w:tc>
          <w:tcPr>
            <w:tcW w:w="80" w:type="dxa"/>
            <w:vAlign w:val="bottom"/>
            <w:tcBorders>
              <w:right w:val="single" w:sz="8" w:color="auto"/>
            </w:tcBorders>
            <w:gridSpan w:val="2"/>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9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8-K</w:t>
            </w:r>
          </w:p>
        </w:tc>
        <w:tc>
          <w:tcPr>
            <w:tcW w:w="54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10.46+</w:t>
            </w:r>
          </w:p>
        </w:tc>
        <w:tc>
          <w:tcPr>
            <w:tcW w:w="6480" w:type="dxa"/>
            <w:vAlign w:val="bottom"/>
            <w:tcBorders>
              <w:bottom w:val="single" w:sz="8" w:color="0000EE"/>
            </w:tcBorders>
            <w:gridSpan w:val="19"/>
          </w:tcPr>
          <w:p>
            <w:pPr>
              <w:spacing w:after="0" w:line="169"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Form of Performance-Based Restricted Stock Unit Award Notice and Agreement between</w:t>
              </w:r>
            </w:hyperlink>
          </w:p>
        </w:tc>
        <w:tc>
          <w:tcPr>
            <w:tcW w:w="220" w:type="dxa"/>
            <w:vAlign w:val="bottom"/>
            <w:tcBorders>
              <w:right w:val="single" w:sz="8" w:color="auto"/>
            </w:tcBorders>
            <w:gridSpan w:val="6"/>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Burlington Stores, Inc. and award recipients pursuant to the Burlington Stores, Inc. 2013</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5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Omnibus Incentive Plan, as amended and restated May 17, 2017 (for grants made from and</w:t>
              </w:r>
            </w:hyperlink>
          </w:p>
        </w:tc>
        <w:tc>
          <w:tcPr>
            <w:tcW w:w="140" w:type="dxa"/>
            <w:vAlign w:val="bottom"/>
            <w:tcBorders>
              <w:right w:val="single" w:sz="8" w:color="auto"/>
            </w:tcBorders>
            <w:gridSpan w:val="5"/>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after May 1, 2019).</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10.47+</w:t>
            </w:r>
          </w:p>
        </w:tc>
        <w:tc>
          <w:tcPr>
            <w:tcW w:w="6400" w:type="dxa"/>
            <w:vAlign w:val="bottom"/>
            <w:tcBorders>
              <w:bottom w:val="single" w:sz="8" w:color="0000EE"/>
            </w:tcBorders>
            <w:gridSpan w:val="15"/>
          </w:tcPr>
          <w:p>
            <w:pPr>
              <w:spacing w:after="0" w:line="169"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Form of Restricted Stock Unit Award Notice and Agreement between Burlington Stores,</w:t>
              </w:r>
            </w:hyperlink>
          </w:p>
        </w:tc>
        <w:tc>
          <w:tcPr>
            <w:tcW w:w="300" w:type="dxa"/>
            <w:vAlign w:val="bottom"/>
            <w:tcBorders>
              <w:right w:val="single" w:sz="8" w:color="auto"/>
            </w:tcBorders>
            <w:gridSpan w:val="10"/>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Inc. and award recipients pursuant to the Burlington Stores, Inc. 2013 Omnibus Incentive</w:t>
              </w:r>
            </w:hyperlink>
          </w:p>
        </w:tc>
        <w:tc>
          <w:tcPr>
            <w:tcW w:w="240" w:type="dxa"/>
            <w:vAlign w:val="bottom"/>
            <w:tcBorders>
              <w:right w:val="single" w:sz="8" w:color="auto"/>
            </w:tcBorders>
            <w:gridSpan w:val="7"/>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Plan, as amended and restated May 17, 2017 (for grants made from and after May 2019).</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9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92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10-Q</w:t>
            </w:r>
          </w:p>
        </w:tc>
        <w:tc>
          <w:tcPr>
            <w:tcW w:w="5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10.48+</w:t>
            </w:r>
          </w:p>
        </w:tc>
        <w:tc>
          <w:tcPr>
            <w:tcW w:w="6420" w:type="dxa"/>
            <w:vAlign w:val="bottom"/>
            <w:tcBorders>
              <w:bottom w:val="single" w:sz="8" w:color="0000EE"/>
            </w:tcBorders>
            <w:gridSpan w:val="16"/>
          </w:tcPr>
          <w:p>
            <w:pPr>
              <w:spacing w:after="0" w:line="169"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Form of Stock Option Award Notice and Agreement between Burlington Stores, Inc. and</w:t>
              </w:r>
            </w:hyperlink>
          </w:p>
        </w:tc>
        <w:tc>
          <w:tcPr>
            <w:tcW w:w="280" w:type="dxa"/>
            <w:vAlign w:val="bottom"/>
            <w:tcBorders>
              <w:right w:val="single" w:sz="8" w:color="auto"/>
            </w:tcBorders>
            <w:gridSpan w:val="9"/>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award recipients pursuant to the Burlington Stores, Inc. 2013 Omnibus Incentive Plan, as</w:t>
              </w:r>
            </w:hyperlink>
          </w:p>
        </w:tc>
        <w:tc>
          <w:tcPr>
            <w:tcW w:w="260" w:type="dxa"/>
            <w:vAlign w:val="bottom"/>
            <w:tcBorders>
              <w:right w:val="single" w:sz="8" w:color="auto"/>
            </w:tcBorders>
            <w:gridSpan w:val="8"/>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amended and restated May 17, 2017 (for grants made from and after May 2019).</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9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92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10-Q</w:t>
            </w:r>
          </w:p>
        </w:tc>
        <w:tc>
          <w:tcPr>
            <w:tcW w:w="5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10.49+</w:t>
            </w:r>
          </w:p>
        </w:tc>
        <w:tc>
          <w:tcPr>
            <w:tcW w:w="6480" w:type="dxa"/>
            <w:vAlign w:val="bottom"/>
            <w:tcBorders>
              <w:bottom w:val="single" w:sz="8" w:color="0000EE"/>
            </w:tcBorders>
            <w:gridSpan w:val="19"/>
          </w:tcPr>
          <w:p>
            <w:pPr>
              <w:spacing w:after="0" w:line="169"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Form of Performance-Based Restricted Stock Unit Award Notice and Agreement between</w:t>
              </w:r>
            </w:hyperlink>
          </w:p>
        </w:tc>
        <w:tc>
          <w:tcPr>
            <w:tcW w:w="220" w:type="dxa"/>
            <w:vAlign w:val="bottom"/>
            <w:tcBorders>
              <w:right w:val="single" w:sz="8" w:color="auto"/>
            </w:tcBorders>
            <w:gridSpan w:val="6"/>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Burlington Stores, Inc. and Thomas A. Kingsbury pursuant to the Burlington Stores, Inc.</w:t>
              </w:r>
            </w:hyperlink>
          </w:p>
        </w:tc>
        <w:tc>
          <w:tcPr>
            <w:tcW w:w="300" w:type="dxa"/>
            <w:vAlign w:val="bottom"/>
            <w:tcBorders>
              <w:right w:val="single" w:sz="8" w:color="auto"/>
            </w:tcBorders>
            <w:gridSpan w:val="10"/>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2013 Omnibus Incentive Plan, as amended and restated May 17, 2017 (for grants made from</w:t>
              </w:r>
            </w:hyperlink>
          </w:p>
        </w:tc>
        <w:tc>
          <w:tcPr>
            <w:tcW w:w="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and after May 2019).</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10.50+</w:t>
            </w:r>
          </w:p>
        </w:tc>
        <w:tc>
          <w:tcPr>
            <w:tcW w:w="6380" w:type="dxa"/>
            <w:vAlign w:val="bottom"/>
            <w:tcBorders>
              <w:bottom w:val="single" w:sz="8" w:color="0000EE"/>
            </w:tcBorders>
            <w:gridSpan w:val="14"/>
          </w:tcPr>
          <w:p>
            <w:pPr>
              <w:spacing w:after="0" w:line="169"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Form of Restricted Stock Unit Award Notice and Agreement between Burlington Stores,</w:t>
              </w:r>
            </w:hyperlink>
          </w:p>
        </w:tc>
        <w:tc>
          <w:tcPr>
            <w:tcW w:w="320" w:type="dxa"/>
            <w:vAlign w:val="bottom"/>
            <w:tcBorders>
              <w:right w:val="single" w:sz="8" w:color="auto"/>
            </w:tcBorders>
            <w:gridSpan w:val="11"/>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Inc. and Thomas A. Kingsbury pursuant to the Burlington Stores, Inc. 2013 Omnibus</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Incentive Plan, as amended and restated May 17, 2017 (for grants made from and after May</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2019).</w:t>
              </w:r>
            </w:hyperlink>
          </w:p>
        </w:tc>
        <w:tc>
          <w:tcPr>
            <w:tcW w:w="1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10.51+</w:t>
            </w:r>
          </w:p>
        </w:tc>
        <w:tc>
          <w:tcPr>
            <w:tcW w:w="6420" w:type="dxa"/>
            <w:vAlign w:val="bottom"/>
            <w:tcBorders>
              <w:bottom w:val="single" w:sz="8" w:color="0000EE"/>
            </w:tcBorders>
            <w:gridSpan w:val="16"/>
          </w:tcPr>
          <w:p>
            <w:pPr>
              <w:spacing w:after="0" w:line="169"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Form of Stock Option Award Notice and Agreement between Burlington Stores, Inc. and</w:t>
              </w:r>
            </w:hyperlink>
          </w:p>
        </w:tc>
        <w:tc>
          <w:tcPr>
            <w:tcW w:w="280" w:type="dxa"/>
            <w:vAlign w:val="bottom"/>
            <w:tcBorders>
              <w:right w:val="single" w:sz="8" w:color="auto"/>
            </w:tcBorders>
            <w:gridSpan w:val="9"/>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4"/>
              </w:rPr>
              <w:t>June 3,</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Thomas A. Kingsbury pursuant to the Burlington Stores, Inc. 2013 Omnibus Incentive Plan,</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2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r:id="rId210">
              <w:r>
                <w:rPr>
                  <w:rFonts w:ascii="Arial" w:cs="Arial" w:eastAsia="Arial" w:hAnsi="Arial"/>
                  <w:sz w:val="18"/>
                  <w:szCs w:val="18"/>
                  <w:color w:val="0000EE"/>
                  <w:w w:val="98"/>
                </w:rPr>
                <w:t>as amended and restated May 17, 2017 (for grants made from and after May 2019).</w:t>
              </w:r>
            </w:hyperlink>
          </w:p>
        </w:tc>
        <w:tc>
          <w:tcPr>
            <w:tcW w:w="80" w:type="dxa"/>
            <w:vAlign w:val="bottom"/>
            <w:tcBorders>
              <w:right w:val="single" w:sz="8" w:color="auto"/>
            </w:tcBorders>
            <w:gridSpan w:val="2"/>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9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92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10-Q</w:t>
            </w:r>
          </w:p>
        </w:tc>
        <w:tc>
          <w:tcPr>
            <w:tcW w:w="5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10.52+</w:t>
            </w:r>
          </w:p>
        </w:tc>
        <w:tc>
          <w:tcPr>
            <w:tcW w:w="6380" w:type="dxa"/>
            <w:vAlign w:val="bottom"/>
            <w:tcBorders>
              <w:bottom w:val="single" w:sz="8" w:color="0000EE"/>
            </w:tcBorders>
            <w:gridSpan w:val="14"/>
          </w:tcPr>
          <w:p>
            <w:pPr>
              <w:spacing w:after="0" w:line="169"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Form of Restricted Stock Unit Award Notice and Agreement between Burlington Stores,</w:t>
              </w:r>
            </w:hyperlink>
          </w:p>
        </w:tc>
        <w:tc>
          <w:tcPr>
            <w:tcW w:w="320" w:type="dxa"/>
            <w:vAlign w:val="bottom"/>
            <w:tcBorders>
              <w:right w:val="single" w:sz="8" w:color="auto"/>
            </w:tcBorders>
            <w:gridSpan w:val="11"/>
          </w:tcPr>
          <w:p>
            <w:pPr>
              <w:spacing w:after="0"/>
              <w:rPr>
                <w:sz w:val="14"/>
                <w:szCs w:val="14"/>
                <w:color w:val="auto"/>
              </w:rPr>
            </w:pPr>
          </w:p>
        </w:tc>
        <w:tc>
          <w:tcPr>
            <w:tcW w:w="7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1"/>
              </w:rPr>
              <w:t>Quarterly</w:t>
            </w:r>
          </w:p>
        </w:tc>
        <w:tc>
          <w:tcPr>
            <w:tcW w:w="5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89"/>
              </w:rPr>
              <w:t>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3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Inc. and Non-Employee Directors pursuant to the Burlington Stores, Inc. 2013 Omnibus</w:t>
              </w:r>
            </w:hyperlink>
          </w:p>
        </w:tc>
        <w:tc>
          <w:tcPr>
            <w:tcW w:w="340" w:type="dxa"/>
            <w:vAlign w:val="bottom"/>
            <w:tcBorders>
              <w:right w:val="single" w:sz="8" w:color="auto"/>
            </w:tcBorders>
            <w:gridSpan w:val="12"/>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gridSpan w:val="25"/>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Incentive Plan, as amended and restated May 17, 2017 (for grants made from and after May</w:t>
              </w:r>
            </w:hyperlink>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on Form</w:t>
            </w:r>
          </w:p>
        </w:tc>
        <w:tc>
          <w:tcPr>
            <w:tcW w:w="5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2019).</w:t>
              </w:r>
            </w:hyperlink>
          </w:p>
        </w:tc>
        <w:tc>
          <w:tcPr>
            <w:tcW w:w="1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10-Q</w:t>
            </w:r>
          </w:p>
        </w:tc>
        <w:tc>
          <w:tcPr>
            <w:tcW w:w="5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21.1†</w:t>
            </w:r>
          </w:p>
        </w:tc>
        <w:tc>
          <w:tcPr>
            <w:tcW w:w="6700" w:type="dxa"/>
            <w:vAlign w:val="bottom"/>
            <w:tcBorders>
              <w:right w:val="single" w:sz="8" w:color="auto"/>
            </w:tcBorders>
            <w:gridSpan w:val="25"/>
          </w:tcPr>
          <w:p>
            <w:pPr>
              <w:spacing w:after="0" w:line="169" w:lineRule="exact"/>
              <w:rPr>
                <w:rFonts w:ascii="Arial" w:cs="Arial" w:eastAsia="Arial" w:hAnsi="Arial"/>
                <w:sz w:val="18"/>
                <w:szCs w:val="18"/>
                <w:color w:val="0000EE"/>
              </w:rPr>
            </w:pPr>
            <w:hyperlink w:anchor="page120">
              <w:r>
                <w:rPr>
                  <w:rFonts w:ascii="Arial" w:cs="Arial" w:eastAsia="Arial" w:hAnsi="Arial"/>
                  <w:sz w:val="18"/>
                  <w:szCs w:val="18"/>
                  <w:color w:val="0000EE"/>
                </w:rPr>
                <w:t>List of Subsidiaries of Burlington Stores, Inc.</w:t>
              </w:r>
            </w:hyperlink>
          </w:p>
        </w:tc>
        <w:tc>
          <w:tcPr>
            <w:tcW w:w="72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6"/>
          </w:tcPr>
          <w:p>
            <w:pPr>
              <w:ind w:left="3540"/>
              <w:spacing w:after="0"/>
              <w:rPr>
                <w:sz w:val="20"/>
                <w:szCs w:val="20"/>
                <w:color w:val="auto"/>
              </w:rPr>
            </w:pPr>
            <w:r>
              <w:rPr>
                <w:rFonts w:ascii="Arial" w:cs="Arial" w:eastAsia="Arial" w:hAnsi="Arial"/>
                <w:sz w:val="18"/>
                <w:szCs w:val="18"/>
                <w:color w:val="auto"/>
              </w:rPr>
              <w:t>92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4" w:name="page95"/>
    <w:bookmarkEnd w:id="94"/>
    <w:tbl>
      <w:tblPr>
        <w:tblLayout w:type="fixed"/>
        <w:tblInd w:w="1330" w:type="dxa"/>
        <w:tblCellMar>
          <w:top w:w="0" w:type="dxa"/>
          <w:left w:w="0" w:type="dxa"/>
          <w:bottom w:w="0" w:type="dxa"/>
          <w:right w:w="0" w:type="dxa"/>
        </w:tblCellMar>
      </w:tblPr>
      <w:tr>
        <w:trPr>
          <w:trHeight w:val="230"/>
        </w:trPr>
        <w:tc>
          <w:tcPr>
            <w:tcW w:w="8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3100" w:type="dxa"/>
            <w:vAlign w:val="bottom"/>
            <w:tcBorders>
              <w:top w:val="single" w:sz="8" w:color="auto"/>
              <w:bottom w:val="single" w:sz="8" w:color="auto"/>
              <w:right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Incorporated by Reference</w:t>
            </w:r>
          </w:p>
        </w:tc>
      </w:tr>
      <w:tr>
        <w:trPr>
          <w:trHeight w:val="209"/>
        </w:trPr>
        <w:tc>
          <w:tcPr>
            <w:tcW w:w="8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10"/>
          </w:tcPr>
          <w:p>
            <w:pPr>
              <w:ind w:left="220"/>
              <w:spacing w:after="0"/>
              <w:rPr>
                <w:sz w:val="20"/>
                <w:szCs w:val="20"/>
                <w:color w:val="auto"/>
              </w:rPr>
            </w:pPr>
            <w:r>
              <w:rPr>
                <w:rFonts w:ascii="Arial" w:cs="Arial" w:eastAsia="Arial" w:hAnsi="Arial"/>
                <w:sz w:val="18"/>
                <w:szCs w:val="18"/>
                <w:b w:val="1"/>
                <w:bCs w:val="1"/>
                <w:color w:val="auto"/>
              </w:rPr>
              <w:t>Exhibit Description</w:t>
            </w:r>
          </w:p>
        </w:tc>
        <w:tc>
          <w:tcPr>
            <w:tcW w:w="202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Form</w:t>
            </w:r>
          </w:p>
        </w:tc>
        <w:tc>
          <w:tcPr>
            <w:tcW w:w="1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169"/>
        </w:trPr>
        <w:tc>
          <w:tcPr>
            <w:tcW w:w="8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8"/>
                <w:szCs w:val="18"/>
                <w:color w:val="auto"/>
              </w:rPr>
              <w:t>23.1†</w:t>
            </w:r>
          </w:p>
        </w:tc>
        <w:tc>
          <w:tcPr>
            <w:tcW w:w="4740" w:type="dxa"/>
            <w:vAlign w:val="bottom"/>
            <w:tcBorders>
              <w:right w:val="single" w:sz="8" w:color="auto"/>
            </w:tcBorders>
            <w:gridSpan w:val="13"/>
          </w:tcPr>
          <w:p>
            <w:pPr>
              <w:spacing w:after="0" w:line="169" w:lineRule="exact"/>
              <w:rPr>
                <w:rFonts w:ascii="Arial" w:cs="Arial" w:eastAsia="Arial" w:hAnsi="Arial"/>
                <w:sz w:val="18"/>
                <w:szCs w:val="18"/>
                <w:color w:val="0000EE"/>
              </w:rPr>
            </w:pPr>
            <w:hyperlink w:anchor="page121">
              <w:r>
                <w:rPr>
                  <w:rFonts w:ascii="Arial" w:cs="Arial" w:eastAsia="Arial" w:hAnsi="Arial"/>
                  <w:sz w:val="18"/>
                  <w:szCs w:val="18"/>
                  <w:color w:val="0000EE"/>
                </w:rPr>
                <w:t>Consent of Deloitte &amp; Touche LLP.</w:t>
              </w:r>
            </w:hyperlink>
          </w:p>
        </w:tc>
        <w:tc>
          <w:tcPr>
            <w:tcW w:w="20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20"/>
        </w:trPr>
        <w:tc>
          <w:tcPr>
            <w:tcW w:w="8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4380" w:type="dxa"/>
            <w:vAlign w:val="bottom"/>
            <w:tcBorders>
              <w:bottom w:val="single" w:sz="8" w:color="0000EE"/>
            </w:tcBorders>
            <w:gridSpan w:val="6"/>
          </w:tcPr>
          <w:p>
            <w:pPr>
              <w:spacing w:after="0" w:line="169"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Certification of Principal Executive Officer required by Rule</w:t>
              </w:r>
            </w:hyperlink>
          </w:p>
        </w:tc>
        <w:tc>
          <w:tcPr>
            <w:tcW w:w="360" w:type="dxa"/>
            <w:vAlign w:val="bottom"/>
            <w:tcBorders>
              <w:right w:val="single" w:sz="8" w:color="auto"/>
            </w:tcBorders>
            <w:gridSpan w:val="7"/>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13a-14(a) or Rule 15d-14(a) of the Securities Exchange Act of</w:t>
              </w:r>
            </w:hyperlink>
          </w:p>
        </w:tc>
        <w:tc>
          <w:tcPr>
            <w:tcW w:w="240" w:type="dxa"/>
            <w:vAlign w:val="bottom"/>
            <w:tcBorders>
              <w:right w:val="single" w:sz="8" w:color="auto"/>
            </w:tcBorders>
            <w:gridSpan w:val="6"/>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1934, as adopted pursuant to Section 302 of the Sarbanes-Oxley</w:t>
              </w:r>
            </w:hyperlink>
          </w:p>
        </w:tc>
        <w:tc>
          <w:tcPr>
            <w:tcW w:w="120" w:type="dxa"/>
            <w:vAlign w:val="bottom"/>
            <w:tcBorders>
              <w:right w:val="single" w:sz="8" w:color="auto"/>
            </w:tcBorders>
            <w:gridSpan w:val="5"/>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740" w:type="dxa"/>
            <w:vAlign w:val="bottom"/>
            <w:tcBorders>
              <w:right w:val="single" w:sz="8" w:color="auto"/>
            </w:tcBorders>
            <w:gridSpan w:val="13"/>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Act of 2002.</w:t>
              </w:r>
            </w:hyperlink>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8"/>
                <w:szCs w:val="18"/>
                <w:color w:val="auto"/>
              </w:rPr>
              <w:t>31.2†</w:t>
            </w:r>
          </w:p>
        </w:tc>
        <w:tc>
          <w:tcPr>
            <w:tcW w:w="4700" w:type="dxa"/>
            <w:vAlign w:val="bottom"/>
            <w:tcBorders>
              <w:bottom w:val="single" w:sz="8" w:color="0000EE"/>
            </w:tcBorders>
            <w:gridSpan w:val="12"/>
          </w:tcPr>
          <w:p>
            <w:pPr>
              <w:spacing w:after="0" w:line="169"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Certification of Principal Financial Officer required by Rule 13a-</w:t>
              </w:r>
            </w:hyperlink>
          </w:p>
        </w:tc>
        <w:tc>
          <w:tcPr>
            <w:tcW w:w="4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14(a) or Rule 15d-14(a) of the Securities Exchange Act of 1934,</w:t>
              </w:r>
            </w:hyperlink>
          </w:p>
        </w:tc>
        <w:tc>
          <w:tcPr>
            <w:tcW w:w="100" w:type="dxa"/>
            <w:vAlign w:val="bottom"/>
            <w:tcBorders>
              <w:right w:val="single" w:sz="8" w:color="auto"/>
            </w:tcBorders>
            <w:gridSpan w:val="4"/>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740" w:type="dxa"/>
            <w:vAlign w:val="bottom"/>
            <w:tcBorders>
              <w:right w:val="single" w:sz="8" w:color="auto"/>
            </w:tcBorders>
            <w:gridSpan w:val="13"/>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as adopted pursuant to Section 302 of the Sarbanes-Oxley Act of</w:t>
              </w:r>
            </w:hyperlink>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2002.</w:t>
              </w:r>
            </w:hyperlink>
          </w:p>
        </w:tc>
        <w:tc>
          <w:tcPr>
            <w:tcW w:w="4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
        </w:trPr>
        <w:tc>
          <w:tcPr>
            <w:tcW w:w="8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8"/>
                <w:szCs w:val="18"/>
                <w:color w:val="auto"/>
              </w:rPr>
              <w:t>32.1†</w:t>
            </w:r>
          </w:p>
        </w:tc>
        <w:tc>
          <w:tcPr>
            <w:tcW w:w="4200" w:type="dxa"/>
            <w:vAlign w:val="bottom"/>
            <w:tcBorders>
              <w:bottom w:val="single" w:sz="8" w:color="0000EE"/>
            </w:tcBorders>
            <w:gridSpan w:val="5"/>
          </w:tcPr>
          <w:p>
            <w:pPr>
              <w:spacing w:after="0" w:line="169"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Executive Officer pursuant to 18</w:t>
              </w:r>
            </w:hyperlink>
          </w:p>
        </w:tc>
        <w:tc>
          <w:tcPr>
            <w:tcW w:w="540" w:type="dxa"/>
            <w:vAlign w:val="bottom"/>
            <w:tcBorders>
              <w:right w:val="single" w:sz="8" w:color="auto"/>
            </w:tcBorders>
            <w:gridSpan w:val="8"/>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740" w:type="dxa"/>
            <w:vAlign w:val="bottom"/>
            <w:tcBorders>
              <w:right w:val="single" w:sz="8" w:color="auto"/>
            </w:tcBorders>
            <w:gridSpan w:val="13"/>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U.S.C. 1350, as adopted pursuant to Section 906 of the Sarbanes-</w:t>
              </w:r>
            </w:hyperlink>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Oxley Act of 2002.</w:t>
              </w:r>
            </w:hyperlink>
          </w:p>
        </w:tc>
        <w:tc>
          <w:tcPr>
            <w:tcW w:w="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1"/>
        </w:trPr>
        <w:tc>
          <w:tcPr>
            <w:tcW w:w="8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8"/>
                <w:szCs w:val="18"/>
                <w:color w:val="auto"/>
              </w:rPr>
              <w:t>32.2†</w:t>
            </w:r>
          </w:p>
        </w:tc>
        <w:tc>
          <w:tcPr>
            <w:tcW w:w="4680" w:type="dxa"/>
            <w:vAlign w:val="bottom"/>
            <w:tcBorders>
              <w:bottom w:val="single" w:sz="8" w:color="0000EE"/>
            </w:tcBorders>
            <w:gridSpan w:val="11"/>
          </w:tcPr>
          <w:p>
            <w:pPr>
              <w:spacing w:after="0" w:line="169"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Principal Financial Officer pursuant to 18 U.S.C.</w:t>
              </w:r>
            </w:hyperlink>
          </w:p>
        </w:tc>
        <w:tc>
          <w:tcPr>
            <w:tcW w:w="60" w:type="dxa"/>
            <w:vAlign w:val="bottom"/>
            <w:tcBorders>
              <w:right w:val="single" w:sz="8" w:color="auto"/>
            </w:tcBorders>
            <w:gridSpan w:val="2"/>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1350, as adopted pursuant to Section 906 of the Sarbanes-Oxley</w:t>
              </w:r>
            </w:hyperlink>
          </w:p>
        </w:tc>
        <w:tc>
          <w:tcPr>
            <w:tcW w:w="120" w:type="dxa"/>
            <w:vAlign w:val="bottom"/>
            <w:tcBorders>
              <w:right w:val="single" w:sz="8" w:color="auto"/>
            </w:tcBorders>
            <w:gridSpan w:val="5"/>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4740" w:type="dxa"/>
            <w:vAlign w:val="bottom"/>
            <w:tcBorders>
              <w:right w:val="single" w:sz="8" w:color="auto"/>
            </w:tcBorders>
            <w:gridSpan w:val="1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Act of 2002.</w:t>
              </w:r>
            </w:hyperlink>
          </w:p>
        </w:tc>
        <w:tc>
          <w:tcPr>
            <w:tcW w:w="2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1"/>
        </w:trPr>
        <w:tc>
          <w:tcPr>
            <w:tcW w:w="8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8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101.INS†</w:t>
            </w:r>
          </w:p>
        </w:tc>
        <w:tc>
          <w:tcPr>
            <w:tcW w:w="4740" w:type="dxa"/>
            <w:vAlign w:val="bottom"/>
            <w:tcBorders>
              <w:right w:val="single" w:sz="8" w:color="auto"/>
            </w:tcBorders>
            <w:gridSpan w:val="13"/>
          </w:tcPr>
          <w:p>
            <w:pPr>
              <w:spacing w:after="0" w:line="195" w:lineRule="exact"/>
              <w:rPr>
                <w:sz w:val="20"/>
                <w:szCs w:val="20"/>
                <w:color w:val="auto"/>
              </w:rPr>
            </w:pPr>
            <w:r>
              <w:rPr>
                <w:rFonts w:ascii="Arial" w:cs="Arial" w:eastAsia="Arial" w:hAnsi="Arial"/>
                <w:sz w:val="18"/>
                <w:szCs w:val="18"/>
                <w:color w:val="auto"/>
                <w:w w:val="93"/>
              </w:rPr>
              <w:t>Inline XBRL Instance Document – the instance document does</w:t>
            </w:r>
          </w:p>
        </w:tc>
        <w:tc>
          <w:tcPr>
            <w:tcW w:w="20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16"/>
        </w:trPr>
        <w:tc>
          <w:tcPr>
            <w:tcW w:w="80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w w:val="95"/>
              </w:rPr>
              <w:t>not appear in Interactive Data File, because its XBRL tags are</w:t>
            </w:r>
          </w:p>
        </w:tc>
        <w:tc>
          <w:tcPr>
            <w:tcW w:w="20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20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10"/>
        </w:trPr>
        <w:tc>
          <w:tcPr>
            <w:tcW w:w="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1"/>
              </w:rPr>
              <w:t>101.SCH†</w:t>
            </w:r>
          </w:p>
        </w:tc>
        <w:tc>
          <w:tcPr>
            <w:tcW w:w="47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20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209"/>
        </w:trPr>
        <w:tc>
          <w:tcPr>
            <w:tcW w:w="5540" w:type="dxa"/>
            <w:vAlign w:val="bottom"/>
            <w:tcBorders>
              <w:left w:val="single" w:sz="8" w:color="auto"/>
              <w:bottom w:val="single" w:sz="8" w:color="auto"/>
              <w:right w:val="single" w:sz="8" w:color="auto"/>
            </w:tcBorders>
            <w:gridSpan w:val="14"/>
          </w:tcPr>
          <w:p>
            <w:pPr>
              <w:ind w:left="20"/>
              <w:spacing w:after="0"/>
              <w:rPr>
                <w:sz w:val="20"/>
                <w:szCs w:val="20"/>
                <w:color w:val="auto"/>
              </w:rPr>
            </w:pPr>
            <w:r>
              <w:rPr>
                <w:rFonts w:ascii="Arial" w:cs="Arial" w:eastAsia="Arial" w:hAnsi="Arial"/>
                <w:sz w:val="18"/>
                <w:szCs w:val="18"/>
                <w:color w:val="auto"/>
                <w:w w:val="98"/>
              </w:rPr>
              <w:t>101.CAL†Inline Taxonomy Extension Calculation Linkbase Document</w:t>
            </w:r>
          </w:p>
        </w:tc>
        <w:tc>
          <w:tcPr>
            <w:tcW w:w="20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195"/>
        </w:trPr>
        <w:tc>
          <w:tcPr>
            <w:tcW w:w="5540" w:type="dxa"/>
            <w:vAlign w:val="bottom"/>
            <w:tcBorders>
              <w:left w:val="single" w:sz="8" w:color="auto"/>
              <w:right w:val="single" w:sz="8" w:color="auto"/>
            </w:tcBorders>
            <w:gridSpan w:val="14"/>
          </w:tcPr>
          <w:p>
            <w:pPr>
              <w:ind w:left="20"/>
              <w:spacing w:after="0" w:line="195" w:lineRule="exact"/>
              <w:rPr>
                <w:sz w:val="20"/>
                <w:szCs w:val="20"/>
                <w:color w:val="auto"/>
              </w:rPr>
            </w:pPr>
            <w:r>
              <w:rPr>
                <w:rFonts w:ascii="Arial" w:cs="Arial" w:eastAsia="Arial" w:hAnsi="Arial"/>
                <w:sz w:val="18"/>
                <w:szCs w:val="18"/>
                <w:color w:val="auto"/>
              </w:rPr>
              <w:t>101.DEF† Inline XBRL Taxonomy Extension Definition Linkbase</w:t>
            </w:r>
          </w:p>
        </w:tc>
        <w:tc>
          <w:tcPr>
            <w:tcW w:w="20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Document</w:t>
            </w:r>
          </w:p>
        </w:tc>
        <w:tc>
          <w:tcPr>
            <w:tcW w:w="20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09"/>
        </w:trPr>
        <w:tc>
          <w:tcPr>
            <w:tcW w:w="5540" w:type="dxa"/>
            <w:vAlign w:val="bottom"/>
            <w:tcBorders>
              <w:left w:val="single" w:sz="8" w:color="auto"/>
              <w:bottom w:val="single" w:sz="8" w:color="auto"/>
              <w:right w:val="single" w:sz="8" w:color="auto"/>
            </w:tcBorders>
            <w:gridSpan w:val="14"/>
          </w:tcPr>
          <w:p>
            <w:pPr>
              <w:ind w:left="20"/>
              <w:spacing w:after="0"/>
              <w:rPr>
                <w:sz w:val="20"/>
                <w:szCs w:val="20"/>
                <w:color w:val="auto"/>
              </w:rPr>
            </w:pPr>
            <w:r>
              <w:rPr>
                <w:rFonts w:ascii="Arial" w:cs="Arial" w:eastAsia="Arial" w:hAnsi="Arial"/>
                <w:sz w:val="18"/>
                <w:szCs w:val="18"/>
                <w:color w:val="auto"/>
                <w:w w:val="97"/>
              </w:rPr>
              <w:t>101.LAB†Inline XBRL Taxonomy Extension Label Linkbase Document</w:t>
            </w:r>
          </w:p>
        </w:tc>
        <w:tc>
          <w:tcPr>
            <w:tcW w:w="20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195"/>
        </w:trPr>
        <w:tc>
          <w:tcPr>
            <w:tcW w:w="5540" w:type="dxa"/>
            <w:vAlign w:val="bottom"/>
            <w:tcBorders>
              <w:left w:val="single" w:sz="8" w:color="auto"/>
              <w:right w:val="single" w:sz="8" w:color="auto"/>
            </w:tcBorders>
            <w:gridSpan w:val="14"/>
          </w:tcPr>
          <w:p>
            <w:pPr>
              <w:ind w:left="20"/>
              <w:spacing w:after="0" w:line="195" w:lineRule="exact"/>
              <w:rPr>
                <w:sz w:val="20"/>
                <w:szCs w:val="20"/>
                <w:color w:val="auto"/>
              </w:rPr>
            </w:pPr>
            <w:r>
              <w:rPr>
                <w:rFonts w:ascii="Arial" w:cs="Arial" w:eastAsia="Arial" w:hAnsi="Arial"/>
                <w:sz w:val="18"/>
                <w:szCs w:val="18"/>
                <w:color w:val="auto"/>
              </w:rPr>
              <w:t>101.PRE† Inline XBRL Taxonomy Extension Presentation Linkbase</w:t>
            </w:r>
          </w:p>
        </w:tc>
        <w:tc>
          <w:tcPr>
            <w:tcW w:w="20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Document</w:t>
            </w:r>
          </w:p>
        </w:tc>
        <w:tc>
          <w:tcPr>
            <w:tcW w:w="20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195"/>
        </w:trPr>
        <w:tc>
          <w:tcPr>
            <w:tcW w:w="8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104†</w:t>
            </w:r>
          </w:p>
        </w:tc>
        <w:tc>
          <w:tcPr>
            <w:tcW w:w="4740" w:type="dxa"/>
            <w:vAlign w:val="bottom"/>
            <w:tcBorders>
              <w:right w:val="single" w:sz="8" w:color="auto"/>
            </w:tcBorders>
            <w:gridSpan w:val="13"/>
          </w:tcPr>
          <w:p>
            <w:pPr>
              <w:spacing w:after="0" w:line="195" w:lineRule="exact"/>
              <w:rPr>
                <w:sz w:val="20"/>
                <w:szCs w:val="20"/>
                <w:color w:val="auto"/>
              </w:rPr>
            </w:pPr>
            <w:r>
              <w:rPr>
                <w:rFonts w:ascii="Arial" w:cs="Arial" w:eastAsia="Arial" w:hAnsi="Arial"/>
                <w:sz w:val="18"/>
                <w:szCs w:val="18"/>
                <w:color w:val="auto"/>
                <w:w w:val="93"/>
              </w:rPr>
              <w:t>Cover Page Interactive Data File (formatted as inline XBRL and</w:t>
            </w:r>
          </w:p>
        </w:tc>
        <w:tc>
          <w:tcPr>
            <w:tcW w:w="20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contained in Exhibit 101)</w:t>
            </w:r>
          </w:p>
        </w:tc>
        <w:tc>
          <w:tcPr>
            <w:tcW w:w="20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1536700</wp:posOffset>
            </wp:positionH>
            <wp:positionV relativeFrom="page">
              <wp:posOffset>226060</wp:posOffset>
            </wp:positionV>
            <wp:extent cx="8890" cy="4106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4">
                      <a:extLst>
                        <a:ext uri="{28A0092B-C50C-407E-A947-70E740481C1C}"/>
                      </a:extLst>
                    </a:blip>
                    <a:srcRect/>
                    <a:stretch>
                      <a:fillRect/>
                    </a:stretch>
                  </pic:blipFill>
                  <pic:spPr bwMode="auto">
                    <a:xfrm>
                      <a:off x="0" y="0"/>
                      <a:ext cx="8890" cy="4106545"/>
                    </a:xfrm>
                    <a:prstGeom prst="rect">
                      <a:avLst/>
                    </a:prstGeom>
                    <a:noFill/>
                  </pic:spPr>
                </pic:pic>
              </a:graphicData>
            </a:graphic>
          </wp:anchor>
        </w:drawing>
      </w:r>
    </w:p>
    <w:p>
      <w:pPr>
        <w:ind w:left="1500" w:hanging="743"/>
        <w:spacing w:after="0"/>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 w:lineRule="exact"/>
        <w:rPr>
          <w:sz w:val="20"/>
          <w:szCs w:val="20"/>
          <w:color w:val="auto"/>
        </w:rPr>
      </w:pPr>
    </w:p>
    <w:p>
      <w:pPr>
        <w:ind w:left="1540" w:hanging="783"/>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3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95" w:name="page96"/>
    <w:bookmarkEnd w:id="9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BURLINGTON STORES,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O’Sullivan</w:t>
            </w:r>
          </w:p>
        </w:tc>
      </w:tr>
      <w:tr>
        <w:trPr>
          <w:trHeight w:val="191"/>
        </w:trPr>
        <w:tc>
          <w:tcPr>
            <w:tcW w:w="46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Arial" w:cs="Arial" w:eastAsia="Arial" w:hAnsi="Arial"/>
                <w:sz w:val="18"/>
                <w:szCs w:val="18"/>
                <w:color w:val="auto"/>
                <w:w w:val="97"/>
              </w:rPr>
              <w:t>Michael O’Sullivan</w:t>
            </w:r>
          </w:p>
        </w:tc>
      </w:tr>
      <w:tr>
        <w:trPr>
          <w:trHeight w:val="234"/>
        </w:trPr>
        <w:tc>
          <w:tcPr>
            <w:tcW w:w="4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13</w:t>
      </w:r>
      <w:r>
        <w:rPr>
          <w:rFonts w:ascii="Arial" w:cs="Arial" w:eastAsia="Arial" w:hAnsi="Arial"/>
          <w:sz w:val="15"/>
          <w:szCs w:val="15"/>
          <w:color w:val="auto"/>
        </w:rPr>
        <w:t>th</w:t>
      </w:r>
      <w:r>
        <w:rPr>
          <w:rFonts w:ascii="Arial" w:cs="Arial" w:eastAsia="Arial" w:hAnsi="Arial"/>
          <w:sz w:val="18"/>
          <w:szCs w:val="18"/>
          <w:color w:val="auto"/>
        </w:rPr>
        <w:t xml:space="preserve"> day of March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ind w:left="1960"/>
              <w:spacing w:after="0"/>
              <w:rPr>
                <w:sz w:val="20"/>
                <w:szCs w:val="20"/>
                <w:color w:val="auto"/>
              </w:rPr>
            </w:pPr>
            <w:r>
              <w:rPr>
                <w:rFonts w:ascii="Arial" w:cs="Arial" w:eastAsia="Arial" w:hAnsi="Arial"/>
                <w:sz w:val="14"/>
                <w:szCs w:val="14"/>
                <w:b w:val="1"/>
                <w:bCs w:val="1"/>
                <w:color w:val="auto"/>
              </w:rPr>
              <w:t>Signature</w:t>
            </w:r>
          </w:p>
        </w:tc>
        <w:tc>
          <w:tcPr>
            <w:tcW w:w="4720" w:type="dxa"/>
            <w:vAlign w:val="bottom"/>
            <w:gridSpan w:val="3"/>
          </w:tcPr>
          <w:p>
            <w:pPr>
              <w:ind w:left="3400"/>
              <w:spacing w:after="0"/>
              <w:rPr>
                <w:sz w:val="20"/>
                <w:szCs w:val="20"/>
                <w:color w:val="auto"/>
              </w:rPr>
            </w:pPr>
            <w:r>
              <w:rPr>
                <w:rFonts w:ascii="Arial" w:cs="Arial" w:eastAsia="Arial" w:hAnsi="Arial"/>
                <w:sz w:val="14"/>
                <w:szCs w:val="14"/>
                <w:b w:val="1"/>
                <w:bCs w:val="1"/>
                <w:color w:val="auto"/>
              </w:rPr>
              <w:t>Title</w:t>
            </w:r>
          </w:p>
        </w:tc>
      </w:tr>
      <w:tr>
        <w:trPr>
          <w:trHeight w:val="331"/>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O’Sullivan</w:t>
            </w:r>
          </w:p>
        </w:tc>
        <w:tc>
          <w:tcPr>
            <w:tcW w:w="60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Chief Executive Officer and Director</w:t>
            </w:r>
          </w:p>
        </w:tc>
        <w:tc>
          <w:tcPr>
            <w:tcW w:w="3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Michael O’Sullivan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Crimmins</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John Crimmins</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Ted English</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Ted English</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Jordan Hitch</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Jordan Hitch</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Mahoney</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John Mahoney</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McNamara</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William McNamara</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Jessica Rodriguez</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Jessica Rodriguez</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Laura J. Sen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Laura J. Sen</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Paul Sullivan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Paul Sullivan</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Ann Tocio</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Mary Ann Tocio</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337" w:right="51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96" w:lineRule="exact"/>
        <w:rPr>
          <w:sz w:val="20"/>
          <w:szCs w:val="20"/>
          <w:color w:val="auto"/>
        </w:rPr>
      </w:pPr>
    </w:p>
    <w:p>
      <w:pPr>
        <w:ind w:right="1200"/>
        <w:spacing w:after="0" w:line="250" w:lineRule="auto"/>
        <w:rPr>
          <w:sz w:val="20"/>
          <w:szCs w:val="20"/>
          <w:color w:val="auto"/>
        </w:rPr>
      </w:pPr>
      <w:r>
        <w:rPr>
          <w:rFonts w:ascii="Arial" w:cs="Arial" w:eastAsia="Arial" w:hAnsi="Arial"/>
          <w:sz w:val="22"/>
          <w:szCs w:val="22"/>
          <w:color w:val="auto"/>
        </w:rPr>
        <w:t>DESCRIPTION OF THE REGISTRANT’S SECURITIES REGISTERED PURSUANT TO SECTION 12 OF THE SECURITIES EXCHANGE ACT OF 1934</w:t>
      </w:r>
    </w:p>
    <w:p>
      <w:pPr>
        <w:spacing w:after="0" w:line="200" w:lineRule="exact"/>
        <w:rPr>
          <w:sz w:val="20"/>
          <w:szCs w:val="20"/>
          <w:color w:val="auto"/>
        </w:rPr>
      </w:pPr>
    </w:p>
    <w:p>
      <w:pPr>
        <w:spacing w:after="0" w:line="285"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Burlington Stores, Inc. (“Burlington” or the “Company”) has one class of securities registered under Section 12 of the Securities Exchange Act of 1934, as amended: our Common Stock, par value $0.0001 per share (the “Common Stock”).</w:t>
      </w:r>
    </w:p>
    <w:p>
      <w:pPr>
        <w:spacing w:after="0" w:line="132"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The following description of our Common Stock is a summary of certain key terms and does not purport to be complete. It is subject to and qualified in its entirety by reference to our Amended and Restated Certificate of Incorporation (the “Certificate of Incorporation”) and our Amended and Restated Bylaws (the “Bylaws”), each of which is incorporated by reference as an exhibit to the Annual Report on Form 10-K of which this Exhibit 4.1 is a part.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Under our Certificate of Incorporation, Burlington is authorized to issue up to 500,000,000 shares of our Common Stock and up to 50,000,000 shares of preferred stock, par value $0.0001 per share (the “Preferred Stock”). The outstanding shares of our Common Stock are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Preemptive, Redemption or Conversion Rights</w:t>
      </w:r>
    </w:p>
    <w:p>
      <w:pPr>
        <w:spacing w:after="0" w:line="233"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Our Common Stock is not redeemable, is not subject to sinking fund provisions, does not have any conversion rights and is not subject to call. Holders of shares of Common Stock do not have preemptive rights to acquire newly issued shares.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233"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We have one class of stock outstanding, our Common Stock, all holders of which have one vote per share in all elections of directors and on all other matters submitted to a vote of stockholders of Burlington. Holders of shares of Common Stock do not have cumulative voting rights. Directors elected at a meeting of stockholders are elected by the vote of the majority of the votes cast by shares present in person or represented by proxy at the meeting and entitled to vote thereon, provided that in any contested election of directors the directors shall be elected by a plurality of the shares present in person or represented by proxy and entitled to vote thereon. All other matters submitted to a vote of stockholders are decided by the affirmative vote of a majority of the voting power of the shares present in person or represented by proxy at the meeting and entitled to vote thereon, unless the matter is one upon which a different vote is required by express provision of law, our Certificate of Incorporation or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3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Subject to any rights of the holders of any series of Preferred Stock to elect additional directors under specified circumstances, our Board is divided into three classes as nearly equal in size as is practicable. Each of the three classes of directors serves a staggered three-year term.</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Rights</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Subject to the rights of the holders of any series of Preferred Stock and other provisions of the Certificate of Incorporation, holders of Common Stock are entitled to receive equally, on a per share basis, dividends and other distributions in cash, securities or other property of the Company, if any, as and when declared by our Board of Directors from time to time out of assets or funds of the Company legally available therefor.</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Liquidation, Dissolution or Similar Rights</w:t>
      </w:r>
    </w:p>
    <w:p>
      <w:pPr>
        <w:spacing w:after="0" w:line="233"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Upon liquidation, dissolution or winding up of the affairs of Burlington, after payment of the Company’s debts and subject to the rights of the holders of shares of any series of Preferred Stock upon such dissolution, liquidation or winding up, the remaining net assets of the Company would be distributed among holders of shares of Common Stock equally on a per share basis.</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Under our Certificate of Incorporation, without further stockholder action, our Board of Directors is authorized to provide for the issuance of all or any of the shares of Preferred Stock in one or more series, to establish the number of shares to be included in each such series, and to fix the voting powers (full, limited or no voting powers), designations, powers, preferences, and relative, participating, optional or other rights, if any, and any qualifications, limitations or restrictions thereof. The rights of the holders of our Common Stock are subject to, and may be adversely affected by, the rights of the holders of shares of any series of Preferred Stock that we may designate and issue in the future.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our Certificate of Incorporation and Bylaws</w:t>
      </w:r>
    </w:p>
    <w:p>
      <w:pPr>
        <w:spacing w:after="0" w:line="239"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Our Certificate of Incorporation and Bylaws contain provisions that, in addition to being applicable in other contexts, could delay or discourage some transactions involving an actual or potential change in control of Burlington or its management. For example, our Certificate of Incorporation and Bylaws contain certain anti-takeover provisions, which:</w:t>
      </w:r>
    </w:p>
    <w:p>
      <w:pPr>
        <w:spacing w:after="0" w:line="161" w:lineRule="exact"/>
        <w:rPr>
          <w:sz w:val="20"/>
          <w:szCs w:val="20"/>
          <w:color w:val="auto"/>
        </w:rPr>
      </w:pPr>
    </w:p>
    <w:p>
      <w:pPr>
        <w:ind w:left="1300" w:hanging="442"/>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authorize the issuance of Preferred Stock as described above;</w:t>
      </w:r>
    </w:p>
    <w:p>
      <w:pPr>
        <w:spacing w:after="0" w:line="233" w:lineRule="exact"/>
        <w:rPr>
          <w:rFonts w:ascii="Arial" w:cs="Arial" w:eastAsia="Arial" w:hAnsi="Arial"/>
          <w:sz w:val="22"/>
          <w:szCs w:val="22"/>
          <w:color w:val="auto"/>
        </w:rPr>
      </w:pPr>
    </w:p>
    <w:p>
      <w:pPr>
        <w:ind w:left="1300" w:right="560" w:hanging="442"/>
        <w:spacing w:after="0" w:line="250" w:lineRule="auto"/>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prohibit stockholder action by written consent, requiring all stockholder actions be taken at a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98" w:name="page99"/>
    <w:bookmarkEnd w:id="98"/>
    <w:p>
      <w:pPr>
        <w:ind w:left="442" w:right="140" w:hanging="442"/>
        <w:spacing w:after="0" w:line="250" w:lineRule="auto"/>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establish advance notice requirements for nominations for elections to our Board of Directors or for proposing matters that can be acted upon by stockholders at stockholder meetings;</w:t>
      </w:r>
    </w:p>
    <w:p>
      <w:pPr>
        <w:spacing w:after="0" w:line="201" w:lineRule="exact"/>
        <w:rPr>
          <w:rFonts w:ascii="Arial" w:cs="Arial" w:eastAsia="Arial" w:hAnsi="Arial"/>
          <w:sz w:val="22"/>
          <w:szCs w:val="22"/>
          <w:color w:val="auto"/>
        </w:rPr>
      </w:pPr>
    </w:p>
    <w:p>
      <w:pPr>
        <w:ind w:left="442" w:hanging="442"/>
        <w:spacing w:after="0"/>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establish a classified Board of Directors as described above;</w:t>
      </w:r>
    </w:p>
    <w:p>
      <w:pPr>
        <w:spacing w:after="0" w:line="233" w:lineRule="exact"/>
        <w:rPr>
          <w:rFonts w:ascii="Arial" w:cs="Arial" w:eastAsia="Arial" w:hAnsi="Arial"/>
          <w:sz w:val="22"/>
          <w:szCs w:val="22"/>
          <w:color w:val="auto"/>
        </w:rPr>
      </w:pPr>
    </w:p>
    <w:p>
      <w:pPr>
        <w:ind w:left="442" w:hanging="442"/>
        <w:spacing w:after="0" w:line="250" w:lineRule="auto"/>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limit the ability of stockholders to remove directors only for cause and only upon the affirmative vote of at least 75% of the outstanding shares of our Common Stock;</w:t>
      </w:r>
    </w:p>
    <w:p>
      <w:pPr>
        <w:spacing w:after="0" w:line="201" w:lineRule="exact"/>
        <w:rPr>
          <w:rFonts w:ascii="Arial" w:cs="Arial" w:eastAsia="Arial" w:hAnsi="Arial"/>
          <w:sz w:val="22"/>
          <w:szCs w:val="22"/>
          <w:color w:val="auto"/>
        </w:rPr>
      </w:pPr>
    </w:p>
    <w:p>
      <w:pPr>
        <w:ind w:left="442" w:hanging="442"/>
        <w:spacing w:after="0"/>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prohibit stockholders from calling special meetings of stockholders;</w:t>
      </w:r>
    </w:p>
    <w:p>
      <w:pPr>
        <w:spacing w:after="0" w:line="233" w:lineRule="exact"/>
        <w:rPr>
          <w:rFonts w:ascii="Arial" w:cs="Arial" w:eastAsia="Arial" w:hAnsi="Arial"/>
          <w:sz w:val="22"/>
          <w:szCs w:val="22"/>
          <w:color w:val="auto"/>
        </w:rPr>
      </w:pPr>
    </w:p>
    <w:p>
      <w:pPr>
        <w:ind w:left="442" w:hanging="442"/>
        <w:spacing w:after="0"/>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provide that the Board of Directors is expressly authorized to alter or repeal our Bylaws; and</w:t>
      </w:r>
    </w:p>
    <w:p>
      <w:pPr>
        <w:spacing w:after="0" w:line="233" w:lineRule="exact"/>
        <w:rPr>
          <w:rFonts w:ascii="Arial" w:cs="Arial" w:eastAsia="Arial" w:hAnsi="Arial"/>
          <w:sz w:val="22"/>
          <w:szCs w:val="22"/>
          <w:color w:val="auto"/>
        </w:rPr>
      </w:pPr>
    </w:p>
    <w:p>
      <w:pPr>
        <w:ind w:left="442" w:right="300" w:hanging="442"/>
        <w:spacing w:after="0" w:line="250" w:lineRule="auto"/>
        <w:tabs>
          <w:tab w:leader="none" w:pos="4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require the approval of holders of at least 75% of the outstanding shares of our Common Stock to amend the Bylaws and certain provisions of the Certificate of Incorporation.</w:t>
      </w:r>
    </w:p>
    <w:p>
      <w:pPr>
        <w:sectPr>
          <w:pgSz w:w="11900" w:h="16838" w:orient="portrait"/>
          <w:cols w:equalWidth="0" w:num="1">
            <w:col w:w="10102"/>
          </w:cols>
          <w:pgMar w:left="1178" w:top="604" w:right="61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EMPLOYMENT AGREEMENT</w:t>
      </w:r>
    </w:p>
    <w:p>
      <w:pPr>
        <w:spacing w:after="0" w:line="206"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March 23, 2011, by and between Burlington Coat Factory Warehouse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John Crimmins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0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WHEREAS, the Company desires to employ Executive during the Employment Period, and Executive is willing to accept employment with the Company, on the terms and conditions set forth herein; and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 xml:space="preserve">WHEREAS, the agreements of Executive in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are material inducements to enter into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In consideration of the mutual covenants contained herein and other good and valuable consideration, the receipt and sufficiency of which are hereby acknowledged, the parties hereto agree as follows:</w:t>
      </w:r>
    </w:p>
    <w:p>
      <w:pPr>
        <w:spacing w:after="0" w:line="175" w:lineRule="exact"/>
        <w:rPr>
          <w:sz w:val="20"/>
          <w:szCs w:val="20"/>
          <w:color w:val="auto"/>
        </w:rPr>
      </w:pPr>
    </w:p>
    <w:p>
      <w:pPr>
        <w:ind w:left="2540" w:hanging="805"/>
        <w:spacing w:after="0"/>
        <w:tabs>
          <w:tab w:leader="none" w:pos="25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In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has the meaning given to that term in </w:t>
      </w:r>
      <w:r>
        <w:rPr>
          <w:rFonts w:ascii="Arial" w:cs="Arial" w:eastAsia="Arial" w:hAnsi="Arial"/>
          <w:sz w:val="22"/>
          <w:szCs w:val="22"/>
          <w:u w:val="single" w:color="auto"/>
          <w:color w:val="auto"/>
        </w:rPr>
        <w:t>Section 3(a)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Executive (i) is convicted of a felony or other crime involving dishonesty towards the Company or any of its Subsidiaries or material misuse of property of the Company or any of its Subsidiaries; (ii) engages in willful misconduct or fraud with respect to the Company or any of its Subsidiaries or any of their customers or suppliers or an intentional act of dishonesty or disloyalty in the course of Executive’s employment; (iii) refuses to perform Executive’s material obligations under this Agreement (except in connection with a Disability) as reasonably directed by the Board or the Company’s chief executive officer, which failure is not cured within 15 days after written notice thereof to Executive; (iv) misappropriates one or more of the Company’s or any of its Subsidiaries material assets or business opportunities; or (v) breaches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w:t>
      </w:r>
      <w:r>
        <w:rPr>
          <w:rFonts w:ascii="Arial" w:cs="Arial" w:eastAsia="Arial" w:hAnsi="Arial"/>
          <w:sz w:val="19"/>
          <w:szCs w:val="19"/>
          <w:color w:val="auto"/>
        </w:rPr>
        <w:t xml:space="preserve"> hereof which breach, if capable of being cured, is not cured within 10 days of written notice thereof has been delivered to Executive. The Company may allow Executive an extension of time to cure a breach if the Board, in its sole discretion, determines that such extension is appropriate under the circumstances.</w:t>
      </w:r>
    </w:p>
    <w:p>
      <w:pPr>
        <w:spacing w:after="0" w:line="16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 above; together with its Subsidiaries and affiliates and includes all predecessor entities.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has the meaning given to that term in Section 5(a).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Court</w:t>
      </w:r>
      <w:r>
        <w:rPr>
          <w:rFonts w:ascii="Arial" w:cs="Arial" w:eastAsia="Arial" w:hAnsi="Arial"/>
          <w:sz w:val="22"/>
          <w:szCs w:val="22"/>
          <w:color w:val="auto"/>
        </w:rPr>
        <w:t>” has the meaning given to that term in Section 8(b).</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Executive’s inability to perform the essential duties, responsibilities and functions of Executive’s position with the Company and its Subsidiaries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jc w:val="both"/>
        <w:spacing w:after="0" w:line="247" w:lineRule="auto"/>
        <w:rPr>
          <w:sz w:val="20"/>
          <w:szCs w:val="20"/>
          <w:color w:val="auto"/>
        </w:rPr>
      </w:pPr>
      <w:r>
        <w:rPr>
          <w:rFonts w:ascii="Arial" w:cs="Arial" w:eastAsia="Arial" w:hAnsi="Arial"/>
          <w:sz w:val="21"/>
          <w:szCs w:val="21"/>
          <w:color w:val="auto"/>
        </w:rPr>
        <w:t>any period totaling two hundred and seventy (270) days in any consecutive twelve (12) month period as a result of any mental or physical disability or incapacity, as determined under the definition of disability in the Company’s long-term disability plan so as to qualify Executive for benefits under the terms of that plan or as determined by an independent physician to the extent no such plan is then in effect. Executive shall cooperate in all respects with the Company if a question arises as to whether Executive has become disabled (including, without limitation, submitting to an examination by a medical doctor or other health care specialists selected by the Company and authorizing such medical doctor or such other health care specialist to discuss Executive’s condition with the Company).</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Period</w:t>
      </w:r>
      <w:r>
        <w:rPr>
          <w:rFonts w:ascii="Arial" w:cs="Arial" w:eastAsia="Arial" w:hAnsi="Arial"/>
          <w:sz w:val="19"/>
          <w:szCs w:val="19"/>
          <w:color w:val="auto"/>
        </w:rPr>
        <w:t>” means the period commencing on ____________ (the “Commencement Date”)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ending on the Expiration Date or such earlier date as contemplated in the proviso to </w:t>
      </w:r>
      <w:r>
        <w:rPr>
          <w:rFonts w:ascii="Arial" w:cs="Arial" w:eastAsia="Arial" w:hAnsi="Arial"/>
          <w:sz w:val="22"/>
          <w:szCs w:val="22"/>
          <w:u w:val="single" w:color="auto"/>
          <w:color w:val="auto"/>
        </w:rPr>
        <w:t>Section 4(a)</w:t>
      </w:r>
      <w:r>
        <w:rPr>
          <w:rFonts w:ascii="Arial" w:cs="Arial" w:eastAsia="Arial" w:hAnsi="Arial"/>
          <w:sz w:val="22"/>
          <w:szCs w:val="22"/>
          <w:color w:val="auto"/>
        </w:rPr>
        <w:t>.</w:t>
      </w:r>
    </w:p>
    <w:p>
      <w:pPr>
        <w:spacing w:after="0" w:line="188"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means the first anniversary of the Commencement Date; </w:t>
      </w:r>
      <w:r>
        <w:rPr>
          <w:rFonts w:ascii="Arial" w:cs="Arial" w:eastAsia="Arial" w:hAnsi="Arial"/>
          <w:sz w:val="22"/>
          <w:szCs w:val="22"/>
          <w:u w:val="single" w:color="auto"/>
          <w:color w:val="auto"/>
        </w:rPr>
        <w:t>provided</w:t>
      </w:r>
      <w:r>
        <w:rPr>
          <w:rFonts w:ascii="Arial" w:cs="Arial" w:eastAsia="Arial" w:hAnsi="Arial"/>
          <w:sz w:val="22"/>
          <w:szCs w:val="22"/>
          <w:color w:val="auto"/>
        </w:rPr>
        <w:t>, that if a written notice is not given by the Company at least ninety (90) days prior to such anniversary (or any subsequent anniversary if this Agreement is extended) stating that such party is electing not to extend the Employment Period, then the Expiration Date will automatically be extended to the next anniversary of the date hereof.</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Year</w:t>
      </w:r>
      <w:r>
        <w:rPr>
          <w:rFonts w:ascii="Arial" w:cs="Arial" w:eastAsia="Arial" w:hAnsi="Arial"/>
          <w:sz w:val="22"/>
          <w:szCs w:val="22"/>
          <w:color w:val="auto"/>
        </w:rPr>
        <w:t>” means the calendar year in which the Employment Period expires.</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means the occurrence of any of the following events without the written consent of Executive: (i) a material diminution of Executive’s duties or the assignment to Executive of duties that are inconsistent in any substantial respect with the position, authority or responsibilities associated with Executive’s position as set forth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other than any such authorities, duties or responsibilities assigned at any time which are by their nature, or which are identified at the time of assignment, as being temporary or short-term; (ii) the Company’s requiring Executive to be based at a location which is fifty (50) or more miles from Executive’s principal office location on the Commencement Date; or (iii) a material breach by the Company of its obligations pursuant to this Agreement (including, without limitation, its obligations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(which such breach goes uncured after notice and a reasonable opportunity to cure) ; provided, however, no condition enumerated in the preceding shall be deemed to be “Good Reason” unless within thirty (30) days of the initial existence of such condition, Executive shall have given the Company written notice thereof specifically describing the condition giving rise to “Good Reason” and allowing the Company a period of at least thirty (30) days from the date of receipt of the notice to remedy such condition. Notwithstanding the foregoing, in no event will a condition give rise to “Good Reason” hereunder unless within ten (10) days after the expiration of the period provided in the Executive’s notice for the Company to remedy said condition but in no event later than one hundred and twenty (120) days initial existence of said condition, Executive shall have actually terminated his employment with the Company by giving written notice of resignation for failure of the Company to remedy such condition.</w:t>
      </w:r>
    </w:p>
    <w:p>
      <w:pPr>
        <w:spacing w:after="0" w:line="200" w:lineRule="exact"/>
        <w:rPr>
          <w:sz w:val="20"/>
          <w:szCs w:val="20"/>
          <w:color w:val="auto"/>
        </w:rPr>
      </w:pPr>
    </w:p>
    <w:p>
      <w:pPr>
        <w:spacing w:after="0" w:line="20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Year</w:t>
      </w:r>
      <w:r>
        <w:rPr>
          <w:rFonts w:ascii="Arial" w:cs="Arial" w:eastAsia="Arial" w:hAnsi="Arial"/>
          <w:sz w:val="22"/>
          <w:szCs w:val="22"/>
          <w:color w:val="auto"/>
        </w:rPr>
        <w:t>” means the calendar year in which the Employment Period is terminated.</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Subsidiaries</w:t>
      </w:r>
      <w:r>
        <w:rPr>
          <w:rFonts w:ascii="Arial" w:cs="Arial" w:eastAsia="Arial" w:hAnsi="Arial"/>
          <w:sz w:val="22"/>
          <w:szCs w:val="22"/>
          <w:color w:val="auto"/>
        </w:rPr>
        <w:t>” means any corporation or other entity of which the securities or other ownership interests having the voting power to elect a majority of the board of directors or other governing body are, at the time of determination, owned by the Company, directly or through one of more Subsidiaries.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 Product</w:t>
      </w:r>
      <w:r>
        <w:rPr>
          <w:rFonts w:ascii="Arial" w:cs="Arial" w:eastAsia="Arial" w:hAnsi="Arial"/>
          <w:sz w:val="22"/>
          <w:szCs w:val="22"/>
          <w:color w:val="auto"/>
        </w:rPr>
        <w:t xml:space="preserve">” has the meaning given to that term in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206" w:lineRule="exact"/>
        <w:rPr>
          <w:sz w:val="20"/>
          <w:szCs w:val="20"/>
          <w:color w:val="auto"/>
        </w:rPr>
      </w:pPr>
    </w:p>
    <w:p>
      <w:pPr>
        <w:ind w:left="2540" w:hanging="805"/>
        <w:spacing w:after="0"/>
        <w:tabs>
          <w:tab w:leader="none" w:pos="25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Employment, Position and Duties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80" w:hanging="880"/>
        <w:spacing w:after="0"/>
        <w:tabs>
          <w:tab w:leader="none" w:pos="34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Company shall employ Executive and Executive hereby accepts employment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 upon the terms and conditions set forth in this Agreement for the Employment Period.</w:t>
      </w:r>
    </w:p>
    <w:p>
      <w:pPr>
        <w:spacing w:after="0" w:line="188" w:lineRule="exact"/>
        <w:rPr>
          <w:rFonts w:ascii="Arial" w:cs="Arial" w:eastAsia="Arial" w:hAnsi="Arial"/>
          <w:sz w:val="19"/>
          <w:szCs w:val="19"/>
          <w:color w:val="auto"/>
        </w:rPr>
      </w:pPr>
    </w:p>
    <w:p>
      <w:pPr>
        <w:jc w:val="both"/>
        <w:ind w:firstLine="2600"/>
        <w:spacing w:after="0" w:line="245" w:lineRule="auto"/>
        <w:tabs>
          <w:tab w:leader="none" w:pos="3492" w:val="left"/>
        </w:tabs>
        <w:numPr>
          <w:ilvl w:val="1"/>
          <w:numId w:val="51"/>
        </w:numPr>
        <w:rPr>
          <w:rFonts w:ascii="Arial" w:cs="Arial" w:eastAsia="Arial" w:hAnsi="Arial"/>
          <w:sz w:val="21"/>
          <w:szCs w:val="21"/>
          <w:color w:val="auto"/>
        </w:rPr>
      </w:pPr>
      <w:r>
        <w:rPr>
          <w:rFonts w:ascii="Arial" w:cs="Arial" w:eastAsia="Arial" w:hAnsi="Arial"/>
          <w:sz w:val="21"/>
          <w:szCs w:val="21"/>
          <w:color w:val="auto"/>
        </w:rPr>
        <w:t>During the Employment Period, Executive shall serve as Senior Vice President of the Company and shall perform the normal duties, responsibilities and functions of an executive officer with similar role of a company of a similar size and type and shall have such power and authority as shall reasonably be required to enable Executive to perform Executive’s duties hereunder, subject to the power and authority of the Board to expand or limit such duties, responsibilities, functions, power and authority and to overrule actions of officers of the Company in a manner consistent with the traditional responsibilities of such office; provided, however, that Executive shall be appointed as the Company’s Senior Vice President and Chief Accounting Officer on or before the date on which the Company’s Quarterly Report on Form 10-Q for the fiscal quarter ended April 30, 2011 is filed with the United States Securities and Exchange Commission (the “SEC”) but no earlier than the business day following the date on which the Company’s Annual Report on Form 10-K for the fiscal year ended January 29, 2011 is filed with the SEC.</w:t>
      </w:r>
    </w:p>
    <w:p>
      <w:pPr>
        <w:spacing w:after="0" w:line="180" w:lineRule="exact"/>
        <w:rPr>
          <w:rFonts w:ascii="Arial" w:cs="Arial" w:eastAsia="Arial" w:hAnsi="Arial"/>
          <w:sz w:val="21"/>
          <w:szCs w:val="21"/>
          <w:color w:val="auto"/>
        </w:rPr>
      </w:pPr>
    </w:p>
    <w:p>
      <w:pPr>
        <w:jc w:val="both"/>
        <w:ind w:firstLine="2600"/>
        <w:spacing w:after="0" w:line="273" w:lineRule="auto"/>
        <w:tabs>
          <w:tab w:leader="none" w:pos="34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During the Employment Period, Executive shall (i) render such administrative, financial and other executive and managerial services to the Company and its Subsidiaries which are consistent with Executive’s position as the Board may from time to time direct, (ii) report to the Company’s Chief Financial Officer or such other person designated by the Company’s chief executive officer from time to time and shall devote Executive’s best efforts and Executive’s full business time and attention (except for permitted vacation periods and reasonable periods of illness or other incapacity) to the business and affairs of the Company and its Subsidiaries and (iii) submit to the Board all business, commercial and investment opportunities presented to Executive or of which Executive becomes aware which relate to the business of the Company and its Subsidiaries, and unless approved by the Board in writing, Executive shall not pursue, directly or indirectly, any such opportunities on Executive’s own behalf. Executive shall perform Executive’s duties, responsibilities and functions to the Company and its Subsidiaries hereunder to the best of Executive’s abilities in a diligent, trustworthy and professional manner.</w:t>
      </w:r>
    </w:p>
    <w:p>
      <w:pPr>
        <w:spacing w:after="0" w:line="160" w:lineRule="exact"/>
        <w:rPr>
          <w:rFonts w:ascii="Arial" w:cs="Arial" w:eastAsia="Arial" w:hAnsi="Arial"/>
          <w:sz w:val="19"/>
          <w:szCs w:val="19"/>
          <w:color w:val="auto"/>
        </w:rPr>
      </w:pPr>
    </w:p>
    <w:p>
      <w:pPr>
        <w:ind w:left="2540" w:hanging="805"/>
        <w:spacing w:after="0"/>
        <w:tabs>
          <w:tab w:leader="none" w:pos="25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tabs>
          <w:tab w:leader="none" w:pos="34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During the Employment Period, Executive’s base salary shall be a minimum of Three Hundred and Twenty-Five Thousand Dollars ($325,000.00) per annum (as increased or decreased in accordance with this Agreement from time to time,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pacing w:after="0" w:line="18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jc w:val="both"/>
        <w:spacing w:after="0" w:line="297" w:lineRule="auto"/>
        <w:rPr>
          <w:sz w:val="20"/>
          <w:szCs w:val="20"/>
          <w:color w:val="auto"/>
        </w:rPr>
      </w:pPr>
      <w:r>
        <w:rPr>
          <w:rFonts w:ascii="Arial" w:cs="Arial" w:eastAsia="Arial" w:hAnsi="Arial"/>
          <w:sz w:val="19"/>
          <w:szCs w:val="19"/>
          <w:color w:val="auto"/>
        </w:rPr>
        <w:t>which salary shall be payable by the Company in regular installments in accordance with the Company’s general payroll practices (in effect from time to time). Executive’s Base Salary will be subject to annual review and increase or decrease (but shall not be decreased below the Base Salary in effect on the date of this Agreement) by the Board during the Employment Period.</w:t>
      </w:r>
    </w:p>
    <w:p>
      <w:pPr>
        <w:spacing w:after="0" w:line="134" w:lineRule="exact"/>
        <w:rPr>
          <w:sz w:val="20"/>
          <w:szCs w:val="20"/>
          <w:color w:val="auto"/>
        </w:rPr>
      </w:pPr>
    </w:p>
    <w:p>
      <w:pPr>
        <w:jc w:val="both"/>
        <w:ind w:firstLine="2600"/>
        <w:spacing w:after="0" w:line="248" w:lineRule="auto"/>
        <w:tabs>
          <w:tab w:leader="none" w:pos="3492" w:val="left"/>
        </w:tabs>
        <w:numPr>
          <w:ilvl w:val="0"/>
          <w:numId w:val="52"/>
        </w:numPr>
        <w:rPr>
          <w:rFonts w:ascii="Arial" w:cs="Arial" w:eastAsia="Arial" w:hAnsi="Arial"/>
          <w:sz w:val="21"/>
          <w:szCs w:val="21"/>
          <w:color w:val="auto"/>
        </w:rPr>
      </w:pPr>
      <w:r>
        <w:rPr>
          <w:rFonts w:ascii="Arial" w:cs="Arial" w:eastAsia="Arial" w:hAnsi="Arial"/>
          <w:sz w:val="21"/>
          <w:szCs w:val="21"/>
          <w:color w:val="auto"/>
        </w:rPr>
        <w:t>Executive shall be entitled to participate in the Company’s Management Bonus Plan applicable to employees of comparable level with Executive as approved by the Board or a committee thereof, as in effect from time to time, with a target annual bonus of fifty percent (50%) of Executive’s Base Salary (“Target Bonus”); provided, however, that for the Executive’s initial year of employment, the bonus payable to Executive will be prorated based on the number of days between the Commencement Date and the end of the bonus calculation period within which the Commencement Date occurred, divided by the total number of days in the bonus calculation period..</w:t>
      </w:r>
    </w:p>
    <w:p>
      <w:pPr>
        <w:spacing w:after="0" w:line="176" w:lineRule="exact"/>
        <w:rPr>
          <w:rFonts w:ascii="Arial" w:cs="Arial" w:eastAsia="Arial" w:hAnsi="Arial"/>
          <w:sz w:val="21"/>
          <w:szCs w:val="21"/>
          <w:color w:val="auto"/>
        </w:rPr>
      </w:pPr>
    </w:p>
    <w:p>
      <w:pPr>
        <w:jc w:val="both"/>
        <w:ind w:firstLine="2600"/>
        <w:spacing w:after="0" w:line="252" w:lineRule="auto"/>
        <w:tabs>
          <w:tab w:leader="none" w:pos="34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The Board, or a committee or appointee thereof, during the term of this Agreement, shall review annually, or at more frequent intervals which the Board determines is appropriate, Executive’s compensation and may award Executive compensation as the Board deems appropriate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Executive’s base salary shall not be reduced pursuant to any such review or otherwise.</w:t>
      </w:r>
    </w:p>
    <w:p>
      <w:pPr>
        <w:spacing w:after="0" w:line="173" w:lineRule="exact"/>
        <w:rPr>
          <w:rFonts w:ascii="Arial" w:cs="Arial" w:eastAsia="Arial" w:hAnsi="Arial"/>
          <w:sz w:val="21"/>
          <w:szCs w:val="21"/>
          <w:color w:val="auto"/>
        </w:rPr>
      </w:pPr>
    </w:p>
    <w:p>
      <w:pPr>
        <w:jc w:val="both"/>
        <w:ind w:firstLine="2600"/>
        <w:spacing w:after="0" w:line="279" w:lineRule="auto"/>
        <w:tabs>
          <w:tab w:leader="none" w:pos="3492"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Executive shall be entitled to the number of paid vacation and other paid time off in each calendar year in accordance with the Company’s policies applicable to employees of comparable level, which if not taken in any year may not be carried forward to any subsequent calendar year and no compensation shall be payable in lieu thereof. Such vacation will accrue as of January 1 of each year, except that if Executive’s employment commences after January 31 of any calendar year, Executive shall accrue the total number of paid time off days available for a calendar year pro rated for the number of full calendar months remaining in the calendar year in which the Employment Period commences, divided by 12.</w:t>
      </w:r>
    </w:p>
    <w:p>
      <w:pPr>
        <w:spacing w:after="0" w:line="150" w:lineRule="exact"/>
        <w:rPr>
          <w:rFonts w:ascii="Arial" w:cs="Arial" w:eastAsia="Arial" w:hAnsi="Arial"/>
          <w:sz w:val="19"/>
          <w:szCs w:val="19"/>
          <w:color w:val="auto"/>
        </w:rPr>
      </w:pPr>
    </w:p>
    <w:p>
      <w:pPr>
        <w:jc w:val="both"/>
        <w:ind w:firstLine="2600"/>
        <w:spacing w:after="0" w:line="236" w:lineRule="auto"/>
        <w:tabs>
          <w:tab w:leader="none" w:pos="34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During the Employment Period, the Company shall reimburse Executive for all reasonable business expenses incurred by Executive in the course of performing Executive’s duties, responsibilities and functions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187" w:lineRule="exact"/>
        <w:rPr>
          <w:rFonts w:ascii="Arial" w:cs="Arial" w:eastAsia="Arial" w:hAnsi="Arial"/>
          <w:sz w:val="22"/>
          <w:szCs w:val="22"/>
          <w:color w:val="auto"/>
        </w:rPr>
      </w:pPr>
    </w:p>
    <w:p>
      <w:pPr>
        <w:jc w:val="both"/>
        <w:ind w:firstLine="2600"/>
        <w:spacing w:after="0" w:line="245" w:lineRule="auto"/>
        <w:tabs>
          <w:tab w:leader="none" w:pos="3456"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Executive shall be entitled to participate, on the same basis as other executives of comparable level in the Company, in any compensation, bonus, incentive, award, deferred compensation, pension, retirement, stock award, stock option or other benefit, plan or arrangement of the Company (including, without limitation, any plan sponsored by the entity owning or controlling the Company, or any affiliate of such entity) now existing or hereafter adopted, all upon terms at least as favorable as those enjoyed by other salaried employees of comparable level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Company may restrict or exclude Executive’s participation in any such plan, or the benefits thereunder, on such terms and conditions as the Company shall in its sole discretion determine, if at any time Executive shall be working fewer than five days a week or on other part-time basis during regular business days. Executive also shall be entitled to hospital, health, disability, medical and life insurance, and any</w:t>
      </w:r>
    </w:p>
    <w:p>
      <w:pPr>
        <w:spacing w:after="0" w:line="18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both"/>
        <w:spacing w:after="0" w:line="282" w:lineRule="auto"/>
        <w:rPr>
          <w:sz w:val="20"/>
          <w:szCs w:val="20"/>
          <w:color w:val="auto"/>
        </w:rPr>
      </w:pPr>
      <w:r>
        <w:rPr>
          <w:rFonts w:ascii="Arial" w:cs="Arial" w:eastAsia="Arial" w:hAnsi="Arial"/>
          <w:sz w:val="19"/>
          <w:szCs w:val="19"/>
          <w:color w:val="auto"/>
        </w:rPr>
        <w:t xml:space="preserve">other benefits enjoyed, from time to time, by other salaried employees of the Company of comparable level, all upon terms as favorable as those enjoyed by other salaried employees of comparable level of the Company. Notwithstanding anything in this </w:t>
      </w:r>
      <w:r>
        <w:rPr>
          <w:rFonts w:ascii="Arial" w:cs="Arial" w:eastAsia="Arial" w:hAnsi="Arial"/>
          <w:sz w:val="19"/>
          <w:szCs w:val="19"/>
          <w:u w:val="single" w:color="auto"/>
          <w:color w:val="auto"/>
        </w:rPr>
        <w:t>Section 3(f)</w:t>
      </w:r>
      <w:r>
        <w:rPr>
          <w:rFonts w:ascii="Arial" w:cs="Arial" w:eastAsia="Arial" w:hAnsi="Arial"/>
          <w:sz w:val="19"/>
          <w:szCs w:val="19"/>
          <w:color w:val="auto"/>
        </w:rPr>
        <w:t xml:space="preserve"> to the contrary, if the Company adopts any change in the benefits provided for other salaried employees of the Company of comparable level, and such policy is uniformly applied to all such employees of the Company (and any successor or acquirer of the Company, if any), then no such change shall be deemed a breach by the Company of this </w:t>
      </w:r>
      <w:r>
        <w:rPr>
          <w:rFonts w:ascii="Arial" w:cs="Arial" w:eastAsia="Arial" w:hAnsi="Arial"/>
          <w:sz w:val="19"/>
          <w:szCs w:val="19"/>
          <w:u w:val="single" w:color="auto"/>
          <w:color w:val="auto"/>
        </w:rPr>
        <w:t>Section 3(f)</w:t>
      </w:r>
      <w:r>
        <w:rPr>
          <w:rFonts w:ascii="Arial" w:cs="Arial" w:eastAsia="Arial" w:hAnsi="Arial"/>
          <w:sz w:val="19"/>
          <w:szCs w:val="19"/>
          <w:color w:val="auto"/>
        </w:rPr>
        <w:t>.</w:t>
      </w:r>
    </w:p>
    <w:p>
      <w:pPr>
        <w:spacing w:after="0" w:line="148" w:lineRule="exact"/>
        <w:rPr>
          <w:sz w:val="20"/>
          <w:szCs w:val="20"/>
          <w:color w:val="auto"/>
        </w:rPr>
      </w:pPr>
    </w:p>
    <w:p>
      <w:pPr>
        <w:jc w:val="both"/>
        <w:ind w:firstLine="2600"/>
        <w:spacing w:after="0"/>
        <w:tabs>
          <w:tab w:leader="none" w:pos="34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shall be entitled to participate in the Company automobile program in effect from time to time on the same terms as made available to employees of comparable level. Currently, such program provides for a car allowance for executive of $1,500.00 per month.</w:t>
      </w:r>
    </w:p>
    <w:p>
      <w:pPr>
        <w:spacing w:after="0" w:line="186" w:lineRule="exact"/>
        <w:rPr>
          <w:rFonts w:ascii="Arial" w:cs="Arial" w:eastAsia="Arial" w:hAnsi="Arial"/>
          <w:sz w:val="22"/>
          <w:szCs w:val="22"/>
          <w:color w:val="auto"/>
        </w:rPr>
      </w:pPr>
    </w:p>
    <w:p>
      <w:pPr>
        <w:jc w:val="both"/>
        <w:ind w:firstLine="2600"/>
        <w:spacing w:after="0"/>
        <w:tabs>
          <w:tab w:leader="none" w:pos="34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will be indemnified and defended for acts performed (or omissions made) in Executive’s capacity as an officer or director of the Company to the fullest extent specified in the Company’s certificate of incorporation and bylaws and as permitted under Delaware law.</w:t>
      </w:r>
    </w:p>
    <w:p>
      <w:pPr>
        <w:spacing w:after="0" w:line="186" w:lineRule="exact"/>
        <w:rPr>
          <w:rFonts w:ascii="Arial" w:cs="Arial" w:eastAsia="Arial" w:hAnsi="Arial"/>
          <w:sz w:val="22"/>
          <w:szCs w:val="22"/>
          <w:color w:val="auto"/>
        </w:rPr>
      </w:pPr>
    </w:p>
    <w:p>
      <w:pPr>
        <w:jc w:val="both"/>
        <w:ind w:firstLine="2600"/>
        <w:spacing w:after="0" w:line="269" w:lineRule="auto"/>
        <w:tabs>
          <w:tab w:leader="none" w:pos="34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For the period from the Commencement Date to the earlier of (x) three (3) months after the Commencement Date and (y) the time Executive sells his current residence in Reading, Massachusetts (the “Current Home”) and relocates to a non-temporary residence within reasonable commuting distance from the Company’s principal offices in Burlington, New Jersey (the “New Home”), the Company will reimburse to the Executive, reasonable housing accommodations for Executive and his family (not to exceed $3,000.00 per month) (the “Housing Allowance”). Executive acknowledges that he will be solely responsible for the excess of the amount of Executive’s actual cost of housing accommodations over $3,000.00 per month. The Company shall also reimburse Executive for any applicable federal and state income taxes paid by Executive resulting from the inclusion in his taxable income of the Housing Allowance, payable in accordance with the Company’s general payroll practices and based on the highest applicable marginal state and federal income tax rates. The Company shall also reimburse Executive for any applicable federal and state employment taxes paid by Executive resulting from the inclusion in his taxable wages of the Housing Allowance, payable in accordance with the Company’s general payroll practices. Executive agrees to provide to the Company documentation showing that the reimbursed amounts are taxable at such rates for the year in question. The obligation of the Company to provide reimbursement for Executive’s federal tax liability will be adjusted to take into account the federal tax benefit, if any, of state income taxes applicable to the inclusion in taxable income of the amount of such amounts paid or reimbursed, regardless of the year in which such federal tax benefit is realized by Executive. Notwithstanding the preceding or anything herein to the contrary, it is understood and agreed that the gross up of taxes hereunder shall only apply to reimburse Executive for taxes assessed or levied upon the Housing Allowance on a one-time basis and shall not apply to any tax assessed or levied against such reimbursement of taxes. In addition to the preceding, in the event that Executive sells his Current Home and relocates to the New Home within one (1) year of the Commencement Date, the Company shall pay Executive a relocation allowance of One Hundred Fifty Thousand Dollars ($150,000.00) (“Relocation Allowance”). Such relocation allowance shall be subject to tax, shall not be grossed up for tax purposes and shall be in lieu of any other payment or reimbursement for the costs of relocation by Executive from his Current Home</w:t>
      </w:r>
    </w:p>
    <w:p>
      <w:pPr>
        <w:spacing w:after="0" w:line="200" w:lineRule="exact"/>
        <w:rPr>
          <w:sz w:val="20"/>
          <w:szCs w:val="20"/>
          <w:color w:val="auto"/>
        </w:rPr>
      </w:pPr>
    </w:p>
    <w:p>
      <w:pPr>
        <w:spacing w:after="0" w:line="2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jc w:val="both"/>
        <w:spacing w:after="0"/>
        <w:rPr>
          <w:sz w:val="20"/>
          <w:szCs w:val="20"/>
          <w:color w:val="auto"/>
        </w:rPr>
      </w:pPr>
      <w:r>
        <w:rPr>
          <w:rFonts w:ascii="Arial" w:cs="Arial" w:eastAsia="Arial" w:hAnsi="Arial"/>
          <w:sz w:val="22"/>
          <w:szCs w:val="22"/>
          <w:color w:val="auto"/>
        </w:rPr>
        <w:t>including, without limitation, moving expenses, temporary housing expense, travel, loss on sale of current home, financing on purchase of new home, brokerage commissions, attorneys fees, title, insurance, income and employment tax and any other expense.</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will pay Executive a sign-on bonus of Fifty Thousand Dollars ($50,000.00), payable on the payroll date first occurring after seven (7) days after the Commencement Date. The sign-on bonus shall be subject to applicable withholding taxes and payroll deductions.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2600"/>
        <w:spacing w:after="0" w:line="249" w:lineRule="auto"/>
        <w:tabs>
          <w:tab w:leader="none" w:pos="3444"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in the event Executive’s employment with the Company is terminated either voluntarily by Executive (other than for Good Reason) or for Cause by the Company within eighteen (18) months after the respective dates on which Executive receives payment under Section 3(i) above, Executive shall immediately repay to the Company all amounts paid to Executive or on Executive’s behalf by the Company or reimbursed to Executive by the Company pursuant to said </w:t>
      </w:r>
      <w:r>
        <w:rPr>
          <w:rFonts w:ascii="Arial" w:cs="Arial" w:eastAsia="Arial" w:hAnsi="Arial"/>
          <w:sz w:val="21"/>
          <w:szCs w:val="21"/>
          <w:u w:val="single" w:color="auto"/>
          <w:color w:val="auto"/>
        </w:rPr>
        <w:t>Section 3(i)</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540" w:hanging="805"/>
        <w:spacing w:after="0"/>
        <w:tabs>
          <w:tab w:leader="none" w:pos="254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and Payment Terms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36" w:lineRule="auto"/>
        <w:tabs>
          <w:tab w:leader="none" w:pos="34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The Employment Period shall end on the Expiration Date;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Employment Period shall terminate prior to such date immediately upon Executive’s resignation, death or Disability and (ii) the Employment Period may be terminated by resolution of the Board, with or without Cause at any time prior to such date. Except as otherwise provided herein, any termination of the Employment Period by the Company shall be effective as specified in a written notice from the Company to Executive.</w:t>
      </w:r>
    </w:p>
    <w:p>
      <w:pPr>
        <w:spacing w:after="0" w:line="187" w:lineRule="exact"/>
        <w:rPr>
          <w:rFonts w:ascii="Arial" w:cs="Arial" w:eastAsia="Arial" w:hAnsi="Arial"/>
          <w:sz w:val="22"/>
          <w:szCs w:val="22"/>
          <w:color w:val="auto"/>
        </w:rPr>
      </w:pPr>
    </w:p>
    <w:p>
      <w:pPr>
        <w:ind w:left="3500" w:hanging="900"/>
        <w:spacing w:after="0"/>
        <w:tabs>
          <w:tab w:leader="none" w:pos="35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the Employment Period is terminated by the Company on or prior to the Expiration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rFonts w:ascii="Arial" w:cs="Arial" w:eastAsia="Arial" w:hAnsi="Arial"/>
          <w:sz w:val="19"/>
          <w:szCs w:val="19"/>
          <w:color w:val="auto"/>
        </w:rPr>
      </w:pPr>
    </w:p>
    <w:p>
      <w:pPr>
        <w:jc w:val="both"/>
        <w:ind w:firstLine="3464"/>
        <w:spacing w:after="0" w:line="272" w:lineRule="auto"/>
        <w:tabs>
          <w:tab w:leader="none" w:pos="4308" w:val="left"/>
        </w:tabs>
        <w:numPr>
          <w:ilvl w:val="2"/>
          <w:numId w:val="55"/>
        </w:numPr>
        <w:rPr>
          <w:rFonts w:ascii="Arial" w:cs="Arial" w:eastAsia="Arial" w:hAnsi="Arial"/>
          <w:sz w:val="19"/>
          <w:szCs w:val="19"/>
          <w:color w:val="auto"/>
        </w:rPr>
      </w:pPr>
      <w:r>
        <w:rPr>
          <w:rFonts w:ascii="Arial" w:cs="Arial" w:eastAsia="Arial" w:hAnsi="Arial"/>
          <w:sz w:val="19"/>
          <w:szCs w:val="19"/>
          <w:color w:val="auto"/>
        </w:rPr>
        <w:t>(A) by resolution of the Board (other than for Cause) or by Executive resigning for Good Reason or (B) if the Employment Period expires on the Expiration Date, Executive shall be entitled to receive (1) all previously earned and accrued but unpaid Base Salary and vacation and unpaid business expenses up to the date of such termination or the Expiration Date, as applicable, (2) any unpaid bonus earned by Executive for the fiscal year prior to the Termination Year or the Expiration Year, as applicable, but then unpaid, and any other amounts owed under Section 3(i), (3) the pro rata portion of Executive’s Target Bonus (pursuant to Section 3(b) hereof) during the Termination Year or the Expiration Year, as applicable, to the extent targets thereunder are achieved for such year, after such termination or expiration, pro rated based on the number of days of the Termination Year or the Expiration Year, as applicable, prior to the date of termination or the Expiration Date, as applicable, which payment shall be made when the bonus payments for such Termination Year or the Expiration Year, as applicable, are otherwise due; (4) severance pay in the full amount of Base Salary at the time of termination or expiration from the date of termination or the Expiration Date, as applicable, through the period ending on the first anniversary of the date of termination or the Expiration Date, as applicable and (5) full continuation of Executive’s medical insurance benefits during the one year severance period (but only to the extent such medical insurance benefit (i) was previously</w:t>
      </w:r>
    </w:p>
    <w:p>
      <w:pPr>
        <w:spacing w:after="0" w:line="15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spacing w:after="0" w:line="271" w:lineRule="auto"/>
        <w:rPr>
          <w:sz w:val="20"/>
          <w:szCs w:val="20"/>
          <w:color w:val="auto"/>
        </w:rPr>
      </w:pPr>
      <w:r>
        <w:rPr>
          <w:rFonts w:ascii="Arial" w:cs="Arial" w:eastAsia="Arial" w:hAnsi="Arial"/>
          <w:sz w:val="19"/>
          <w:szCs w:val="19"/>
          <w:color w:val="auto"/>
        </w:rPr>
        <w:t>elected by Executive and in effect immediately prior to the date of termination of the Employment Period or Expiration Date, as applicable, and (ii) can be provided by Company under the Company’s medical insurance plan during the one year severance period (to the extent any of those benefits cannot be provided by the Company during the one year severance period, the Company will provide Executive with a sum of money calculated to permit Executive to obtain the same benefits individually, grossed up for tax purposes so that Executive remains whole)); provided, however, that, if after the date of termination of the Employment Period or Expiration Date, as applicable, and during the period when Executive is receiving continuation payments under clause (4) above or medical insurance benefits under clause (5) above, Executive shall receive compensation from any source for services provided by Executive which are substantially similar to services provided by Executive under this Agreement or accepts employment with a third party, (x) Executive shall give notice to the Company immediately upon entering into any such arrangement or employment together with the full details thereof, (y) the amounts payable to Executive pursuant to clause (4) shall be reduced by the amount of any compensation received by Executive from such third party or new employer in respect of any services to be provided by Executive to such third party or new employer during the period prior to the first anniversary of the date of termination of the Employment Period or the Expiration Date, as applicable, and (z) the medical insurance benefits provided pursuant to clause (5) shall immediately cease on the earlier of (i) the date Executive is first entitled to receive medical insurance benefits from Executive’s new employer (such date to be promptly reported to the Company), or (ii) the first anniversary of the date of termination or the Expiration Date, as applicable.</w:t>
      </w:r>
    </w:p>
    <w:p>
      <w:pPr>
        <w:spacing w:after="0" w:line="200" w:lineRule="exact"/>
        <w:rPr>
          <w:sz w:val="20"/>
          <w:szCs w:val="20"/>
          <w:color w:val="auto"/>
        </w:rPr>
      </w:pPr>
    </w:p>
    <w:p>
      <w:pPr>
        <w:spacing w:after="0" w:line="204" w:lineRule="exact"/>
        <w:rPr>
          <w:sz w:val="20"/>
          <w:szCs w:val="20"/>
          <w:color w:val="auto"/>
        </w:rPr>
      </w:pPr>
    </w:p>
    <w:p>
      <w:pPr>
        <w:jc w:val="both"/>
        <w:ind w:firstLine="3464"/>
        <w:spacing w:after="0" w:line="282" w:lineRule="auto"/>
        <w:tabs>
          <w:tab w:leader="none" w:pos="4368" w:val="left"/>
        </w:tabs>
        <w:numPr>
          <w:ilvl w:val="1"/>
          <w:numId w:val="56"/>
        </w:numPr>
        <w:rPr>
          <w:rFonts w:ascii="Arial" w:cs="Arial" w:eastAsia="Arial" w:hAnsi="Arial"/>
          <w:sz w:val="19"/>
          <w:szCs w:val="19"/>
          <w:color w:val="auto"/>
        </w:rPr>
      </w:pPr>
      <w:r>
        <w:rPr>
          <w:rFonts w:ascii="Arial" w:cs="Arial" w:eastAsia="Arial" w:hAnsi="Arial"/>
          <w:sz w:val="19"/>
          <w:szCs w:val="19"/>
          <w:color w:val="auto"/>
        </w:rPr>
        <w:t>for any other reason, including as a result of Executive’s death, Disability, voluntary resignation for other than Good Reason or by resolution of the Board for Cause, Executive’s sole entitlement shall be to receive all previously earned and accrued but unpaid Base Salary, vacation and unpaid business expenses up to the date of such termination or expiration and Executive shall not be entitled to any further Base Salary, bonus payments or benefits for that year or any future year, except as required by law, or to any other severance compensation of any kind.</w:t>
      </w:r>
    </w:p>
    <w:p>
      <w:pPr>
        <w:spacing w:after="0" w:line="147" w:lineRule="exact"/>
        <w:rPr>
          <w:rFonts w:ascii="Arial" w:cs="Arial" w:eastAsia="Arial" w:hAnsi="Arial"/>
          <w:sz w:val="19"/>
          <w:szCs w:val="19"/>
          <w:color w:val="auto"/>
        </w:rPr>
      </w:pPr>
    </w:p>
    <w:p>
      <w:pPr>
        <w:jc w:val="both"/>
        <w:ind w:firstLine="2600"/>
        <w:spacing w:after="0" w:line="234" w:lineRule="auto"/>
        <w:tabs>
          <w:tab w:leader="none" w:pos="34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Executive agrees that: (i) Executive shall be entitled to the payments and services provided for in </w:t>
      </w:r>
      <w:r>
        <w:rPr>
          <w:rFonts w:ascii="Arial" w:cs="Arial" w:eastAsia="Arial" w:hAnsi="Arial"/>
          <w:sz w:val="22"/>
          <w:szCs w:val="22"/>
          <w:u w:val="single" w:color="auto"/>
          <w:color w:val="auto"/>
        </w:rPr>
        <w:t>Sections 4(b)(i)(3)</w:t>
      </w:r>
      <w:r>
        <w:rPr>
          <w:rFonts w:ascii="Arial" w:cs="Arial" w:eastAsia="Arial" w:hAnsi="Arial"/>
          <w:sz w:val="22"/>
          <w:szCs w:val="22"/>
          <w:color w:val="auto"/>
        </w:rPr>
        <w:t xml:space="preserve">, </w:t>
      </w:r>
      <w:r>
        <w:rPr>
          <w:rFonts w:ascii="Arial" w:cs="Arial" w:eastAsia="Arial" w:hAnsi="Arial"/>
          <w:sz w:val="22"/>
          <w:szCs w:val="22"/>
          <w:u w:val="single" w:color="auto"/>
          <w:color w:val="auto"/>
        </w:rPr>
        <w:t>4(b)(i)(4),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4(b)(i)(5)</w:t>
      </w:r>
      <w:r>
        <w:rPr>
          <w:rFonts w:ascii="Arial" w:cs="Arial" w:eastAsia="Arial" w:hAnsi="Arial"/>
          <w:sz w:val="22"/>
          <w:szCs w:val="22"/>
          <w:color w:val="auto"/>
        </w:rPr>
        <w:t xml:space="preserve">, if any, if and only if Executive has executed and delivered the Release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seven (7) days have elapsed since such execution without any revocation thereof by Executive and Executive has not breached as of the date of termination of the Employment Period the provisions of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w:t>
      </w:r>
      <w:r>
        <w:rPr>
          <w:rFonts w:ascii="Arial" w:cs="Arial" w:eastAsia="Arial" w:hAnsi="Arial"/>
          <w:sz w:val="22"/>
          <w:szCs w:val="22"/>
          <w:color w:val="auto"/>
        </w:rPr>
        <w:t xml:space="preserve"> hereof and does not breach such sections or such covenants at any time during the period for which such payments or services are to be made; and (ii) the Company’s obligation to make such payments and services will terminate upon the occurrence of any such breach during such period.</w:t>
      </w:r>
    </w:p>
    <w:p>
      <w:pPr>
        <w:spacing w:after="0" w:line="190" w:lineRule="exact"/>
        <w:rPr>
          <w:rFonts w:ascii="Arial" w:cs="Arial" w:eastAsia="Arial" w:hAnsi="Arial"/>
          <w:sz w:val="22"/>
          <w:szCs w:val="22"/>
          <w:color w:val="auto"/>
        </w:rPr>
      </w:pPr>
    </w:p>
    <w:p>
      <w:pPr>
        <w:jc w:val="both"/>
        <w:ind w:firstLine="2600"/>
        <w:spacing w:after="0" w:line="249" w:lineRule="auto"/>
        <w:tabs>
          <w:tab w:leader="none" w:pos="3492"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Except as stated above, any payments pursuant to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shall be paid by the Company in regular installments in accordance with the Company’s general payroll practices, and following such payments the Company shall have no further obligation to Executive pursuant to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except as provided by law. All amounts payable to Executive as compensation hereunder shall be subject to all customary withholding, payroll and other taxes. The Company shall be entitled to deduct or withhold from any amounts payable to</w:t>
      </w:r>
    </w:p>
    <w:p>
      <w:pPr>
        <w:spacing w:after="0" w:line="17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spacing w:after="0" w:line="297" w:lineRule="auto"/>
        <w:rPr>
          <w:sz w:val="20"/>
          <w:szCs w:val="20"/>
          <w:color w:val="auto"/>
        </w:rPr>
      </w:pPr>
      <w:r>
        <w:rPr>
          <w:rFonts w:ascii="Arial" w:cs="Arial" w:eastAsia="Arial" w:hAnsi="Arial"/>
          <w:sz w:val="19"/>
          <w:szCs w:val="19"/>
          <w:color w:val="auto"/>
        </w:rPr>
        <w:t>Executive any federal, state, local or foreign withholding taxes, excise tax, or employment taxes imposed with respect to Executive’s compensation or other payments or Executive’s ownership interest in the Company (including, without limitation, wages, bonuses, dividends, the receipt or exercise of equity options and/or the receipt or vesting of restricted equity).</w:t>
      </w:r>
    </w:p>
    <w:p>
      <w:pPr>
        <w:spacing w:after="0" w:line="134" w:lineRule="exact"/>
        <w:rPr>
          <w:sz w:val="20"/>
          <w:szCs w:val="20"/>
          <w:color w:val="auto"/>
        </w:rPr>
      </w:pPr>
    </w:p>
    <w:p>
      <w:pPr>
        <w:jc w:val="both"/>
        <w:ind w:firstLine="2600"/>
        <w:spacing w:after="0"/>
        <w:tabs>
          <w:tab w:leader="none" w:pos="34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Executive hereby agrees that except as expressly provided herein, no severance compensation of any kind, nature or amount shall be payable to Executive and except as expressly provided herein, Executive hereby irrevocably waives any claim for severance compensation.</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Sections 4(b)(i)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above, all of Executive’s rights pursuant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to Sections </w:t>
      </w:r>
      <w:r>
        <w:rPr>
          <w:rFonts w:ascii="Arial" w:cs="Arial" w:eastAsia="Arial" w:hAnsi="Arial"/>
          <w:sz w:val="22"/>
          <w:szCs w:val="22"/>
          <w:u w:val="single" w:color="auto"/>
          <w:color w:val="auto"/>
        </w:rPr>
        <w:t>3(c)</w:t>
      </w:r>
      <w:r>
        <w:rPr>
          <w:rFonts w:ascii="Arial" w:cs="Arial" w:eastAsia="Arial" w:hAnsi="Arial"/>
          <w:sz w:val="22"/>
          <w:szCs w:val="22"/>
          <w:color w:val="auto"/>
        </w:rPr>
        <w:t xml:space="preserve">, </w:t>
      </w:r>
      <w:r>
        <w:rPr>
          <w:rFonts w:ascii="Arial" w:cs="Arial" w:eastAsia="Arial" w:hAnsi="Arial"/>
          <w:sz w:val="22"/>
          <w:szCs w:val="22"/>
          <w:u w:val="single" w:color="auto"/>
          <w:color w:val="auto"/>
        </w:rPr>
        <w:t>3(d)</w:t>
      </w:r>
      <w:r>
        <w:rPr>
          <w:rFonts w:ascii="Arial" w:cs="Arial" w:eastAsia="Arial" w:hAnsi="Arial"/>
          <w:sz w:val="22"/>
          <w:szCs w:val="22"/>
          <w:color w:val="auto"/>
        </w:rPr>
        <w:t xml:space="preserve">, </w:t>
      </w:r>
      <w:r>
        <w:rPr>
          <w:rFonts w:ascii="Arial" w:cs="Arial" w:eastAsia="Arial" w:hAnsi="Arial"/>
          <w:sz w:val="22"/>
          <w:szCs w:val="22"/>
          <w:u w:val="single" w:color="auto"/>
          <w:color w:val="auto"/>
        </w:rPr>
        <w:t>3(e)</w:t>
      </w:r>
      <w:r>
        <w:rPr>
          <w:rFonts w:ascii="Arial" w:cs="Arial" w:eastAsia="Arial" w:hAnsi="Arial"/>
          <w:sz w:val="22"/>
          <w:szCs w:val="22"/>
          <w:color w:val="auto"/>
        </w:rPr>
        <w:t xml:space="preserve">, </w:t>
      </w:r>
      <w:r>
        <w:rPr>
          <w:rFonts w:ascii="Arial" w:cs="Arial" w:eastAsia="Arial" w:hAnsi="Arial"/>
          <w:sz w:val="22"/>
          <w:szCs w:val="22"/>
          <w:u w:val="single" w:color="auto"/>
          <w:color w:val="auto"/>
        </w:rPr>
        <w:t>3(f), 3(g), and 3(i)</w:t>
      </w:r>
      <w:r>
        <w:rPr>
          <w:rFonts w:ascii="Arial" w:cs="Arial" w:eastAsia="Arial" w:hAnsi="Arial"/>
          <w:sz w:val="22"/>
          <w:szCs w:val="22"/>
          <w:color w:val="auto"/>
        </w:rPr>
        <w:t xml:space="preserve"> shall cease upon the termination of the Employment Period.</w:t>
      </w:r>
    </w:p>
    <w:p>
      <w:pPr>
        <w:spacing w:after="0" w:line="188" w:lineRule="exact"/>
        <w:rPr>
          <w:rFonts w:ascii="Arial" w:cs="Arial" w:eastAsia="Arial" w:hAnsi="Arial"/>
          <w:sz w:val="19"/>
          <w:szCs w:val="19"/>
          <w:color w:val="auto"/>
        </w:rPr>
      </w:pPr>
    </w:p>
    <w:p>
      <w:pPr>
        <w:jc w:val="both"/>
        <w:ind w:firstLine="2600"/>
        <w:spacing w:after="0" w:line="271" w:lineRule="auto"/>
        <w:tabs>
          <w:tab w:leader="none" w:pos="3492"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Notwithstanding anything herein to the contrary, if, at the time any payment is payable to Executive pursuant to the provisions of Section 4(b)(i) above as a result of Executive’s “separation from service” (within the meaning of Section 409A of the Internal revenue Code of 1986, as amended (the “Code”) and the regulations promulgated thereunder, the Company or any company in the affiliate group in which the Company’s financial statements are consolidated in accordance with generally accepted accounting principles has a class of equity securities traded on an established domestic or foreign securities market or otherwise including, without limitation, trading on an American exchange only as American Depositary receipts (“ADR’S”) and Executive is designated a “specified person” (as such term is defined in Section 409A of the Code and the regulations promulgated thereunder) on a list prepared by the Company periodically pursuant to Section 409A of the Code and the regulations promulgated thereunder, then during the six month period from and after the date of Executive’s “separation from service” the amount payable to Executive pursuant to the provisions of Section 4(b)(i) of the Employment Agreement shall not exceed the lesser of (x) two times Executive’s annual base compensation or (y) two times the amount determined pursuant to Section 401(a)(17) of the Code, and any excess amount which accrues to Executive during such period shall be withheld during such period and paid to Executive in a lump sum upon the expiration of six months after the date of “separation from service” (or , if earlier than the end of such six month period, upon Executive’s death). Any further amounts payable to Executive pursuant to Section 4(b) (i) thereafter accruing shall be paid on their scheduled payment dates.</w:t>
      </w:r>
    </w:p>
    <w:p>
      <w:pPr>
        <w:spacing w:after="0" w:line="376" w:lineRule="exact"/>
        <w:rPr>
          <w:rFonts w:ascii="Arial" w:cs="Arial" w:eastAsia="Arial" w:hAnsi="Arial"/>
          <w:sz w:val="19"/>
          <w:szCs w:val="19"/>
          <w:color w:val="auto"/>
        </w:rPr>
      </w:pPr>
    </w:p>
    <w:p>
      <w:pPr>
        <w:ind w:left="2540" w:hanging="805"/>
        <w:spacing w:after="0"/>
        <w:tabs>
          <w:tab w:leader="none" w:pos="25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7" w:lineRule="auto"/>
        <w:tabs>
          <w:tab w:leader="none" w:pos="34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Executive acknowledges and agrees that the information, observations and data (including trade secrets) obtained by Executive while employed by the Company and its Subsidiaries concerning the business or affairs of the Company and its Subsidiaries are the confidential information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and the property, of the Company and/or its Subsidiaries. Without limiting the foregoing, the term “Confidential Information” shall be interpreted as broadly as possible to include all observations, data and other information of any sort that are (i) related to any past, current or potential business of the Company or any of its Subsidiaries or any of their respective predecessors, and any other business related to any of the foregoing, and (ii) not generally known to and available for use by</w:t>
      </w:r>
    </w:p>
    <w:p>
      <w:pPr>
        <w:spacing w:after="0" w:line="15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line="277" w:lineRule="auto"/>
        <w:rPr>
          <w:sz w:val="20"/>
          <w:szCs w:val="20"/>
          <w:color w:val="auto"/>
        </w:rPr>
      </w:pPr>
      <w:r>
        <w:rPr>
          <w:rFonts w:ascii="Arial" w:cs="Arial" w:eastAsia="Arial" w:hAnsi="Arial"/>
          <w:sz w:val="19"/>
          <w:szCs w:val="19"/>
          <w:color w:val="auto"/>
        </w:rPr>
        <w:t>those within the line of business or industry of the Company or by the public (except to the extent such information has become generally known to and available for use by the public as a direct or indirect result of Executive’s acts or omissions) including all</w:t>
      </w:r>
    </w:p>
    <w:p>
      <w:pPr>
        <w:jc w:val="both"/>
        <w:ind w:firstLine="8"/>
        <w:spacing w:after="0" w:line="270" w:lineRule="auto"/>
        <w:tabs>
          <w:tab w:leader="none" w:pos="381" w:val="left"/>
        </w:tabs>
        <w:numPr>
          <w:ilvl w:val="0"/>
          <w:numId w:val="60"/>
        </w:numPr>
        <w:rPr>
          <w:rFonts w:ascii="Arial" w:cs="Arial" w:eastAsia="Arial" w:hAnsi="Arial"/>
          <w:sz w:val="19"/>
          <w:szCs w:val="19"/>
          <w:color w:val="auto"/>
        </w:rPr>
      </w:pPr>
      <w:r>
        <w:rPr>
          <w:rFonts w:ascii="Arial" w:cs="Arial" w:eastAsia="Arial" w:hAnsi="Arial"/>
          <w:sz w:val="19"/>
          <w:szCs w:val="19"/>
          <w:color w:val="auto"/>
        </w:rPr>
        <w:t>Work Product (as defined below); (B) information concerning development, acquisition or investment opportunities in or reasonably related to the business or industry of the Company or any of its Subsidiaries of which Executive is aware or becomes aware during the term of his employment; (C) information identifying or otherwise concerning any current, former or prospective suppliers, distributors, contractors, agents or customers of the Company or any of its Subsidiaries; (D) development, transition, integration and transformation plans, methodologies, processes and methods of doing business; (E) strategic, marketing, promotional and financial information (including all financial statements), business and expansion plans, including plans and information regarding planned, projected and/or potential sales, pricing, discount and cost information; (F) information identifying or otherwise concerning employees, independent contractors and consultants; (G) information on new and existing programs and services, prices, terms, and related information; (H) the terms of this Agreement; (I) all information marked, or otherwise designated, as confidential by the Company or any of its Subsidiaries or which Executive should reasonably know is confidential or proprietary information of the Company or any of its Subsidiaries; (J) all information or materials similar or related to any of the foregoing, in whatever form or medium, whether now existing or arising hereafter (and regardless of whether merely stored in the mind of Executive or employees or consultants of the Company or any of its Subsidiaries, or embodied in a tangible form or medium); and (K) all tangible embodiments of any of the foregoing.</w:t>
      </w:r>
    </w:p>
    <w:p>
      <w:pPr>
        <w:spacing w:after="0" w:line="158" w:lineRule="exact"/>
        <w:rPr>
          <w:rFonts w:ascii="Arial" w:cs="Arial" w:eastAsia="Arial" w:hAnsi="Arial"/>
          <w:sz w:val="19"/>
          <w:szCs w:val="19"/>
          <w:color w:val="auto"/>
        </w:rPr>
      </w:pPr>
    </w:p>
    <w:p>
      <w:pPr>
        <w:jc w:val="both"/>
        <w:ind w:firstLine="2600"/>
        <w:spacing w:after="0" w:line="271" w:lineRule="auto"/>
        <w:tabs>
          <w:tab w:leader="none" w:pos="3492"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Therefore, Executive agrees that, except as required by law or court order, including, without limitation, depositions, interrogatories, court testimony, and the like (and in such case provided that Executive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Executive shall not disclose to any unauthorized person or entity or use for Executive’s own purposes any Confidential Information without the prior written consent of the Board, unless and to the extent that the Confidential Information becomes generally known to and available for use by the public other than as a direct or indirect result of Executive’s acts or omissions. Executive shall deliver to the Company at the termination or expiration of the Employment Period, or at any other time the Company may request, all memoranda, notes, plans, records, reports, computer tapes, printouts and software and other documents and data (and copies thereof) embodying or relating to the Confidential Information (including any Work Product (as defined below)) or the business of the Company and its Subsidiaries which Executive may then possess or have under Executive’s control and if, at any time thereafter, any such materials are brought to Executive’s attention or Executive discovers them in his possession or control, Executive shall deliver such materials to the Company immediately upon such notice or discovery.</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735"/>
        <w:spacing w:after="0" w:line="297" w:lineRule="auto"/>
        <w:tabs>
          <w:tab w:leader="none" w:pos="2537"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Intellectual Property, Inventions and Patents</w:t>
      </w:r>
      <w:r>
        <w:rPr>
          <w:rFonts w:ascii="Arial" w:cs="Arial" w:eastAsia="Arial" w:hAnsi="Arial"/>
          <w:sz w:val="19"/>
          <w:szCs w:val="19"/>
          <w:color w:val="auto"/>
        </w:rPr>
        <w:t>. Executive acknowledges and agrees that all discoveries, concepts, ideas, inventions, innovations, improvements, developments, methods, specifications, designs, analyses, drawings, reports, patents and patent applications, processes, programs, systems, software, firmware, materials, plans, sketches,</w:t>
      </w:r>
    </w:p>
    <w:p>
      <w:pPr>
        <w:spacing w:after="0" w:line="13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both"/>
        <w:spacing w:after="0" w:line="244" w:lineRule="exact"/>
        <w:rPr>
          <w:sz w:val="20"/>
          <w:szCs w:val="20"/>
          <w:color w:val="auto"/>
        </w:rPr>
      </w:pPr>
      <w:r>
        <w:rPr>
          <w:rFonts w:ascii="Arial" w:cs="Arial" w:eastAsia="Arial" w:hAnsi="Arial"/>
          <w:sz w:val="19"/>
          <w:szCs w:val="19"/>
          <w:color w:val="auto"/>
        </w:rPr>
        <w:t>models, know</w:t>
      </w:r>
      <w:r>
        <w:rPr>
          <w:rFonts w:ascii="MS PGothic" w:cs="MS PGothic" w:eastAsia="MS PGothic" w:hAnsi="MS PGothic"/>
          <w:sz w:val="19"/>
          <w:szCs w:val="19"/>
          <w:color w:val="auto"/>
        </w:rPr>
        <w:t>‑</w:t>
      </w:r>
      <w:r>
        <w:rPr>
          <w:rFonts w:ascii="Arial" w:cs="Arial" w:eastAsia="Arial" w:hAnsi="Arial"/>
          <w:sz w:val="19"/>
          <w:szCs w:val="19"/>
          <w:color w:val="auto"/>
        </w:rPr>
        <w:t>how, devices, developments, data, databases, technology, trade secrets, works of authorship, copyrightable works and mask works (whether or not including any confidential information) and all registrations or applications related thereto, all other intellectual property or proprietary information and all similar or related information (whether or not patentable or copyrightable and whether or not reduced to tangible form or practice) which relate to the Company’s or any of its Subsidiaries’ actual or anticipated business, research and development or existing or future products or services and which are conceived, developed or made by Executive (whether alone or jointly with others) while employed by the Company or its predecessors and its Subsidiaries (“</w:t>
      </w:r>
      <w:r>
        <w:rPr>
          <w:rFonts w:ascii="Arial" w:cs="Arial" w:eastAsia="Arial" w:hAnsi="Arial"/>
          <w:sz w:val="19"/>
          <w:szCs w:val="19"/>
          <w:u w:val="single" w:color="auto"/>
          <w:color w:val="auto"/>
        </w:rPr>
        <w:t>Work Product</w:t>
      </w:r>
      <w:r>
        <w:rPr>
          <w:rFonts w:ascii="Arial" w:cs="Arial" w:eastAsia="Arial" w:hAnsi="Arial"/>
          <w:sz w:val="19"/>
          <w:szCs w:val="19"/>
          <w:color w:val="auto"/>
        </w:rPr>
        <w:t>”) shall be deemed to be “work made for hire” (as defined in the Copyright Act, 17 U.S.C.A. §101 et seq., as amended) and owned exclusively by the Company. To the extent that any Work Product is not deemed to be “work made for hire” under applicable law, and all right, title and interest in and to such Work Product have not automatically vested in the Company, Executive hereby (A) irrevocably assigns, transfers and conveys, and shall assign transfer and convey, to the full extent permitted by applicable law, all right, title and interest in and to the Work Product on a worldwide basis to the Company (or such other person or entity as the Company shall designate), without further consideration, and (B) waives all moral rights in or to all Work Product, and to the extent such rights may not be waived, agrees not to assert such rights against the Company or its respective licensees, successors or assigns. Executive shall, at the Company’s expense, execute all documents and perform all actions reasonably requested by the Board (whether during or after the Employment Period) to establish, confirm, evidence, effectuate, maintain, protect, enforce, perfect, record, patent or register any of the Company’s rights hereunder (including, without limitation, assignments, consents, powers of attorney and other instruments).</w:t>
      </w:r>
    </w:p>
    <w:p>
      <w:pPr>
        <w:spacing w:after="0" w:line="200" w:lineRule="exact"/>
        <w:rPr>
          <w:sz w:val="20"/>
          <w:szCs w:val="20"/>
          <w:color w:val="auto"/>
        </w:rPr>
      </w:pPr>
    </w:p>
    <w:p>
      <w:pPr>
        <w:ind w:left="2540" w:hanging="805"/>
        <w:spacing w:after="0"/>
        <w:tabs>
          <w:tab w:leader="none" w:pos="25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Non-Compete,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1" w:lineRule="auto"/>
        <w:tabs>
          <w:tab w:leader="none" w:pos="34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further consideration of the compensation to be paid to Executive hereunder, Executive acknowledges and agrees that during the course of Executive’s employment with the Company and its Subsidiaries Executive shall become familiar with the Company’s trade secrets and with other Confidential Information and that Executive’s services have been and shall be of special, unique and extraordinary value to the Company and its Subsidiaries, and therefore, Executive agrees that, during his or her employment with the Company and for a period of one year thereafter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Executive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a Competing Business within any geographical area in which the Company or its Subsidiaries operates or plan to operate. Nothing herein shall prohibit Executive from being a passive owner of not more than 2% of the outstanding stock of any class of a corporation which is publicly traded, so long as Executive has no active participation in the business of such corporation. For purposes of this paragraph, “Competing Business” means each of the following entities, together with their respective subsidiaries and affiliates: TJ Maxx, Marshalls, Ross Stores, Stein Mart, Century 21, Forman Mills, Schottenstein Stores and Daffy Dan’s.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2600"/>
        <w:spacing w:after="0" w:line="250" w:lineRule="auto"/>
        <w:tabs>
          <w:tab w:leader="none" w:pos="34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During the Non-Compete Period, Executive shall not, directly or indirectly, and shall ensure that any person or entity controlled by Executive does not, (i) induce</w:t>
      </w:r>
    </w:p>
    <w:p>
      <w:pPr>
        <w:spacing w:after="0" w:line="17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19"/>
          <w:szCs w:val="19"/>
          <w:color w:val="auto"/>
        </w:rPr>
        <w:t>or attempt to induce any employee of the Company or any Subsidiary to leave the employ of the Company or such Subsidiary, or in any way interfere with the relationship between the Company or any Subsidiary and any employee thereof, (ii) hire, directly or through another person, any person (whether or not solicited) who was an executive of the Company or any Subsidiary at any time within the one year period before Executive’s termination from employment, (iii) induce or attempt to induce any customer, supplier, licensee, licensor, franchisee or other business relation of the Company or any Subsidiary to cease doing business with the Company or such Subsidiary, engage in or assist any person or entity in engaging in any Competing Business or in any way interfere with the relationship between any such customer, supplier, licensee or business relation and the Company or any Subsidiary (Executive understands that any person or entity that Executive contacted during the one year period prior to the date of Executive’s termination of employment for the purpose of soliciting sales from such person or entity shall be regarded as a “potential customer” of the Company and its Subsidiaries as to whom the Company has a protectible proprietary interest) or (iv)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56" w:lineRule="exact"/>
        <w:rPr>
          <w:sz w:val="20"/>
          <w:szCs w:val="20"/>
          <w:color w:val="auto"/>
        </w:rPr>
      </w:pPr>
    </w:p>
    <w:p>
      <w:pPr>
        <w:ind w:left="2540" w:hanging="805"/>
        <w:spacing w:after="0"/>
        <w:tabs>
          <w:tab w:leader="none" w:pos="25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4" w:lineRule="auto"/>
        <w:tabs>
          <w:tab w:leader="none" w:pos="34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Executive acknowledges and agrees that the Company entered into this Agreement in reliance on the provisions of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Executive acknowledges and agrees that he has carefully read this Agreement and has given careful consideration to the restraints imposed upon Executive by this Agreement, and is in full accord as to their necessity for the reasonable and proper protection of confidential and proprietary information of the Company and its Subsidiaries now existing or to be developed in the future. Executive expressly acknowledges and agrees that each and every restraint imposed by this Agreement is reasonable with respect to subject matter, time period and geographical area.</w:t>
      </w:r>
    </w:p>
    <w:p>
      <w:pPr>
        <w:spacing w:after="0" w:line="158" w:lineRule="exact"/>
        <w:rPr>
          <w:rFonts w:ascii="Arial" w:cs="Arial" w:eastAsia="Arial" w:hAnsi="Arial"/>
          <w:sz w:val="19"/>
          <w:szCs w:val="19"/>
          <w:color w:val="auto"/>
        </w:rPr>
      </w:pPr>
    </w:p>
    <w:p>
      <w:pPr>
        <w:ind w:firstLine="2600"/>
        <w:spacing w:after="0" w:line="328" w:lineRule="auto"/>
        <w:tabs>
          <w:tab w:leader="none" w:pos="3492"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herein, the Company or its Subsidiaries may pursue, at its discretion, enforcement of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in any court of competent jurisdiction (each a “</w:t>
      </w:r>
      <w:r>
        <w:rPr>
          <w:rFonts w:ascii="Arial" w:cs="Arial" w:eastAsia="Arial" w:hAnsi="Arial"/>
          <w:sz w:val="19"/>
          <w:szCs w:val="19"/>
          <w:u w:val="single" w:color="auto"/>
          <w:color w:val="auto"/>
        </w:rPr>
        <w:t>Court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2600"/>
        <w:spacing w:after="0" w:line="277" w:lineRule="auto"/>
        <w:tabs>
          <w:tab w:leader="none" w:pos="34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are overbroad or unreasonable under applicable law in duration, geographical area or scope, the parties to this Agreement specifically agree and</w:t>
      </w:r>
    </w:p>
    <w:p>
      <w:pPr>
        <w:spacing w:after="0" w:line="15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line="251" w:lineRule="auto"/>
        <w:rPr>
          <w:sz w:val="20"/>
          <w:szCs w:val="20"/>
          <w:color w:val="auto"/>
        </w:rPr>
      </w:pPr>
      <w:r>
        <w:rPr>
          <w:rFonts w:ascii="Arial" w:cs="Arial" w:eastAsia="Arial" w:hAnsi="Arial"/>
          <w:sz w:val="22"/>
          <w:szCs w:val="22"/>
          <w:color w:val="auto"/>
        </w:rPr>
        <w:t>authorize such Court to rewrite this Agreement to reflect the maximum duration, geographical area and/or scope permitted under applicable law.</w:t>
      </w:r>
    </w:p>
    <w:p>
      <w:pPr>
        <w:spacing w:after="0" w:line="173" w:lineRule="exact"/>
        <w:rPr>
          <w:sz w:val="20"/>
          <w:szCs w:val="20"/>
          <w:color w:val="auto"/>
        </w:rPr>
      </w:pPr>
    </w:p>
    <w:p>
      <w:pPr>
        <w:jc w:val="both"/>
        <w:ind w:firstLine="2600"/>
        <w:spacing w:after="0" w:line="273" w:lineRule="auto"/>
        <w:tabs>
          <w:tab w:leader="none" w:pos="3492"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Because Executive’s services are unique and because Executive has intimate knowledge of and access to Confidential Information and Work Product, the parties hereto agree that money damages would not be an adequate remedy for any breach of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and any breach of the terms of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would result in irreparable injury and damage to the Company and its Subsidiaries for which the Company and its Subsidiaries would have no adequate remedy at law. Therefore, in the event of a breach or threatened breach of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not prevent the Company or any of its Subsidiaries from pursuing any other available remedies for any breach or threatened breach of this Agreement, including the recovery of damages from Executive.</w:t>
      </w:r>
    </w:p>
    <w:p>
      <w:pPr>
        <w:spacing w:after="0" w:line="160" w:lineRule="exact"/>
        <w:rPr>
          <w:rFonts w:ascii="Arial" w:cs="Arial" w:eastAsia="Arial" w:hAnsi="Arial"/>
          <w:sz w:val="19"/>
          <w:szCs w:val="19"/>
          <w:color w:val="auto"/>
        </w:rPr>
      </w:pPr>
    </w:p>
    <w:p>
      <w:pPr>
        <w:jc w:val="both"/>
        <w:ind w:firstLine="1735"/>
        <w:spacing w:after="0" w:line="270" w:lineRule="auto"/>
        <w:tabs>
          <w:tab w:leader="none" w:pos="253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Executive’s Representations</w:t>
      </w:r>
      <w:r>
        <w:rPr>
          <w:rFonts w:ascii="Arial" w:cs="Arial" w:eastAsia="Arial" w:hAnsi="Arial"/>
          <w:sz w:val="19"/>
          <w:szCs w:val="19"/>
          <w:color w:val="auto"/>
        </w:rPr>
        <w:t xml:space="preserve">. Executive hereby represents and warrants to the Company that (i) the execution, delivery and performance of this Agreement by Executive do not and shall not conflict with, breach, violate or cause a default under any contract, agreement, instrument, order, judgment or decree to which Executive is a party or by which he is bound, (ii) Executive is not a party to or bound by any employment agreement, noncompete agreement or confidentiality agreement with any other person or entity and (iii) upon the execution and delivery of this Agreement by the Company, this Agreement shall be the valid and binding obligation of Executive, enforceable in accordance with its terms. </w:t>
      </w:r>
      <w:r>
        <w:rPr>
          <w:rFonts w:ascii="Arial" w:cs="Arial" w:eastAsia="Arial" w:hAnsi="Arial"/>
          <w:sz w:val="19"/>
          <w:szCs w:val="19"/>
          <w:b w:val="1"/>
          <w:bCs w:val="1"/>
          <w:color w:val="auto"/>
        </w:rPr>
        <w:t>EXECUTIVE</w:t>
      </w:r>
    </w:p>
    <w:p>
      <w:pPr>
        <w:spacing w:after="0" w:line="1"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b w:val="1"/>
          <w:bCs w:val="1"/>
          <w:color w:val="auto"/>
        </w:rPr>
        <w:t xml:space="preserve">HEREBY ACKNOWLEDGES, AGREES AND REPRESENTS THAT EXECUTIVE HAS CONSULTED WITH INDEPENDENT LEGAL COUNSEL REGARDING EXECUTIVE’S RIGHTS AND OBLIGATIONS UNDER THIS AGREEMENT AND THE TERMS OF THE RELEASE ATTACHED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AND THAT EXECUTIVE FULLY UNDERSTANDS THE TERMS AND CONDITIONS CONTAINED HEREIN AND THEREIN.</w:t>
      </w:r>
    </w:p>
    <w:p>
      <w:pPr>
        <w:spacing w:after="0" w:line="187" w:lineRule="exact"/>
        <w:rPr>
          <w:rFonts w:ascii="Arial" w:cs="Arial" w:eastAsia="Arial" w:hAnsi="Arial"/>
          <w:sz w:val="19"/>
          <w:szCs w:val="19"/>
          <w:color w:val="auto"/>
        </w:rPr>
      </w:pPr>
    </w:p>
    <w:p>
      <w:pPr>
        <w:ind w:firstLine="1735"/>
        <w:spacing w:after="0" w:line="328" w:lineRule="auto"/>
        <w:tabs>
          <w:tab w:leader="none" w:pos="264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3(h) and 3(j)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20</w:t>
      </w:r>
      <w:r>
        <w:rPr>
          <w:rFonts w:ascii="Arial" w:cs="Arial" w:eastAsia="Arial" w:hAnsi="Arial"/>
          <w:sz w:val="19"/>
          <w:szCs w:val="19"/>
          <w:color w:val="auto"/>
        </w:rPr>
        <w:t>, inclusive, shall survive and continue in full force in accordance with their terms notwithstanding the termination of the Employment Period.</w:t>
      </w:r>
    </w:p>
    <w:p>
      <w:pPr>
        <w:spacing w:after="0" w:line="104" w:lineRule="exact"/>
        <w:rPr>
          <w:rFonts w:ascii="Arial" w:cs="Arial" w:eastAsia="Arial" w:hAnsi="Arial"/>
          <w:sz w:val="19"/>
          <w:szCs w:val="19"/>
          <w:color w:val="auto"/>
        </w:rPr>
      </w:pPr>
    </w:p>
    <w:p>
      <w:pPr>
        <w:jc w:val="both"/>
        <w:ind w:firstLine="1735"/>
        <w:spacing w:after="0" w:line="297" w:lineRule="auto"/>
        <w:tabs>
          <w:tab w:leader="none" w:pos="263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provided for in this Agreement shall be in writing and shall be either personally delivered, sent by reputable overnight courier service with confirmation of delivery, sent by facsimile (with evidence of transmission) or mailed by first class mail, return receipt requested, to the recipient at the address below indicated:</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John D. Crimmins</w:t>
      </w:r>
    </w:p>
    <w:p>
      <w:pPr>
        <w:spacing w:after="0" w:line="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14 Lindsay Lane</w:t>
      </w:r>
    </w:p>
    <w:p>
      <w:pPr>
        <w:ind w:left="2600"/>
        <w:spacing w:after="0"/>
        <w:rPr>
          <w:sz w:val="20"/>
          <w:szCs w:val="20"/>
          <w:color w:val="auto"/>
        </w:rPr>
      </w:pPr>
      <w:r>
        <w:rPr>
          <w:rFonts w:ascii="Arial" w:cs="Arial" w:eastAsia="Arial" w:hAnsi="Arial"/>
          <w:sz w:val="18"/>
          <w:szCs w:val="18"/>
          <w:color w:val="auto"/>
        </w:rPr>
        <w:t>Reading, Massachusetts 01867</w:t>
      </w:r>
    </w:p>
    <w:p>
      <w:pPr>
        <w:spacing w:after="0" w:line="20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left="1740"/>
        <w:spacing w:after="0"/>
        <w:rPr>
          <w:sz w:val="20"/>
          <w:szCs w:val="20"/>
          <w:color w:val="auto"/>
        </w:rPr>
      </w:pPr>
      <w:r>
        <w:rPr>
          <w:rFonts w:ascii="Arial" w:cs="Arial" w:eastAsia="Arial" w:hAnsi="Arial"/>
          <w:sz w:val="22"/>
          <w:szCs w:val="22"/>
          <w:color w:val="auto"/>
        </w:rPr>
        <w:t>To the Company:</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Burlington Coat Factory Warehouse Corporation</w:t>
      </w:r>
    </w:p>
    <w:p>
      <w:pPr>
        <w:spacing w:after="0" w:line="1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1830 Route 130</w:t>
      </w:r>
    </w:p>
    <w:p>
      <w:pPr>
        <w:ind w:left="2600"/>
        <w:spacing w:after="0" w:line="230" w:lineRule="auto"/>
        <w:rPr>
          <w:sz w:val="20"/>
          <w:szCs w:val="20"/>
          <w:color w:val="auto"/>
        </w:rPr>
      </w:pPr>
      <w:r>
        <w:rPr>
          <w:rFonts w:ascii="Arial" w:cs="Arial" w:eastAsia="Arial" w:hAnsi="Arial"/>
          <w:sz w:val="22"/>
          <w:szCs w:val="22"/>
          <w:color w:val="auto"/>
        </w:rPr>
        <w:t>Burlington, New Jersey 08016</w:t>
      </w:r>
    </w:p>
    <w:p>
      <w:pPr>
        <w:ind w:left="2600"/>
        <w:spacing w:after="0" w:line="231" w:lineRule="auto"/>
        <w:rPr>
          <w:sz w:val="20"/>
          <w:szCs w:val="20"/>
          <w:color w:val="auto"/>
        </w:rPr>
      </w:pPr>
      <w:r>
        <w:rPr>
          <w:rFonts w:ascii="Arial" w:cs="Arial" w:eastAsia="Arial" w:hAnsi="Arial"/>
          <w:sz w:val="22"/>
          <w:szCs w:val="22"/>
          <w:color w:val="auto"/>
        </w:rPr>
        <w:t>Attention: General Counsel</w:t>
      </w:r>
    </w:p>
    <w:p>
      <w:pPr>
        <w:ind w:left="2600"/>
        <w:spacing w:after="0"/>
        <w:rPr>
          <w:sz w:val="20"/>
          <w:szCs w:val="20"/>
          <w:color w:val="auto"/>
        </w:rPr>
      </w:pPr>
      <w:r>
        <w:rPr>
          <w:rFonts w:ascii="Arial" w:cs="Arial" w:eastAsia="Arial" w:hAnsi="Arial"/>
          <w:sz w:val="22"/>
          <w:szCs w:val="22"/>
          <w:color w:val="auto"/>
        </w:rPr>
        <w:t>Facsimile No.: (609) 239-9675</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with copies (which shall not constitute notice) to:</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Bain Capital Partners, LLC</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111 Huntington AvenueBoston, Massachusetts 02199</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Jordan Hitch</w:t>
      </w:r>
    </w:p>
    <w:p>
      <w:pPr>
        <w:ind w:left="2600"/>
        <w:spacing w:after="0"/>
        <w:rPr>
          <w:sz w:val="20"/>
          <w:szCs w:val="20"/>
          <w:color w:val="auto"/>
        </w:rPr>
      </w:pPr>
      <w:r>
        <w:rPr>
          <w:rFonts w:ascii="Arial" w:cs="Arial" w:eastAsia="Arial" w:hAnsi="Arial"/>
          <w:sz w:val="22"/>
          <w:szCs w:val="22"/>
          <w:color w:val="auto"/>
        </w:rPr>
        <w:t>Facsimile No.: (617) 516-2010</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Kirkland &amp; Ellis LLP</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153 East 53rd StreetNew York, NY 10022</w:t>
      </w:r>
    </w:p>
    <w:p>
      <w:pPr>
        <w:sectPr>
          <w:pgSz w:w="11900" w:h="16838" w:orient="portrait"/>
          <w:cols w:equalWidth="0" w:num="1">
            <w:col w:w="11240"/>
          </w:cols>
          <w:pgMar w:left="320" w:top="118" w:right="339" w:bottom="1440" w:gutter="0" w:footer="0" w:header="0"/>
        </w:sectPr>
      </w:pPr>
    </w:p>
    <w:p>
      <w:pPr>
        <w:spacing w:after="0" w:line="3"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Josh Korff, Esq.</w:t>
      </w:r>
    </w:p>
    <w:p>
      <w:pPr>
        <w:spacing w:after="0" w:line="25" w:lineRule="exact"/>
        <w:rPr>
          <w:sz w:val="20"/>
          <w:szCs w:val="20"/>
          <w:color w:val="auto"/>
        </w:rPr>
      </w:pPr>
    </w:p>
    <w:p>
      <w:pPr>
        <w:sectPr>
          <w:pgSz w:w="11900" w:h="16838" w:orient="portrait"/>
          <w:cols w:equalWidth="0" w:num="2">
            <w:col w:w="5680" w:space="720"/>
            <w:col w:w="4840"/>
          </w:cols>
          <w:pgMar w:left="320" w:top="118" w:right="3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Facsimile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(212) 446-6460</w:t>
      </w:r>
    </w:p>
    <w:p>
      <w:pPr>
        <w:spacing w:after="0" w:line="200" w:lineRule="exact"/>
        <w:rPr>
          <w:sz w:val="20"/>
          <w:szCs w:val="20"/>
          <w:color w:val="auto"/>
        </w:rPr>
      </w:pPr>
    </w:p>
    <w:p>
      <w:pPr>
        <w:sectPr>
          <w:pgSz w:w="11900" w:h="16838" w:orient="portrait"/>
          <w:cols w:equalWidth="0" w:num="2">
            <w:col w:w="3880" w:space="100"/>
            <w:col w:w="7260"/>
          </w:cols>
          <w:pgMar w:left="320" w:top="118" w:right="339" w:bottom="1440" w:gutter="0" w:footer="0" w:header="0"/>
          <w:type w:val="continuous"/>
        </w:sectPr>
      </w:pP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or such other address or to the attention of such other person as the recipient party shall have specified by prior written notice to the sending party. Any notice under this Agreement shall be deemed to have been given when personally delivered, one (1) business day following delivery to the overnight courier service, if given by facsimile, when such facsimile is transmitted to the applicable fax number specified above and the appropriate facsimile confirmation is received, or if so mailed, on receipt.</w:t>
      </w:r>
    </w:p>
    <w:p>
      <w:pPr>
        <w:spacing w:after="0" w:line="143" w:lineRule="exact"/>
        <w:rPr>
          <w:sz w:val="20"/>
          <w:szCs w:val="20"/>
          <w:color w:val="auto"/>
        </w:rPr>
      </w:pPr>
    </w:p>
    <w:p>
      <w:pPr>
        <w:jc w:val="both"/>
        <w:ind w:firstLine="1735"/>
        <w:spacing w:after="0" w:line="238" w:lineRule="auto"/>
        <w:tabs>
          <w:tab w:leader="none" w:pos="264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and those other documents expressly referred to herein embody the complete agreement and understanding among the parties hereto and supersede and preempt any prior understandings, agreements or representations by or among the parties hereto, written or oral, which may have related to the subject matter hereof in any way.</w:t>
      </w:r>
    </w:p>
    <w:p>
      <w:pPr>
        <w:spacing w:after="0" w:line="184" w:lineRule="exact"/>
        <w:rPr>
          <w:rFonts w:ascii="Arial" w:cs="Arial" w:eastAsia="Arial" w:hAnsi="Arial"/>
          <w:sz w:val="22"/>
          <w:szCs w:val="22"/>
          <w:color w:val="auto"/>
        </w:rPr>
      </w:pPr>
    </w:p>
    <w:p>
      <w:pPr>
        <w:ind w:firstLine="1735"/>
        <w:spacing w:after="0" w:line="250" w:lineRule="auto"/>
        <w:tabs>
          <w:tab w:leader="none" w:pos="264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each of which is deemed to be an original and all of which taken together constitute one and the same agreement.</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4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is intended to bind and inure to the benefit of and be enforceable by Executive, the Company and their respective heirs, successors and assigns; </w:t>
      </w:r>
      <w:r>
        <w:rPr>
          <w:rFonts w:ascii="Arial" w:cs="Arial" w:eastAsia="Arial" w:hAnsi="Arial"/>
          <w:sz w:val="22"/>
          <w:szCs w:val="22"/>
          <w:u w:val="single" w:color="auto"/>
          <w:color w:val="auto"/>
        </w:rPr>
        <w:t>provided</w:t>
      </w:r>
      <w:r>
        <w:rPr>
          <w:rFonts w:ascii="Arial" w:cs="Arial" w:eastAsia="Arial" w:hAnsi="Arial"/>
          <w:sz w:val="22"/>
          <w:szCs w:val="22"/>
          <w:color w:val="auto"/>
        </w:rPr>
        <w:t>, that the services provided by Executive under this Agreement are of a personal nature and rights and obligations of Executive under this Agreement shall not be assignable.</w:t>
      </w:r>
    </w:p>
    <w:p>
      <w:pPr>
        <w:spacing w:after="0" w:line="184" w:lineRule="exact"/>
        <w:rPr>
          <w:rFonts w:ascii="Arial" w:cs="Arial" w:eastAsia="Arial" w:hAnsi="Arial"/>
          <w:sz w:val="22"/>
          <w:szCs w:val="22"/>
          <w:color w:val="auto"/>
        </w:rPr>
      </w:pPr>
    </w:p>
    <w:p>
      <w:pPr>
        <w:jc w:val="both"/>
        <w:ind w:firstLine="1735"/>
        <w:spacing w:after="0"/>
        <w:tabs>
          <w:tab w:leader="none" w:pos="264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All issues and questions concerning the construction, validity, enforcement and interpretation of this Agreement shall be governed by, and construed in accordance with, the laws of the State of New York, without giving effect to any choice of law</w:t>
      </w:r>
    </w:p>
    <w:p>
      <w:pPr>
        <w:spacing w:after="0" w:line="18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jc w:val="both"/>
        <w:spacing w:after="0" w:line="252" w:lineRule="auto"/>
        <w:rPr>
          <w:sz w:val="20"/>
          <w:szCs w:val="20"/>
          <w:color w:val="auto"/>
        </w:rPr>
      </w:pPr>
      <w:r>
        <w:rPr>
          <w:rFonts w:ascii="Arial" w:cs="Arial" w:eastAsia="Arial" w:hAnsi="Arial"/>
          <w:sz w:val="21"/>
          <w:szCs w:val="21"/>
          <w:color w:val="auto"/>
        </w:rPr>
        <w:t>or conflict of law rules or provisions (whether of the State of New York or any other jurisdiction) that would cause the application of the laws of any jurisdiction other than the State of New York. In furtherance of the foregoing, the internal law of the State of New York shall control the interpretation and construction of this Agreement, even though under that jurisdiction’s choice of law or conflict of law analysis, the substantive law of some other jurisdiction would ordinarily apply.</w:t>
      </w:r>
    </w:p>
    <w:p>
      <w:pPr>
        <w:spacing w:after="0" w:line="174" w:lineRule="exact"/>
        <w:rPr>
          <w:sz w:val="20"/>
          <w:szCs w:val="20"/>
          <w:color w:val="auto"/>
        </w:rPr>
      </w:pPr>
    </w:p>
    <w:p>
      <w:pPr>
        <w:jc w:val="both"/>
        <w:ind w:firstLine="1735"/>
        <w:spacing w:after="0" w:line="243" w:lineRule="auto"/>
        <w:tabs>
          <w:tab w:leader="none" w:pos="2645"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xml:space="preserve">. EACH OF THE PARTIES IRREVOCABLY SUBMITS TO THE EXCLUSIVE JURISDICTION OF THE STATE OR FEDERAL COURTS LOCATED IN THE CITY AND STATE OF NEW YORK IN THE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SHALL BE EFFECTIVE SERVICE OF PROCESS FOR ANY ACTION, SUIT OR PROCEEDING WITH RESPECT TO ANY MATTERS TO WHICH IT HAS SUBMITTED TO JURISDICTION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16</w:t>
      </w:r>
      <w:r>
        <w:rPr>
          <w:rFonts w:ascii="Arial" w:cs="Arial" w:eastAsia="Arial" w:hAnsi="Arial"/>
          <w:sz w:val="21"/>
          <w:szCs w:val="21"/>
          <w:color w:val="auto"/>
        </w:rPr>
        <w:t>. EACH OF THE PARTIES HERETO IRREVOCABLY AND UNCONDITIONALLY WAIVES ANY OBJECTION TO THE LAYING OF VENUE OF ANY ACTION, SUIT OR PROCEEDING ARISING OUT OF THIS AGREEMENT, ANY RELATED DOCUMENT OR THE TRANSACTIONS CONTEMPLATED HEREBY AND THEREBY IN THE STATE OR FEDERAL COURTS LOCATED IN THE CITY AND STATE OF NEW YORK IN THE BOROUGH OF MANHATTAN AND HEREBY AND THEREBY FURTHER IRREVOCABLY AND UNCONDITIONALLY WAIVES AND AGREES NOT TO PLEAD OR CLAIM IN ANY SUCH COURT THAT ANY SUCH ACTION, SUIT OR PROCEEDING BROUGHT IN ANY SUCH COURT HAS BEEN BROUGHT IN AN INCONVENIENT FORUM.</w:t>
      </w:r>
    </w:p>
    <w:p>
      <w:pPr>
        <w:spacing w:after="0" w:line="193" w:lineRule="exact"/>
        <w:rPr>
          <w:rFonts w:ascii="Arial" w:cs="Arial" w:eastAsia="Arial" w:hAnsi="Arial"/>
          <w:sz w:val="21"/>
          <w:szCs w:val="21"/>
          <w:color w:val="auto"/>
        </w:rPr>
      </w:pPr>
    </w:p>
    <w:p>
      <w:pPr>
        <w:jc w:val="both"/>
        <w:ind w:firstLine="1735"/>
        <w:spacing w:after="0" w:line="236" w:lineRule="auto"/>
        <w:tabs>
          <w:tab w:leader="none" w:pos="264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7" w:lineRule="exact"/>
        <w:rPr>
          <w:rFonts w:ascii="Arial" w:cs="Arial" w:eastAsia="Arial" w:hAnsi="Arial"/>
          <w:sz w:val="22"/>
          <w:szCs w:val="22"/>
          <w:color w:val="auto"/>
        </w:rPr>
      </w:pPr>
    </w:p>
    <w:p>
      <w:pPr>
        <w:jc w:val="both"/>
        <w:ind w:firstLine="1735"/>
        <w:spacing w:after="0" w:line="282" w:lineRule="auto"/>
        <w:tabs>
          <w:tab w:leader="none" w:pos="264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Amendment and Waiver</w:t>
      </w:r>
      <w:r>
        <w:rPr>
          <w:rFonts w:ascii="Arial" w:cs="Arial" w:eastAsia="Arial" w:hAnsi="Arial"/>
          <w:sz w:val="19"/>
          <w:szCs w:val="19"/>
          <w:color w:val="auto"/>
        </w:rPr>
        <w:t>. The provisions of this Agreement may be amended or waived only with the 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147" w:lineRule="exact"/>
        <w:rPr>
          <w:rFonts w:ascii="Arial" w:cs="Arial" w:eastAsia="Arial" w:hAnsi="Arial"/>
          <w:sz w:val="19"/>
          <w:szCs w:val="19"/>
          <w:color w:val="auto"/>
        </w:rPr>
      </w:pPr>
    </w:p>
    <w:p>
      <w:pPr>
        <w:jc w:val="both"/>
        <w:ind w:firstLine="1735"/>
        <w:spacing w:after="0"/>
        <w:tabs>
          <w:tab w:leader="none" w:pos="264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Key Man Life Insurance</w:t>
      </w:r>
      <w:r>
        <w:rPr>
          <w:rFonts w:ascii="Arial" w:cs="Arial" w:eastAsia="Arial" w:hAnsi="Arial"/>
          <w:sz w:val="22"/>
          <w:szCs w:val="22"/>
          <w:color w:val="auto"/>
        </w:rPr>
        <w:t>. The Company may apply for and obtain and maintain a key man life insurance policy in the name of Executive together with other executives of the Company in an amount deemed sufficient by the Board, the beneficiary of which shall be</w:t>
      </w:r>
    </w:p>
    <w:p>
      <w:pPr>
        <w:spacing w:after="0" w:line="18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line="251" w:lineRule="auto"/>
        <w:rPr>
          <w:sz w:val="20"/>
          <w:szCs w:val="20"/>
          <w:color w:val="auto"/>
        </w:rPr>
      </w:pPr>
      <w:r>
        <w:rPr>
          <w:rFonts w:ascii="Arial" w:cs="Arial" w:eastAsia="Arial" w:hAnsi="Arial"/>
          <w:sz w:val="22"/>
          <w:szCs w:val="22"/>
          <w:color w:val="auto"/>
        </w:rPr>
        <w:t>the Company. Executive shall submit to physical examinations and answer reasonable questions in connection with the application and, if obtained, the maintenance of, as may be required, such insurance policy.</w:t>
      </w:r>
    </w:p>
    <w:p>
      <w:pPr>
        <w:spacing w:after="0" w:line="173" w:lineRule="exact"/>
        <w:rPr>
          <w:sz w:val="20"/>
          <w:szCs w:val="20"/>
          <w:color w:val="auto"/>
        </w:rPr>
      </w:pPr>
    </w:p>
    <w:p>
      <w:pPr>
        <w:jc w:val="both"/>
        <w:ind w:firstLine="1735"/>
        <w:spacing w:after="0" w:line="274" w:lineRule="auto"/>
        <w:tabs>
          <w:tab w:leader="none" w:pos="264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Executive’s Cooperation</w:t>
      </w:r>
      <w:r>
        <w:rPr>
          <w:rFonts w:ascii="Arial" w:cs="Arial" w:eastAsia="Arial" w:hAnsi="Arial"/>
          <w:sz w:val="19"/>
          <w:szCs w:val="19"/>
          <w:color w:val="auto"/>
        </w:rPr>
        <w:t>. During the Employment Period and thereafter, Executive shall cooperate with the Company and its Subsidiaries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section after the termination of the Employment Period, the Company shall reimburse Executive for all of Executive’s reasonable costs and expenses incurred, in connection therewith, plus pay Executive a reasonable amount per day for Executive’s time spent.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620"/>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060"/>
          </w:cols>
          <w:pgMar w:left="1440" w:top="334" w:right="399" w:bottom="1440" w:gutter="0" w:footer="0" w:header="0"/>
        </w:sect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BURLINGTON COAT FACTORY WAREHOUSE CORPORATION</w:t>
      </w:r>
    </w:p>
    <w:p>
      <w:pPr>
        <w:spacing w:after="0" w:line="200" w:lineRule="exact"/>
        <w:rPr>
          <w:sz w:val="20"/>
          <w:szCs w:val="20"/>
          <w:color w:val="auto"/>
        </w:rPr>
      </w:pPr>
    </w:p>
    <w:p>
      <w:pPr>
        <w:spacing w:after="0" w:line="257" w:lineRule="exact"/>
        <w:rPr>
          <w:sz w:val="20"/>
          <w:szCs w:val="20"/>
          <w:color w:val="auto"/>
        </w:rPr>
      </w:pPr>
    </w:p>
    <w:p>
      <w:pPr>
        <w:ind w:left="3200"/>
        <w:spacing w:after="0"/>
        <w:tabs>
          <w:tab w:leader="none" w:pos="4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Joyce Manning Magrini</w:t>
      </w:r>
    </w:p>
    <w:p>
      <w:pPr>
        <w:ind w:left="3740"/>
        <w:spacing w:after="0" w:line="238" w:lineRule="auto"/>
        <w:rPr>
          <w:sz w:val="20"/>
          <w:szCs w:val="20"/>
          <w:color w:val="auto"/>
        </w:rPr>
      </w:pPr>
      <w:r>
        <w:rPr>
          <w:rFonts w:ascii="Arial" w:cs="Arial" w:eastAsia="Arial" w:hAnsi="Arial"/>
          <w:sz w:val="22"/>
          <w:szCs w:val="22"/>
          <w:color w:val="auto"/>
        </w:rPr>
        <w:t>Name: Joyce Manning Magrini</w:t>
      </w:r>
    </w:p>
    <w:p>
      <w:pPr>
        <w:ind w:left="3740"/>
        <w:spacing w:after="0"/>
        <w:rPr>
          <w:sz w:val="20"/>
          <w:szCs w:val="20"/>
          <w:color w:val="auto"/>
        </w:rPr>
      </w:pPr>
      <w:r>
        <w:rPr>
          <w:rFonts w:ascii="Arial" w:cs="Arial" w:eastAsia="Arial" w:hAnsi="Arial"/>
          <w:sz w:val="22"/>
          <w:szCs w:val="22"/>
          <w:color w:val="auto"/>
        </w:rPr>
        <w:t>Title: EVP Human Resources</w:t>
      </w:r>
    </w:p>
    <w:p>
      <w:pPr>
        <w:spacing w:after="0" w:line="200" w:lineRule="exact"/>
        <w:rPr>
          <w:sz w:val="20"/>
          <w:szCs w:val="20"/>
          <w:color w:val="auto"/>
        </w:rPr>
      </w:pPr>
    </w:p>
    <w:p>
      <w:pPr>
        <w:spacing w:after="0" w:line="204"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/s/ John Crimmins</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EXECUTIVE: John Crimmins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883285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60"/>
          </w:cols>
          <w:pgMar w:left="1440" w:top="334" w:right="39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RELEASE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 [__________], in consideration of and subject to the performance by Burlington Coat Factory Warehouse</w:t>
      </w:r>
    </w:p>
    <w:p>
      <w:pPr>
        <w:spacing w:after="0" w:line="2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Corporation, a Delaware corporation (together with its subsidiaries,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of its obligations with respect to the payment of severance pursuant to </w:t>
      </w:r>
      <w:r>
        <w:rPr>
          <w:rFonts w:ascii="Arial" w:cs="Arial" w:eastAsia="Arial" w:hAnsi="Arial"/>
          <w:sz w:val="21"/>
          <w:szCs w:val="21"/>
          <w:u w:val="single" w:color="auto"/>
          <w:color w:val="auto"/>
        </w:rPr>
        <w:t>Sections 4(b)(i)(3)</w:t>
      </w:r>
      <w:r>
        <w:rPr>
          <w:rFonts w:ascii="Arial" w:cs="Arial" w:eastAsia="Arial" w:hAnsi="Arial"/>
          <w:sz w:val="21"/>
          <w:szCs w:val="21"/>
          <w:color w:val="auto"/>
        </w:rPr>
        <w:t xml:space="preserve">, </w:t>
      </w:r>
      <w:r>
        <w:rPr>
          <w:rFonts w:ascii="Arial" w:cs="Arial" w:eastAsia="Arial" w:hAnsi="Arial"/>
          <w:sz w:val="21"/>
          <w:szCs w:val="21"/>
          <w:u w:val="single" w:color="auto"/>
          <w:color w:val="auto"/>
        </w:rPr>
        <w:t>4(b)(i)(4)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4(b)(i)(5)</w:t>
      </w:r>
      <w:r>
        <w:rPr>
          <w:rFonts w:ascii="Arial" w:cs="Arial" w:eastAsia="Arial" w:hAnsi="Arial"/>
          <w:sz w:val="21"/>
          <w:szCs w:val="21"/>
          <w:color w:val="auto"/>
        </w:rPr>
        <w:t xml:space="preserve"> of the Employment Agreement, dated as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20__ (the “</w:t>
      </w:r>
      <w:r>
        <w:rPr>
          <w:rFonts w:ascii="Arial" w:cs="Arial" w:eastAsia="Arial" w:hAnsi="Arial"/>
          <w:sz w:val="19"/>
          <w:szCs w:val="19"/>
          <w:u w:val="single" w:color="auto"/>
          <w:color w:val="auto"/>
        </w:rPr>
        <w:t>Agreement</w:t>
      </w:r>
      <w:r>
        <w:rPr>
          <w:rFonts w:ascii="Arial" w:cs="Arial" w:eastAsia="Arial" w:hAnsi="Arial"/>
          <w:sz w:val="19"/>
          <w:szCs w:val="19"/>
          <w:color w:val="auto"/>
        </w:rPr>
        <w:t>”) and this General Release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do hereby release and forever</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discharge as of the date hereof the Company, its subsidiaries and affiliates and all present and former directors, officers, agents, representatives, employees, successors and assigns of the Companies and their subsidiaries and affiliates and the Company’s direct and indirect owners (collectively, the “</w:t>
      </w:r>
      <w:r>
        <w:rPr>
          <w:rFonts w:ascii="Arial" w:cs="Arial" w:eastAsia="Arial" w:hAnsi="Arial"/>
          <w:sz w:val="21"/>
          <w:szCs w:val="21"/>
          <w:u w:val="single" w:color="auto"/>
          <w:color w:val="auto"/>
        </w:rPr>
        <w:t>Released Parties</w:t>
      </w:r>
      <w:r>
        <w:rPr>
          <w:rFonts w:ascii="Arial" w:cs="Arial" w:eastAsia="Arial" w:hAnsi="Arial"/>
          <w:sz w:val="21"/>
          <w:szCs w:val="21"/>
          <w:color w:val="auto"/>
        </w:rPr>
        <w:t>”) to the extent provided below.</w:t>
      </w:r>
    </w:p>
    <w:p>
      <w:pPr>
        <w:spacing w:after="0" w:line="178" w:lineRule="exact"/>
        <w:rPr>
          <w:sz w:val="20"/>
          <w:szCs w:val="20"/>
          <w:color w:val="auto"/>
        </w:rPr>
      </w:pPr>
    </w:p>
    <w:p>
      <w:pPr>
        <w:jc w:val="both"/>
        <w:ind w:left="440" w:hanging="432"/>
        <w:spacing w:after="0" w:line="275" w:lineRule="auto"/>
        <w:tabs>
          <w:tab w:leader="none" w:pos="4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 understand that any payments paid to me under </w:t>
      </w:r>
      <w:r>
        <w:rPr>
          <w:rFonts w:ascii="Arial" w:cs="Arial" w:eastAsia="Arial" w:hAnsi="Arial"/>
          <w:sz w:val="19"/>
          <w:szCs w:val="19"/>
          <w:u w:val="single" w:color="auto"/>
          <w:color w:val="auto"/>
        </w:rPr>
        <w:t>Sections 4(b)(i)(3)</w:t>
      </w:r>
      <w:r>
        <w:rPr>
          <w:rFonts w:ascii="Arial" w:cs="Arial" w:eastAsia="Arial" w:hAnsi="Arial"/>
          <w:sz w:val="19"/>
          <w:szCs w:val="19"/>
          <w:color w:val="auto"/>
        </w:rPr>
        <w:t xml:space="preserve">, </w:t>
      </w:r>
      <w:r>
        <w:rPr>
          <w:rFonts w:ascii="Arial" w:cs="Arial" w:eastAsia="Arial" w:hAnsi="Arial"/>
          <w:sz w:val="19"/>
          <w:szCs w:val="19"/>
          <w:u w:val="single" w:color="auto"/>
          <w:color w:val="auto"/>
        </w:rPr>
        <w:t>4(b)(i)(4)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4(b)(i)(5)</w:t>
      </w:r>
      <w:r>
        <w:rPr>
          <w:rFonts w:ascii="Arial" w:cs="Arial" w:eastAsia="Arial" w:hAnsi="Arial"/>
          <w:sz w:val="19"/>
          <w:szCs w:val="19"/>
          <w:color w:val="auto"/>
        </w:rPr>
        <w:t xml:space="preserve"> of the Agreement represent consideration for signing this General Release and are not salary or wages to which I was already entitled. I understand and agree that I will not receive the payments specified in </w:t>
      </w:r>
      <w:r>
        <w:rPr>
          <w:rFonts w:ascii="Arial" w:cs="Arial" w:eastAsia="Arial" w:hAnsi="Arial"/>
          <w:sz w:val="19"/>
          <w:szCs w:val="19"/>
          <w:u w:val="single" w:color="auto"/>
          <w:color w:val="auto"/>
        </w:rPr>
        <w:t>Sections 4(b)(i)(3)</w:t>
      </w:r>
      <w:r>
        <w:rPr>
          <w:rFonts w:ascii="Arial" w:cs="Arial" w:eastAsia="Arial" w:hAnsi="Arial"/>
          <w:sz w:val="19"/>
          <w:szCs w:val="19"/>
          <w:color w:val="auto"/>
        </w:rPr>
        <w:t xml:space="preserve">, </w:t>
      </w:r>
      <w:r>
        <w:rPr>
          <w:rFonts w:ascii="Arial" w:cs="Arial" w:eastAsia="Arial" w:hAnsi="Arial"/>
          <w:sz w:val="19"/>
          <w:szCs w:val="19"/>
          <w:u w:val="single" w:color="auto"/>
          <w:color w:val="auto"/>
        </w:rPr>
        <w:t>4(b)(i)(4)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4(b)(i)(5)</w:t>
      </w:r>
      <w:r>
        <w:rPr>
          <w:rFonts w:ascii="Arial" w:cs="Arial" w:eastAsia="Arial" w:hAnsi="Arial"/>
          <w:sz w:val="19"/>
          <w:szCs w:val="19"/>
          <w:color w:val="auto"/>
        </w:rPr>
        <w:t xml:space="preserve"> of the Agreement unless I execute this General Release and do not revoke this General Release within the time period permitted hereafter or breach this General Release or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w:t>
      </w:r>
      <w:r>
        <w:rPr>
          <w:rFonts w:ascii="Arial" w:cs="Arial" w:eastAsia="Arial" w:hAnsi="Arial"/>
          <w:sz w:val="19"/>
          <w:szCs w:val="19"/>
          <w:color w:val="auto"/>
        </w:rPr>
        <w:t xml:space="preserve"> of the Agreement. Such payments will not be considered compensation for purposes of any employee benefit plan, program, policy or arrangement maintained or hereafter established by the Company or its affiliates. I also acknowledge and represent that I have received all salary, wages and bonuses that I am entitled to receive (as of the date hereof) by virtue of any employment by the Company.</w:t>
      </w:r>
    </w:p>
    <w:p>
      <w:pPr>
        <w:spacing w:after="0" w:line="157" w:lineRule="exact"/>
        <w:rPr>
          <w:rFonts w:ascii="Arial" w:cs="Arial" w:eastAsia="Arial" w:hAnsi="Arial"/>
          <w:sz w:val="19"/>
          <w:szCs w:val="19"/>
          <w:color w:val="auto"/>
        </w:rPr>
      </w:pPr>
    </w:p>
    <w:p>
      <w:pPr>
        <w:jc w:val="both"/>
        <w:ind w:left="440" w:hanging="432"/>
        <w:spacing w:after="0" w:line="271" w:lineRule="auto"/>
        <w:tabs>
          <w:tab w:leader="none" w:pos="4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Except as provided in paragraphs 4, 12 and 13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w:t>
      </w:r>
    </w:p>
    <w:p>
      <w:pPr>
        <w:spacing w:after="0" w:line="15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both"/>
        <w:ind w:left="432"/>
        <w:spacing w:after="0"/>
        <w:rPr>
          <w:sz w:val="20"/>
          <w:szCs w:val="20"/>
          <w:color w:val="auto"/>
        </w:rPr>
      </w:pPr>
      <w:r>
        <w:rPr>
          <w:rFonts w:ascii="Arial" w:cs="Arial" w:eastAsia="Arial" w:hAnsi="Arial"/>
          <w:sz w:val="22"/>
          <w:szCs w:val="22"/>
          <w:color w:val="auto"/>
        </w:rPr>
        <w:t>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22"/>
          <w:szCs w:val="22"/>
          <w:u w:val="single" w:color="auto"/>
          <w:color w:val="auto"/>
        </w:rPr>
        <w:t>Claims</w:t>
      </w:r>
      <w:r>
        <w:rPr>
          <w:rFonts w:ascii="Arial" w:cs="Arial" w:eastAsia="Arial" w:hAnsi="Arial"/>
          <w:sz w:val="22"/>
          <w:szCs w:val="22"/>
          <w:color w:val="auto"/>
        </w:rPr>
        <w:t>”).</w:t>
      </w:r>
    </w:p>
    <w:p>
      <w:pPr>
        <w:spacing w:after="0" w:line="187" w:lineRule="exact"/>
        <w:rPr>
          <w:sz w:val="20"/>
          <w:szCs w:val="20"/>
          <w:color w:val="auto"/>
        </w:rPr>
      </w:pPr>
    </w:p>
    <w:p>
      <w:pPr>
        <w:ind w:left="432" w:hanging="432"/>
        <w:spacing w:after="0" w:line="250"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color w:val="auto"/>
        </w:rPr>
        <w:t>I represent that I have made no assignment or transfer of any right, claim, demand, cause of action, or other matter covered by paragraph 2 above.</w:t>
      </w:r>
    </w:p>
    <w:p>
      <w:pPr>
        <w:spacing w:after="0" w:line="174" w:lineRule="exact"/>
        <w:rPr>
          <w:rFonts w:ascii="Arial" w:cs="Arial" w:eastAsia="Arial" w:hAnsi="Arial"/>
          <w:sz w:val="22"/>
          <w:szCs w:val="22"/>
          <w:color w:val="auto"/>
        </w:rPr>
      </w:pPr>
    </w:p>
    <w:p>
      <w:pPr>
        <w:jc w:val="both"/>
        <w:ind w:left="432" w:hanging="432"/>
        <w:spacing w:after="0" w:line="236"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engagement and employment by, and separation from employment with the Company in compliance with the terms of the Agreement shall not serve as the basis for any claim or action (including, without limitation, any claim under the Age Discrimination in Employment Act of 1967).</w:t>
      </w:r>
    </w:p>
    <w:p>
      <w:pPr>
        <w:spacing w:after="0" w:line="187" w:lineRule="exact"/>
        <w:rPr>
          <w:rFonts w:ascii="Arial" w:cs="Arial" w:eastAsia="Arial" w:hAnsi="Arial"/>
          <w:sz w:val="22"/>
          <w:szCs w:val="22"/>
          <w:color w:val="auto"/>
        </w:rPr>
      </w:pPr>
    </w:p>
    <w:p>
      <w:pPr>
        <w:jc w:val="both"/>
        <w:ind w:left="432" w:hanging="432"/>
        <w:spacing w:after="0" w:line="272" w:lineRule="auto"/>
        <w:tabs>
          <w:tab w:leader="none" w:pos="432"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make any payments pursuant to the terms of </w:t>
      </w:r>
      <w:r>
        <w:rPr>
          <w:rFonts w:ascii="Arial" w:cs="Arial" w:eastAsia="Arial" w:hAnsi="Arial"/>
          <w:sz w:val="19"/>
          <w:szCs w:val="19"/>
          <w:u w:val="single" w:color="auto"/>
          <w:color w:val="auto"/>
        </w:rPr>
        <w:t>Sections 4(b)(i)(3)</w:t>
      </w:r>
      <w:r>
        <w:rPr>
          <w:rFonts w:ascii="Arial" w:cs="Arial" w:eastAsia="Arial" w:hAnsi="Arial"/>
          <w:sz w:val="19"/>
          <w:szCs w:val="19"/>
          <w:color w:val="auto"/>
        </w:rPr>
        <w:t xml:space="preserve">, </w:t>
      </w:r>
      <w:r>
        <w:rPr>
          <w:rFonts w:ascii="Arial" w:cs="Arial" w:eastAsia="Arial" w:hAnsi="Arial"/>
          <w:sz w:val="19"/>
          <w:szCs w:val="19"/>
          <w:u w:val="single" w:color="auto"/>
          <w:color w:val="auto"/>
        </w:rPr>
        <w:t>4(b)(i)(4)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4(b)(i)(5)</w:t>
      </w:r>
      <w:r>
        <w:rPr>
          <w:rFonts w:ascii="Arial" w:cs="Arial" w:eastAsia="Arial" w:hAnsi="Arial"/>
          <w:sz w:val="19"/>
          <w:szCs w:val="19"/>
          <w:color w:val="auto"/>
        </w:rPr>
        <w:t xml:space="preserve"> of the Agreement. I further agree that in the event I should bring a Claim seeking damages against the Company or any other Released Party, or in the event I should seek to recover against the Company or any other Released Party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32" w:hanging="432"/>
        <w:spacing w:after="0"/>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86" w:lineRule="exact"/>
        <w:rPr>
          <w:rFonts w:ascii="Arial" w:cs="Arial" w:eastAsia="Arial" w:hAnsi="Arial"/>
          <w:sz w:val="22"/>
          <w:szCs w:val="22"/>
          <w:color w:val="auto"/>
        </w:rPr>
      </w:pPr>
    </w:p>
    <w:p>
      <w:pPr>
        <w:jc w:val="both"/>
        <w:ind w:left="432" w:hanging="432"/>
        <w:spacing w:after="0" w:line="238"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I agree that I will forfeit all amounts payable by the Company pursuant to </w:t>
      </w:r>
      <w:r>
        <w:rPr>
          <w:rFonts w:ascii="Arial" w:cs="Arial" w:eastAsia="Arial" w:hAnsi="Arial"/>
          <w:sz w:val="22"/>
          <w:szCs w:val="22"/>
          <w:u w:val="single" w:color="auto"/>
          <w:color w:val="auto"/>
        </w:rPr>
        <w:t>Sections 4(b)(i)(3)</w:t>
      </w:r>
      <w:r>
        <w:rPr>
          <w:rFonts w:ascii="Arial" w:cs="Arial" w:eastAsia="Arial" w:hAnsi="Arial"/>
          <w:sz w:val="22"/>
          <w:szCs w:val="22"/>
          <w:color w:val="auto"/>
        </w:rPr>
        <w:t xml:space="preserve">, </w:t>
      </w:r>
      <w:r>
        <w:rPr>
          <w:rFonts w:ascii="Arial" w:cs="Arial" w:eastAsia="Arial" w:hAnsi="Arial"/>
          <w:sz w:val="22"/>
          <w:szCs w:val="22"/>
          <w:u w:val="single" w:color="auto"/>
          <w:color w:val="auto"/>
        </w:rPr>
        <w:t>4(b)(i)(4)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4(b)(i)(5)</w:t>
      </w:r>
      <w:r>
        <w:rPr>
          <w:rFonts w:ascii="Arial" w:cs="Arial" w:eastAsia="Arial" w:hAnsi="Arial"/>
          <w:sz w:val="22"/>
          <w:szCs w:val="22"/>
          <w:color w:val="auto"/>
        </w:rPr>
        <w:t xml:space="preserve"> of the Agreement if I challenge the validity of this General Release. I also agree that if I violate this General Release by suing the Company or the other Released Parties, I will return all severance payments received by me pursuant to </w:t>
      </w:r>
      <w:r>
        <w:rPr>
          <w:rFonts w:ascii="Arial" w:cs="Arial" w:eastAsia="Arial" w:hAnsi="Arial"/>
          <w:sz w:val="22"/>
          <w:szCs w:val="22"/>
          <w:u w:val="single" w:color="auto"/>
          <w:color w:val="auto"/>
        </w:rPr>
        <w:t>Sections 4(b)(i)(3)</w:t>
      </w:r>
      <w:r>
        <w:rPr>
          <w:rFonts w:ascii="Arial" w:cs="Arial" w:eastAsia="Arial" w:hAnsi="Arial"/>
          <w:sz w:val="22"/>
          <w:szCs w:val="22"/>
          <w:color w:val="auto"/>
        </w:rPr>
        <w:t xml:space="preserve">, </w:t>
      </w:r>
      <w:r>
        <w:rPr>
          <w:rFonts w:ascii="Arial" w:cs="Arial" w:eastAsia="Arial" w:hAnsi="Arial"/>
          <w:sz w:val="22"/>
          <w:szCs w:val="22"/>
          <w:u w:val="single" w:color="auto"/>
          <w:color w:val="auto"/>
        </w:rPr>
        <w:t>4(b)(i)(4)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4(b)(i)(5)</w:t>
      </w:r>
      <w:r>
        <w:rPr>
          <w:rFonts w:ascii="Arial" w:cs="Arial" w:eastAsia="Arial" w:hAnsi="Arial"/>
          <w:sz w:val="22"/>
          <w:szCs w:val="22"/>
          <w:color w:val="auto"/>
        </w:rPr>
        <w:t xml:space="preserve"> of the Agreement.</w:t>
      </w:r>
    </w:p>
    <w:p>
      <w:pPr>
        <w:spacing w:after="0" w:line="184" w:lineRule="exact"/>
        <w:rPr>
          <w:rFonts w:ascii="Arial" w:cs="Arial" w:eastAsia="Arial" w:hAnsi="Arial"/>
          <w:sz w:val="22"/>
          <w:szCs w:val="22"/>
          <w:color w:val="auto"/>
        </w:rPr>
      </w:pPr>
    </w:p>
    <w:p>
      <w:pPr>
        <w:jc w:val="both"/>
        <w:ind w:left="432" w:hanging="432"/>
        <w:spacing w:after="0" w:line="297" w:lineRule="auto"/>
        <w:tabs>
          <w:tab w:leader="none" w:pos="432" w:val="left"/>
        </w:tabs>
        <w:numPr>
          <w:ilvl w:val="0"/>
          <w:numId w:val="69"/>
        </w:numPr>
        <w:rPr>
          <w:rFonts w:ascii="Arial" w:cs="Arial" w:eastAsia="Arial" w:hAnsi="Arial"/>
          <w:sz w:val="19"/>
          <w:szCs w:val="19"/>
          <w:color w:val="auto"/>
        </w:rPr>
      </w:pPr>
      <w:r>
        <w:rPr>
          <w:rFonts w:ascii="Arial" w:cs="Arial" w:eastAsia="Arial" w:hAnsi="Arial"/>
          <w:sz w:val="19"/>
          <w:szCs w:val="19"/>
          <w:color w:val="auto"/>
        </w:rPr>
        <w:t>I agree that this General Release is confidential and agree not to disclose any information regarding the terms of this General Release, except to my immediate family and any tax, legal or other advisor I have consulted regarding the meaning or effect hereof or as required by law, and I will instruct each of the foregoing not to disclose the same to anyone.</w:t>
      </w:r>
    </w:p>
    <w:p>
      <w:pPr>
        <w:spacing w:after="0" w:line="134" w:lineRule="exact"/>
        <w:rPr>
          <w:sz w:val="20"/>
          <w:szCs w:val="20"/>
          <w:color w:val="auto"/>
        </w:rPr>
      </w:pPr>
    </w:p>
    <w:p>
      <w:pPr>
        <w:ind w:left="425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328930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17" w:name="page118"/>
    <w:bookmarkEnd w:id="117"/>
    <w:p>
      <w:pPr>
        <w:jc w:val="both"/>
        <w:ind w:left="440" w:hanging="432"/>
        <w:spacing w:after="0" w:line="238" w:lineRule="auto"/>
        <w:tabs>
          <w:tab w:leader="none" w:pos="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Inc. (FINRA), any other self-regulatory organization or governmental entity.</w:t>
      </w:r>
    </w:p>
    <w:p>
      <w:pPr>
        <w:spacing w:after="0" w:line="185" w:lineRule="exact"/>
        <w:rPr>
          <w:rFonts w:ascii="Arial" w:cs="Arial" w:eastAsia="Arial" w:hAnsi="Arial"/>
          <w:sz w:val="22"/>
          <w:szCs w:val="22"/>
          <w:color w:val="auto"/>
        </w:rPr>
      </w:pPr>
    </w:p>
    <w:p>
      <w:pPr>
        <w:jc w:val="both"/>
        <w:ind w:left="440" w:hanging="432"/>
        <w:spacing w:after="0" w:line="246" w:lineRule="auto"/>
        <w:tabs>
          <w:tab w:leader="none" w:pos="440"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I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other than such documents as are generally or publicly known; </w:t>
      </w:r>
      <w:r>
        <w:rPr>
          <w:rFonts w:ascii="Arial" w:cs="Arial" w:eastAsia="Arial" w:hAnsi="Arial"/>
          <w:sz w:val="21"/>
          <w:szCs w:val="21"/>
          <w:u w:val="single" w:color="auto"/>
          <w:color w:val="auto"/>
        </w:rPr>
        <w:t>provided</w:t>
      </w:r>
      <w:r>
        <w:rPr>
          <w:rFonts w:ascii="Arial" w:cs="Arial" w:eastAsia="Arial" w:hAnsi="Arial"/>
          <w:sz w:val="21"/>
          <w:szCs w:val="21"/>
          <w:color w:val="auto"/>
        </w:rPr>
        <w:t>, that such documents are not known as a result of my breach or actions in violation of the Agreement or this General Release.</w:t>
      </w:r>
    </w:p>
    <w:p>
      <w:pPr>
        <w:spacing w:after="0" w:line="184" w:lineRule="exact"/>
        <w:rPr>
          <w:rFonts w:ascii="Arial" w:cs="Arial" w:eastAsia="Arial" w:hAnsi="Arial"/>
          <w:sz w:val="21"/>
          <w:szCs w:val="21"/>
          <w:color w:val="auto"/>
        </w:rPr>
      </w:pPr>
    </w:p>
    <w:p>
      <w:pPr>
        <w:jc w:val="both"/>
        <w:ind w:left="440" w:hanging="432"/>
        <w:spacing w:after="0" w:line="238" w:lineRule="auto"/>
        <w:tabs>
          <w:tab w:leader="none" w:pos="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 or any other rights or claims I may have against the Company or any Released Party arising after the date hereof.</w:t>
      </w:r>
    </w:p>
    <w:p>
      <w:pPr>
        <w:spacing w:after="0" w:line="184" w:lineRule="exact"/>
        <w:rPr>
          <w:rFonts w:ascii="Arial" w:cs="Arial" w:eastAsia="Arial" w:hAnsi="Arial"/>
          <w:sz w:val="22"/>
          <w:szCs w:val="22"/>
          <w:color w:val="auto"/>
        </w:rPr>
      </w:pPr>
    </w:p>
    <w:p>
      <w:pPr>
        <w:jc w:val="both"/>
        <w:ind w:left="440" w:hanging="432"/>
        <w:spacing w:after="0" w:line="282" w:lineRule="auto"/>
        <w:tabs>
          <w:tab w:leader="none" w:pos="4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47" w:lineRule="exact"/>
        <w:rPr>
          <w:rFonts w:ascii="Arial" w:cs="Arial" w:eastAsia="Arial" w:hAnsi="Arial"/>
          <w:sz w:val="19"/>
          <w:szCs w:val="19"/>
          <w:color w:val="auto"/>
        </w:rPr>
      </w:pPr>
    </w:p>
    <w:p>
      <w:pPr>
        <w:ind w:left="440" w:hanging="432"/>
        <w:spacing w:after="0" w:line="250" w:lineRule="auto"/>
        <w:tabs>
          <w:tab w:leader="none" w:pos="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As set forth in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of the Agreement, Section 3(h) and 3(j) and </w:t>
      </w:r>
      <w:r>
        <w:rPr>
          <w:rFonts w:ascii="Arial" w:cs="Arial" w:eastAsia="Arial" w:hAnsi="Arial"/>
          <w:sz w:val="22"/>
          <w:szCs w:val="22"/>
          <w:u w:val="single" w:color="auto"/>
          <w:color w:val="auto"/>
        </w:rPr>
        <w:t>Sections 4</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of the Agreement, inclusive, survived the termination of my employment and are incorporated herein and made part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206" w:lineRule="exact"/>
        <w:rPr>
          <w:sz w:val="20"/>
          <w:szCs w:val="20"/>
          <w:color w:val="auto"/>
        </w:rPr>
      </w:pPr>
    </w:p>
    <w:p>
      <w:pPr>
        <w:ind w:left="1700" w:hanging="842"/>
        <w:spacing w:after="0"/>
        <w:tabs>
          <w:tab w:leader="none" w:pos="17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 HAVE READ IT CAREFULLY;</w:t>
      </w:r>
    </w:p>
    <w:p>
      <w:pPr>
        <w:spacing w:after="0" w:line="206" w:lineRule="exact"/>
        <w:rPr>
          <w:rFonts w:ascii="Arial" w:cs="Arial" w:eastAsia="Arial" w:hAnsi="Arial"/>
          <w:sz w:val="22"/>
          <w:szCs w:val="22"/>
          <w:color w:val="auto"/>
        </w:rPr>
      </w:pPr>
    </w:p>
    <w:p>
      <w:pPr>
        <w:jc w:val="both"/>
        <w:ind w:left="1700" w:hanging="842"/>
        <w:spacing w:after="0" w:line="236" w:lineRule="auto"/>
        <w:tabs>
          <w:tab w:leader="none" w:pos="17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AND THE AMERICANS WITH DISABILITIES ACT OF 1990;</w:t>
      </w:r>
    </w:p>
    <w:p>
      <w:pPr>
        <w:spacing w:after="0" w:line="187" w:lineRule="exact"/>
        <w:rPr>
          <w:rFonts w:ascii="Arial" w:cs="Arial" w:eastAsia="Arial" w:hAnsi="Arial"/>
          <w:sz w:val="22"/>
          <w:szCs w:val="22"/>
          <w:color w:val="auto"/>
        </w:rPr>
      </w:pPr>
    </w:p>
    <w:p>
      <w:pPr>
        <w:ind w:left="1700" w:hanging="842"/>
        <w:spacing w:after="0"/>
        <w:tabs>
          <w:tab w:leader="none" w:pos="17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 VOLUNTARILY CONSENT TO EVERYTHING IN IT;</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both"/>
        <w:ind w:left="1700" w:hanging="842"/>
        <w:spacing w:after="0"/>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HAVE BEEN ADVISED TO CONSULT WITH AN ATTORNEY BEFORE EXECUTING IT AND I HAVE DONE SO OR, AFTER CAREFUL READING AND CONSIDERATION I HAVE CHOSEN NOT TO DO SO OF MY OWN VOLITION;</w:t>
      </w:r>
    </w:p>
    <w:p>
      <w:pPr>
        <w:spacing w:after="0" w:line="186" w:lineRule="exact"/>
        <w:rPr>
          <w:rFonts w:ascii="Arial" w:cs="Arial" w:eastAsia="Arial" w:hAnsi="Arial"/>
          <w:sz w:val="22"/>
          <w:szCs w:val="22"/>
          <w:color w:val="auto"/>
        </w:rPr>
      </w:pPr>
    </w:p>
    <w:p>
      <w:pPr>
        <w:jc w:val="both"/>
        <w:ind w:left="1700" w:hanging="842"/>
        <w:spacing w:after="0" w:line="276" w:lineRule="auto"/>
        <w:tabs>
          <w:tab w:leader="none" w:pos="17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 HAVE HAD AT LEAST 21 DAYS (OR 45 DAYS, AS REQUIRED BY LAW) FROM THE DATE OF MY RECEIPT OF THIS RELEASE SUBSTANTIALLY IN ITS FINAL FORM ON _______________ __, _____</w:t>
      </w:r>
    </w:p>
    <w:p>
      <w:pPr>
        <w:spacing w:after="0" w:line="1" w:lineRule="exact"/>
        <w:rPr>
          <w:rFonts w:ascii="Arial" w:cs="Arial" w:eastAsia="Arial" w:hAnsi="Arial"/>
          <w:sz w:val="19"/>
          <w:szCs w:val="19"/>
          <w:color w:val="auto"/>
        </w:rPr>
      </w:pPr>
    </w:p>
    <w:p>
      <w:pPr>
        <w:jc w:val="both"/>
        <w:ind w:left="1700"/>
        <w:spacing w:after="0" w:line="234" w:lineRule="auto"/>
        <w:rPr>
          <w:rFonts w:ascii="Arial" w:cs="Arial" w:eastAsia="Arial" w:hAnsi="Arial"/>
          <w:sz w:val="19"/>
          <w:szCs w:val="19"/>
          <w:color w:val="auto"/>
        </w:rPr>
      </w:pPr>
      <w:r>
        <w:rPr>
          <w:rFonts w:ascii="Arial" w:cs="Arial" w:eastAsia="Arial" w:hAnsi="Arial"/>
          <w:sz w:val="22"/>
          <w:szCs w:val="22"/>
          <w:color w:val="auto"/>
        </w:rPr>
        <w:t>TO CONSIDER IT AND THE CHANGES MADE SINCE THE _______________ __, _____ VERSION OF THIS RELEASE ARE NOT MATERIAL AND WILL NOT RESTART THE REQUIRED 21-DAY (OR 45-DAY, AS APPLICABLE) PERIOD;</w:t>
      </w:r>
    </w:p>
    <w:p>
      <w:pPr>
        <w:spacing w:after="0" w:line="181" w:lineRule="exact"/>
        <w:rPr>
          <w:rFonts w:ascii="Arial" w:cs="Arial" w:eastAsia="Arial" w:hAnsi="Arial"/>
          <w:sz w:val="19"/>
          <w:szCs w:val="19"/>
          <w:color w:val="auto"/>
        </w:rPr>
      </w:pPr>
    </w:p>
    <w:p>
      <w:pPr>
        <w:ind w:left="1700" w:hanging="842"/>
        <w:spacing w:after="0" w:line="256" w:lineRule="auto"/>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ANY CHANGES TO THE AGREEMENT SINCE </w:t>
      </w:r>
      <w:r>
        <w:rPr>
          <w:rFonts w:ascii="Arial" w:cs="Arial" w:eastAsia="Arial" w:hAnsi="Arial"/>
          <w:sz w:val="22"/>
          <w:szCs w:val="22"/>
          <w:b w:val="1"/>
          <w:bCs w:val="1"/>
          <w:color w:val="auto"/>
        </w:rPr>
        <w:t>[_______, 200_]</w:t>
      </w:r>
      <w:r>
        <w:rPr>
          <w:rFonts w:ascii="Arial" w:cs="Arial" w:eastAsia="Arial" w:hAnsi="Arial"/>
          <w:sz w:val="22"/>
          <w:szCs w:val="22"/>
          <w:color w:val="auto"/>
        </w:rPr>
        <w:t xml:space="preserve"> EITHER ARE NOT MATERIAL OR WERE MADE AT MY REQUEST.</w:t>
      </w:r>
    </w:p>
    <w:p>
      <w:pPr>
        <w:spacing w:after="0" w:line="168" w:lineRule="exact"/>
        <w:rPr>
          <w:rFonts w:ascii="Arial" w:cs="Arial" w:eastAsia="Arial" w:hAnsi="Arial"/>
          <w:sz w:val="22"/>
          <w:szCs w:val="22"/>
          <w:color w:val="auto"/>
        </w:rPr>
      </w:pPr>
    </w:p>
    <w:p>
      <w:pPr>
        <w:jc w:val="both"/>
        <w:ind w:left="1700" w:hanging="842"/>
        <w:spacing w:after="0" w:line="238" w:lineRule="auto"/>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UNDERSTAND THAT I HAVE SEVEN DAYS AFTER THE EXECUTION OF THIS RELEASE TO REVOKE IT AND THAT THIS RELEASE SHALL NOT BECOME EFFECTIVE OR ENFORCEABLE UNTIL THE REVOCATION PERIOD HAS EXPIRED WITHOUT NOTICE OF ANY SUCH REVOCATION HAVING BEEN RECEIVED BY THE COMPANY;</w:t>
      </w:r>
    </w:p>
    <w:p>
      <w:pPr>
        <w:spacing w:after="0" w:line="184" w:lineRule="exact"/>
        <w:rPr>
          <w:rFonts w:ascii="Arial" w:cs="Arial" w:eastAsia="Arial" w:hAnsi="Arial"/>
          <w:sz w:val="22"/>
          <w:szCs w:val="22"/>
          <w:color w:val="auto"/>
        </w:rPr>
      </w:pPr>
    </w:p>
    <w:p>
      <w:pPr>
        <w:ind w:left="1700" w:hanging="842"/>
        <w:spacing w:after="0" w:line="250" w:lineRule="auto"/>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HAVE SIGNED THIS GENERAL RELEASE KNOWINGLY AND VOLUNTARILY AND WITH THE ADVICE OF ANY COUNSEL RETAINED TO ADVISE ME WITH RESPECT TO IT; AND</w:t>
      </w:r>
    </w:p>
    <w:p>
      <w:pPr>
        <w:spacing w:after="0" w:line="174" w:lineRule="exact"/>
        <w:rPr>
          <w:rFonts w:ascii="Arial" w:cs="Arial" w:eastAsia="Arial" w:hAnsi="Arial"/>
          <w:sz w:val="22"/>
          <w:szCs w:val="22"/>
          <w:color w:val="auto"/>
        </w:rPr>
      </w:pPr>
    </w:p>
    <w:p>
      <w:pPr>
        <w:jc w:val="both"/>
        <w:ind w:left="1700" w:hanging="842"/>
        <w:spacing w:after="0"/>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640" w:val="left"/>
        </w:tabs>
        <w:rPr>
          <w:sz w:val="20"/>
          <w:szCs w:val="20"/>
          <w:color w:val="auto"/>
        </w:rPr>
      </w:pPr>
      <w:r>
        <w:rPr>
          <w:rFonts w:ascii="Arial" w:cs="Arial" w:eastAsia="Arial" w:hAnsi="Arial"/>
          <w:sz w:val="22"/>
          <w:szCs w:val="22"/>
          <w:color w:val="auto"/>
        </w:rPr>
        <w:t>DATE: _____________</w:t>
      </w:r>
      <w:r>
        <w:rPr>
          <w:sz w:val="20"/>
          <w:szCs w:val="20"/>
          <w:color w:val="auto"/>
        </w:rPr>
        <w:tab/>
      </w:r>
      <w:r>
        <w:rPr>
          <w:rFonts w:ascii="Arial" w:cs="Arial" w:eastAsia="Arial" w:hAnsi="Arial"/>
          <w:sz w:val="19"/>
          <w:szCs w:val="19"/>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8860" w:type="dxa"/>
            <w:vAlign w:val="bottom"/>
          </w:tcPr>
          <w:p>
            <w:pPr>
              <w:ind w:left="4160"/>
              <w:spacing w:after="0"/>
              <w:rPr>
                <w:sz w:val="20"/>
                <w:szCs w:val="20"/>
                <w:color w:val="auto"/>
              </w:rPr>
            </w:pPr>
            <w:r>
              <w:rPr>
                <w:rFonts w:ascii="Arial" w:cs="Arial" w:eastAsia="Arial" w:hAnsi="Arial"/>
                <w:sz w:val="18"/>
                <w:szCs w:val="18"/>
                <w:b w:val="1"/>
                <w:bCs w:val="1"/>
                <w:color w:val="auto"/>
              </w:rPr>
              <w:t>Subsidiaries of Burlington Stores, Inc.</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886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Subsidiaries of Registrant as Specified in their Charter</w:t>
            </w:r>
          </w:p>
        </w:tc>
        <w:tc>
          <w:tcPr>
            <w:tcW w:w="200" w:type="dxa"/>
            <w:vAlign w:val="bottom"/>
          </w:tcPr>
          <w:p>
            <w:pPr>
              <w:spacing w:after="0"/>
              <w:rPr>
                <w:sz w:val="24"/>
                <w:szCs w:val="24"/>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State or Other Jurisdiction of</w:t>
            </w:r>
          </w:p>
        </w:tc>
        <w:tc>
          <w:tcPr>
            <w:tcW w:w="0" w:type="dxa"/>
            <w:vAlign w:val="bottom"/>
          </w:tcPr>
          <w:p>
            <w:pPr>
              <w:spacing w:after="0"/>
              <w:rPr>
                <w:sz w:val="1"/>
                <w:szCs w:val="1"/>
                <w:color w:val="auto"/>
              </w:rPr>
            </w:pPr>
          </w:p>
        </w:tc>
      </w:tr>
      <w:tr>
        <w:trPr>
          <w:trHeight w:val="191"/>
        </w:trPr>
        <w:tc>
          <w:tcPr>
            <w:tcW w:w="8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0" w:type="dxa"/>
            <w:vAlign w:val="bottom"/>
          </w:tcPr>
          <w:p>
            <w:pPr>
              <w:spacing w:after="0"/>
              <w:rPr>
                <w:sz w:val="1"/>
                <w:szCs w:val="1"/>
                <w:color w:val="auto"/>
              </w:rPr>
            </w:pP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8"/>
                <w:szCs w:val="18"/>
                <w:color w:val="auto"/>
              </w:rPr>
              <w:t>Burlington Holdings, LLC</w:t>
            </w:r>
          </w:p>
        </w:tc>
        <w:tc>
          <w:tcPr>
            <w:tcW w:w="200" w:type="dxa"/>
            <w:vAlign w:val="bottom"/>
          </w:tcPr>
          <w:p>
            <w:pPr>
              <w:spacing w:after="0"/>
              <w:rPr>
                <w:sz w:val="16"/>
                <w:szCs w:val="16"/>
                <w:color w:val="auto"/>
              </w:rPr>
            </w:pPr>
          </w:p>
        </w:tc>
        <w:tc>
          <w:tcPr>
            <w:tcW w:w="2180" w:type="dxa"/>
            <w:vAlign w:val="bottom"/>
            <w:tcBorders>
              <w:top w:val="single" w:sz="8" w:color="auto"/>
            </w:tcBorders>
          </w:tcPr>
          <w:p>
            <w:pPr>
              <w:jc w:val="center"/>
              <w:ind w:right="131"/>
              <w:spacing w:after="0" w:line="189"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Holdings Finance, Inc.</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Holdings, LLC</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Investments Holdings, Inc.</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Corporation</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Merchandising Corporation</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of Texas, Inc.</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of Texas, L.P.</w:t>
            </w:r>
          </w:p>
        </w:tc>
        <w:tc>
          <w:tcPr>
            <w:tcW w:w="20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of Kentucky, Inc.</w:t>
            </w:r>
          </w:p>
        </w:tc>
        <w:tc>
          <w:tcPr>
            <w:tcW w:w="20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Kentucky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Direct Corporation</w:t>
            </w:r>
          </w:p>
        </w:tc>
        <w:tc>
          <w:tcPr>
            <w:tcW w:w="20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Realty of Edgewater Park, Inc.</w:t>
            </w:r>
          </w:p>
        </w:tc>
        <w:tc>
          <w:tcPr>
            <w:tcW w:w="20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Realty of Pinebrook, Inc.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of Edgewater Park, Inc.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of Edgewater Park Urban Renewal Corp.</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of New Jersey, Inc.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BCF Florence Urban Renewal, LLC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BCF Florence Urban Renewal II, LLC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of Cleveland, Inc.</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94"/>
              </w:rPr>
              <w:t>Ohio</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of Puerto Rico, LLC</w:t>
            </w:r>
          </w:p>
        </w:tc>
        <w:tc>
          <w:tcPr>
            <w:tcW w:w="20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Puerto Rico</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Cohoes Fashions of Cranston, Inc.</w:t>
            </w:r>
          </w:p>
        </w:tc>
        <w:tc>
          <w:tcPr>
            <w:tcW w:w="200" w:type="dxa"/>
            <w:vAlign w:val="bottom"/>
          </w:tcPr>
          <w:p>
            <w:pPr>
              <w:spacing w:after="0"/>
              <w:rPr>
                <w:sz w:val="18"/>
                <w:szCs w:val="18"/>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8"/>
                <w:szCs w:val="18"/>
                <w:color w:val="auto"/>
                <w:w w:val="90"/>
              </w:rPr>
              <w:t>Rhode Island</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Warehouse of Baytown, Inc.</w:t>
            </w:r>
          </w:p>
        </w:tc>
        <w:tc>
          <w:tcPr>
            <w:tcW w:w="200" w:type="dxa"/>
            <w:vAlign w:val="bottom"/>
          </w:tcPr>
          <w:p>
            <w:pPr>
              <w:spacing w:after="0"/>
              <w:rPr>
                <w:sz w:val="18"/>
                <w:szCs w:val="18"/>
                <w:color w:val="auto"/>
              </w:rPr>
            </w:pPr>
          </w:p>
        </w:tc>
        <w:tc>
          <w:tcPr>
            <w:tcW w:w="2200" w:type="dxa"/>
            <w:vAlign w:val="bottom"/>
            <w:gridSpan w:val="2"/>
          </w:tcPr>
          <w:p>
            <w:pPr>
              <w:jc w:val="center"/>
              <w:ind w:left="131"/>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Burlington Coat Factory of Pocono Crossing, LLC</w:t>
            </w:r>
          </w:p>
        </w:tc>
        <w:tc>
          <w:tcPr>
            <w:tcW w:w="200" w:type="dxa"/>
            <w:vAlign w:val="bottom"/>
          </w:tcPr>
          <w:p>
            <w:pPr>
              <w:spacing w:after="0"/>
              <w:rPr>
                <w:sz w:val="18"/>
                <w:szCs w:val="18"/>
                <w:color w:val="auto"/>
              </w:rPr>
            </w:pPr>
          </w:p>
        </w:tc>
        <w:tc>
          <w:tcPr>
            <w:tcW w:w="2200" w:type="dxa"/>
            <w:vAlign w:val="bottom"/>
            <w:gridSpan w:val="2"/>
          </w:tcPr>
          <w:p>
            <w:pPr>
              <w:jc w:val="center"/>
              <w:ind w:left="131"/>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Florence Insurance Company, Inc.</w:t>
            </w:r>
          </w:p>
        </w:tc>
        <w:tc>
          <w:tcPr>
            <w:tcW w:w="200" w:type="dxa"/>
            <w:vAlign w:val="bottom"/>
          </w:tcPr>
          <w:p>
            <w:pPr>
              <w:spacing w:after="0"/>
              <w:rPr>
                <w:sz w:val="18"/>
                <w:szCs w:val="18"/>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Burlington Distribution Corp.</w:t>
            </w:r>
          </w:p>
        </w:tc>
        <w:tc>
          <w:tcPr>
            <w:tcW w:w="200" w:type="dxa"/>
            <w:vAlign w:val="bottom"/>
          </w:tcPr>
          <w:p>
            <w:pPr>
              <w:spacing w:after="0"/>
              <w:rPr>
                <w:sz w:val="20"/>
                <w:szCs w:val="20"/>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333-191637 on Form S-8 of our reports dated March 13, 2020, relating to the consolidated financial statements and financial statement schedules of Burlington Stores, Inc. and subsidiaries, and the effectiveness of Burlington Stores, Inc. and subsidiaries' internal control over financial reporting, appearing in this Annual Report on Form 10-K of Burlington Stores, Inc. for the year ended February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O’Sullivan,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340" w:firstLine="518"/>
        <w:spacing w:after="0" w:line="263" w:lineRule="auto"/>
        <w:tabs>
          <w:tab w:leader="none" w:pos="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00" w:hanging="182"/>
        <w:spacing w:after="0"/>
        <w:tabs>
          <w:tab w:leader="none" w:pos="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860" w:firstLine="518"/>
        <w:spacing w:after="0" w:line="342" w:lineRule="auto"/>
        <w:tabs>
          <w:tab w:leader="none" w:pos="6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518"/>
        <w:spacing w:after="0" w:line="263" w:lineRule="auto"/>
        <w:tabs>
          <w:tab w:leader="none" w:pos="6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40" w:firstLine="518"/>
        <w:spacing w:after="0" w:line="277" w:lineRule="auto"/>
        <w:tabs>
          <w:tab w:leader="none" w:pos="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0" w:firstLine="518"/>
        <w:spacing w:after="0" w:line="277" w:lineRule="auto"/>
        <w:tabs>
          <w:tab w:leader="none" w:pos="6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O’Sullivan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Crimmins, certify that:</w:t>
      </w:r>
    </w:p>
    <w:p>
      <w:pPr>
        <w:spacing w:after="0" w:line="225"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340" w:firstLine="518"/>
        <w:spacing w:after="0" w:line="263"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00" w:hanging="182"/>
        <w:spacing w:after="0"/>
        <w:tabs>
          <w:tab w:leader="none" w:pos="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860" w:firstLine="518"/>
        <w:spacing w:after="0" w:line="342" w:lineRule="auto"/>
        <w:tabs>
          <w:tab w:leader="none" w:pos="6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518"/>
        <w:spacing w:after="0" w:line="263" w:lineRule="auto"/>
        <w:tabs>
          <w:tab w:leader="none" w:pos="6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40" w:firstLine="518"/>
        <w:spacing w:after="0" w:line="277"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0" w:firstLine="518"/>
        <w:spacing w:after="0" w:line="277" w:lineRule="auto"/>
        <w:tabs>
          <w:tab w:leader="none" w:pos="6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John Crimmins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Crimmins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February 1, 2020, as filed with the Securities and Exchange Commission on the date hereof (the “Report”), I, Michael O’Sullivan, Chief Executive Officer of the Company, certify, pursuant to 18 U.S.C. §1350, as adopted pursuant to §906 of the Sarbanes-Oxley Act of 2002, that:</w:t>
      </w:r>
    </w:p>
    <w:p>
      <w:pPr>
        <w:spacing w:after="0" w:line="184" w:lineRule="exact"/>
        <w:rPr>
          <w:sz w:val="20"/>
          <w:szCs w:val="20"/>
          <w:color w:val="auto"/>
        </w:rPr>
      </w:pPr>
    </w:p>
    <w:p>
      <w:pPr>
        <w:ind w:left="780" w:hanging="262"/>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518"/>
        <w:spacing w:after="0" w:line="516" w:lineRule="auto"/>
        <w:tabs>
          <w:tab w:leader="none" w:pos="7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13,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O’Sullivan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February 1, 2020, as filed with the Securities and Exchange Commission on the date hereof (the “Report”), I, John Crimmins, Chief Financial Officer of the Company, certify, pursuant to 18 U.S.C. §1350, as adopted pursuant to §906 of the Sarbanes-Oxley Act of 2002, that:</w:t>
      </w:r>
    </w:p>
    <w:p>
      <w:pPr>
        <w:spacing w:after="0" w:line="184" w:lineRule="exact"/>
        <w:rPr>
          <w:sz w:val="20"/>
          <w:szCs w:val="20"/>
          <w:color w:val="auto"/>
        </w:rPr>
      </w:pPr>
    </w:p>
    <w:p>
      <w:pPr>
        <w:ind w:left="780" w:hanging="262"/>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518"/>
        <w:spacing w:after="0" w:line="516" w:lineRule="auto"/>
        <w:tabs>
          <w:tab w:leader="none" w:pos="7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13,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John Crimmins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Crimmins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lowerLetter"/>
      <w:start w:val="1"/>
    </w:lvl>
  </w:abstractNum>
  <w:abstractNum w:abstractNumId="4">
    <w:nsid w:val="580BD78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lvl w:ilvl="1">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lowerLetter"/>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decimal"/>
      <w:start w:val="2"/>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Roman"/>
      <w:start w:val="2"/>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2"/>
    </w:lvl>
    <w:lvl w:ilvl="1">
      <w:lvlJc w:val="left"/>
      <w:lvlText w:val="(%2)"/>
      <w:numFmt w:val="lowerLetter"/>
      <w:start w:val="1"/>
    </w:lvl>
  </w:abstractNum>
  <w:abstractNum w:abstractNumId="51">
    <w:nsid w:val="310C50B3"/>
    <w:multiLevelType w:val="hybridMultilevel"/>
    <w:lvl w:ilvl="0">
      <w:lvlJc w:val="left"/>
      <w:lvlText w:val="(%1)"/>
      <w:numFmt w:val="lowerLetter"/>
      <w:start w:val="2"/>
    </w:lvl>
  </w:abstractNum>
  <w:abstractNum w:abstractNumId="52">
    <w:nsid w:val="5FF87E05"/>
    <w:multiLevelType w:val="hybridMultilevel"/>
    <w:lvl w:ilvl="0">
      <w:lvlJc w:val="left"/>
      <w:lvlText w:val="(%1)"/>
      <w:numFmt w:val="lowerLetter"/>
      <w:start w:val="7"/>
    </w:lvl>
  </w:abstractNum>
  <w:abstractNum w:abstractNumId="53">
    <w:nsid w:val="2F305DEF"/>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54">
    <w:nsid w:val="25A70BF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5">
    <w:nsid w:val="1DBABF00"/>
    <w:multiLevelType w:val="hybridMultilevel"/>
    <w:lvl w:ilvl="0">
      <w:lvlJc w:val="left"/>
      <w:lvlText w:val="%1"/>
      <w:numFmt w:val="lowerLetter"/>
      <w:start w:val="1"/>
    </w:lvl>
    <w:lvl w:ilvl="1">
      <w:lvlJc w:val="left"/>
      <w:lvlText w:val="(%2)"/>
      <w:numFmt w:val="lowerLetter"/>
      <w:start w:val="35"/>
    </w:lvl>
  </w:abstractNum>
  <w:abstractNum w:abstractNumId="56">
    <w:nsid w:val="4AD084E9"/>
    <w:multiLevelType w:val="hybridMultilevel"/>
    <w:lvl w:ilvl="0">
      <w:lvlJc w:val="left"/>
      <w:lvlText w:val="(%1)"/>
      <w:numFmt w:val="lowerLetter"/>
      <w:start w:val="3"/>
    </w:lvl>
    <w:lvl w:ilvl="1">
      <w:lvlJc w:val="left"/>
      <w:lvlText w:val="%2"/>
      <w:numFmt w:val="lowerLetter"/>
      <w:start w:val="1"/>
    </w:lvl>
  </w:abstractNum>
  <w:abstractNum w:abstractNumId="57">
    <w:nsid w:val="1F48EAA1"/>
    <w:multiLevelType w:val="hybridMultilevel"/>
    <w:lvl w:ilvl="0">
      <w:lvlJc w:val="left"/>
      <w:lvlText w:val="%1"/>
      <w:numFmt w:val="decimal"/>
      <w:start w:val="1"/>
    </w:lvl>
    <w:lvl w:ilvl="1">
      <w:lvlJc w:val="left"/>
      <w:lvlText w:val="(%2)"/>
      <w:numFmt w:val="lowerLetter"/>
      <w:start w:val="5"/>
    </w:lvl>
  </w:abstractNum>
  <w:abstractNum w:abstractNumId="58">
    <w:nsid w:val="1381823A"/>
    <w:multiLevelType w:val="hybridMultilevel"/>
    <w:lvl w:ilvl="0">
      <w:lvlJc w:val="left"/>
      <w:lvlText w:val="%1."/>
      <w:numFmt w:val="decimal"/>
      <w:start w:val="5"/>
    </w:lvl>
    <w:lvl w:ilvl="1">
      <w:lvlJc w:val="left"/>
      <w:lvlText w:val="(%2)"/>
      <w:numFmt w:val="lowerLetter"/>
      <w:start w:val="1"/>
    </w:lvl>
  </w:abstractNum>
  <w:abstractNum w:abstractNumId="59">
    <w:nsid w:val="5DB70AE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2"/>
    </w:lvl>
  </w:abstractNum>
  <w:abstractNum w:abstractNumId="60">
    <w:nsid w:val="100F8FCA"/>
    <w:multiLevelType w:val="hybridMultilevel"/>
    <w:lvl w:ilvl="0">
      <w:lvlJc w:val="left"/>
      <w:lvlText w:val="%1."/>
      <w:numFmt w:val="decimal"/>
      <w:start w:val="7"/>
    </w:lvl>
    <w:lvl w:ilvl="1">
      <w:lvlJc w:val="left"/>
      <w:lvlText w:val="(%2)"/>
      <w:numFmt w:val="lowerLetter"/>
      <w:start w:val="1"/>
    </w:lvl>
  </w:abstractNum>
  <w:abstractNum w:abstractNumId="61">
    <w:nsid w:val="6590700B"/>
    <w:multiLevelType w:val="hybridMultilevel"/>
    <w:lvl w:ilvl="0">
      <w:lvlJc w:val="left"/>
      <w:lvlText w:val="%1."/>
      <w:numFmt w:val="decimal"/>
      <w:start w:val="8"/>
    </w:lvl>
    <w:lvl w:ilvl="1">
      <w:lvlJc w:val="left"/>
      <w:lvlText w:val="(%2)"/>
      <w:numFmt w:val="lowerLetter"/>
      <w:start w:val="1"/>
    </w:lvl>
  </w:abstractNum>
  <w:abstractNum w:abstractNumId="62">
    <w:nsid w:val="15014ACB"/>
    <w:multiLevelType w:val="hybridMultilevel"/>
    <w:lvl w:ilvl="0">
      <w:lvlJc w:val="left"/>
      <w:lvlText w:val="%1"/>
      <w:numFmt w:val="decimal"/>
      <w:start w:val="1"/>
    </w:lvl>
    <w:lvl w:ilvl="1">
      <w:lvlJc w:val="left"/>
      <w:lvlText w:val="(%2)"/>
      <w:numFmt w:val="lowerLetter"/>
      <w:start w:val="4"/>
    </w:lvl>
  </w:abstractNum>
  <w:abstractNum w:abstractNumId="63">
    <w:nsid w:val="5F5E7FD0"/>
    <w:multiLevelType w:val="hybridMultilevel"/>
    <w:lvl w:ilvl="0">
      <w:lvlJc w:val="left"/>
      <w:lvlText w:val="%1."/>
      <w:numFmt w:val="decimal"/>
      <w:start w:val="9"/>
    </w:lvl>
    <w:lvl w:ilvl="1">
      <w:lvlJc w:val="left"/>
      <w:lvlText w:val="%2"/>
      <w:numFmt w:val="lowerLetter"/>
      <w:start w:val="1"/>
    </w:lvl>
  </w:abstractNum>
  <w:abstractNum w:abstractNumId="64">
    <w:nsid w:val="98A3148"/>
    <w:multiLevelType w:val="hybridMultilevel"/>
    <w:lvl w:ilvl="0">
      <w:lvlJc w:val="left"/>
      <w:lvlText w:val="%1."/>
      <w:numFmt w:val="decimal"/>
      <w:start w:val="12"/>
    </w:lvl>
  </w:abstractNum>
  <w:abstractNum w:abstractNumId="65">
    <w:nsid w:val="799D0247"/>
    <w:multiLevelType w:val="hybridMultilevel"/>
    <w:lvl w:ilvl="0">
      <w:lvlJc w:val="left"/>
      <w:lvlText w:val="%1."/>
      <w:numFmt w:val="decimal"/>
      <w:start w:val="16"/>
    </w:lvl>
  </w:abstractNum>
  <w:abstractNum w:abstractNumId="66">
    <w:nsid w:val="6B94764"/>
    <w:multiLevelType w:val="hybridMultilevel"/>
    <w:lvl w:ilvl="0">
      <w:lvlJc w:val="left"/>
      <w:lvlText w:val="%1."/>
      <w:numFmt w:val="decimal"/>
      <w:start w:val="20"/>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3"/>
    </w:lvl>
  </w:abstractNum>
  <w:abstractNum w:abstractNumId="69">
    <w:nsid w:val="1EBA5D23"/>
    <w:multiLevelType w:val="hybridMultilevel"/>
    <w:lvl w:ilvl="0">
      <w:lvlJc w:val="left"/>
      <w:lvlText w:val="%1."/>
      <w:numFmt w:val="decimal"/>
      <w:start w:val="9"/>
    </w:lvl>
  </w:abstractNum>
  <w:abstractNum w:abstractNumId="70">
    <w:nsid w:val="661E3F1E"/>
    <w:multiLevelType w:val="hybridMultilevel"/>
    <w:lvl w:ilvl="0">
      <w:lvlJc w:val="left"/>
      <w:lvlText w:val="(%1)"/>
      <w:numFmt w:val="lowerRoman"/>
      <w:start w:val="1"/>
    </w:lvl>
  </w:abstractNum>
  <w:abstractNum w:abstractNumId="71">
    <w:nsid w:val="5DC79EA8"/>
    <w:multiLevelType w:val="hybridMultilevel"/>
    <w:lvl w:ilvl="0">
      <w:lvlJc w:val="left"/>
      <w:lvlText w:val="(%1)"/>
      <w:numFmt w:val="lowerRoman"/>
      <w:start w:val="4"/>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201" Type="http://schemas.openxmlformats.org/officeDocument/2006/relationships/image" Target="media/image128.png"/><Relationship Id="rId202" Type="http://schemas.openxmlformats.org/officeDocument/2006/relationships/image" Target="media/image129.png"/><Relationship Id="rId212" Type="http://schemas.openxmlformats.org/officeDocument/2006/relationships/image" Target="media/image130.png"/><Relationship Id="rId213" Type="http://schemas.openxmlformats.org/officeDocument/2006/relationships/image" Target="media/image131.png"/><Relationship Id="rId214" Type="http://schemas.openxmlformats.org/officeDocument/2006/relationships/image" Target="media/image132.png"/><Relationship Id="rId215" Type="http://schemas.openxmlformats.org/officeDocument/2006/relationships/image" Target="media/image133.png"/><Relationship Id="rId216" Type="http://schemas.openxmlformats.org/officeDocument/2006/relationships/image" Target="media/image134.png"/><Relationship Id="rId217" Type="http://schemas.openxmlformats.org/officeDocument/2006/relationships/image" Target="media/image135.png"/><Relationship Id="rId218" Type="http://schemas.openxmlformats.org/officeDocument/2006/relationships/image" Target="media/image136.png"/><Relationship Id="rId219" Type="http://schemas.openxmlformats.org/officeDocument/2006/relationships/image" Target="media/image137.png"/><Relationship Id="rId220" Type="http://schemas.openxmlformats.org/officeDocument/2006/relationships/image" Target="media/image138.png"/><Relationship Id="rId221" Type="http://schemas.openxmlformats.org/officeDocument/2006/relationships/image" Target="media/image139.png"/><Relationship Id="rId222" Type="http://schemas.openxmlformats.org/officeDocument/2006/relationships/image" Target="media/image140.png"/><Relationship Id="rId223" Type="http://schemas.openxmlformats.org/officeDocument/2006/relationships/image" Target="media/image141.png"/><Relationship Id="rId224" Type="http://schemas.openxmlformats.org/officeDocument/2006/relationships/image" Target="media/image142.png"/><Relationship Id="rId225" Type="http://schemas.openxmlformats.org/officeDocument/2006/relationships/image" Target="media/image143.png"/><Relationship Id="rId226" Type="http://schemas.openxmlformats.org/officeDocument/2006/relationships/image" Target="media/image144.png"/><Relationship Id="rId227" Type="http://schemas.openxmlformats.org/officeDocument/2006/relationships/image" Target="media/image145.png"/><Relationship Id="rId228" Type="http://schemas.openxmlformats.org/officeDocument/2006/relationships/image" Target="media/image146.png"/><Relationship Id="rId229" Type="http://schemas.openxmlformats.org/officeDocument/2006/relationships/image" Target="media/image147.png"/><Relationship Id="rId230" Type="http://schemas.openxmlformats.org/officeDocument/2006/relationships/image" Target="media/image148.png"/><Relationship Id="rId231" Type="http://schemas.openxmlformats.org/officeDocument/2006/relationships/image" Target="media/image149.png"/><Relationship Id="rId232" Type="http://schemas.openxmlformats.org/officeDocument/2006/relationships/image" Target="media/image150.png"/><Relationship Id="rId233" Type="http://schemas.openxmlformats.org/officeDocument/2006/relationships/image" Target="media/image151.png"/><Relationship Id="rId234" Type="http://schemas.openxmlformats.org/officeDocument/2006/relationships/image" Target="media/image152.png"/><Relationship Id="rId235" Type="http://schemas.openxmlformats.org/officeDocument/2006/relationships/image" Target="media/image153.png"/><Relationship Id="rId236" Type="http://schemas.openxmlformats.org/officeDocument/2006/relationships/image" Target="media/image154.png"/><Relationship Id="rId237" Type="http://schemas.openxmlformats.org/officeDocument/2006/relationships/image" Target="media/image155.png"/><Relationship Id="rId238" Type="http://schemas.openxmlformats.org/officeDocument/2006/relationships/image" Target="media/image156.png"/><Relationship Id="rId239" Type="http://schemas.openxmlformats.org/officeDocument/2006/relationships/image" Target="media/image157.png"/><Relationship Id="rId240" Type="http://schemas.openxmlformats.org/officeDocument/2006/relationships/image" Target="media/image158.png"/><Relationship Id="rId241" Type="http://schemas.openxmlformats.org/officeDocument/2006/relationships/image" Target="media/image159.png"/><Relationship Id="rId125" Type="http://schemas.openxmlformats.org/officeDocument/2006/relationships/hyperlink" Target="http://www.sec.gov/Archives/edgar/data/1579298/000119312513362941/d552507dex31.htm" TargetMode="External"/><Relationship Id="rId126" Type="http://schemas.openxmlformats.org/officeDocument/2006/relationships/hyperlink" Target="http://www.sec.gov/Archives/edgar/data/1579298/000156459018003506/burl-ex31_6.htm" TargetMode="External"/><Relationship Id="rId127" Type="http://schemas.openxmlformats.org/officeDocument/2006/relationships/hyperlink" Target="http://www.sec.gov/Archives/edgar/data/718916/000119312511045577/dex102.htm" TargetMode="External"/><Relationship Id="rId128" Type="http://schemas.openxmlformats.org/officeDocument/2006/relationships/hyperlink" Target="http://www.sec.gov/Archives/edgar/data/718916/000119312512237766/d354404dex101.htm" TargetMode="External"/><Relationship Id="rId129" Type="http://schemas.openxmlformats.org/officeDocument/2006/relationships/hyperlink" Target="http://www.sec.gov/Archives/edgar/data/718916/000119312513068973/d490107dex101.htm" TargetMode="External"/><Relationship Id="rId130" Type="http://schemas.openxmlformats.org/officeDocument/2006/relationships/hyperlink" Target="http://www.sec.gov/Archives/edgar/data/718916/000119312513231086/d541090dex101.htm" TargetMode="External"/><Relationship Id="rId131" Type="http://schemas.openxmlformats.org/officeDocument/2006/relationships/hyperlink" Target="http://www.sec.gov/Archives/edgar/data/1579298/000119312514313404/d772516dex101.htm" TargetMode="External"/><Relationship Id="rId134" Type="http://schemas.openxmlformats.org/officeDocument/2006/relationships/hyperlink" Target="http://www.sec.gov/Archives/edgar/data/1579298/000119312516664621/d164473dex101.htm" TargetMode="External"/><Relationship Id="rId135" Type="http://schemas.openxmlformats.org/officeDocument/2006/relationships/hyperlink" Target="http://www.sec.gov/Archives/edgar/data/1579298/000156459017024112/burl-ex101_99.htm" TargetMode="External"/><Relationship Id="rId136" Type="http://schemas.openxmlformats.org/officeDocument/2006/relationships/hyperlink" Target="http://www.sec.gov/Archives/edgar/data/1579298/000156459018028570/burl-ex101_6.htm" TargetMode="External"/><Relationship Id="rId137" Type="http://schemas.openxmlformats.org/officeDocument/2006/relationships/hyperlink" Target="http://www.sec.gov/Archives/edgar/data/1579298/000119312520060463/d822691dex101.htm" TargetMode="External"/><Relationship Id="rId138" Type="http://schemas.openxmlformats.org/officeDocument/2006/relationships/hyperlink" Target="http://www.sec.gov/Archives/edgar/data/1368775/000119312511244548/dex101.htm" TargetMode="External"/><Relationship Id="rId139" Type="http://schemas.openxmlformats.org/officeDocument/2006/relationships/hyperlink" Target="http://www.sec.gov/Archives/edgar/data/1579298/000119312514313404/d772516dex102.htm" TargetMode="External"/><Relationship Id="rId140" Type="http://schemas.openxmlformats.org/officeDocument/2006/relationships/hyperlink" Target="http://www.sec.gov/Archives/edgar/data/1579298/000156459018016500/burl-ex101_6.htm" TargetMode="External"/><Relationship Id="rId141" Type="http://schemas.openxmlformats.org/officeDocument/2006/relationships/hyperlink" Target="http://www.sec.gov/Archives/edgar/data/1579298/000156459019008656/burl-ex1023_17.htm" TargetMode="External"/><Relationship Id="rId144" Type="http://schemas.openxmlformats.org/officeDocument/2006/relationships/hyperlink" Target="http://www.sec.gov/Archives/edgar/data/718916/000119312506205456/dex107.htm" TargetMode="External"/><Relationship Id="rId145" Type="http://schemas.openxmlformats.org/officeDocument/2006/relationships/hyperlink" Target="http://www.sec.gov/Archives/edgar/data/718916/000119312506205456/dex108.htm" TargetMode="External"/><Relationship Id="rId146" Type="http://schemas.openxmlformats.org/officeDocument/2006/relationships/hyperlink" Target="http://www.sec.gov/Archives/edgar/data/718916/000136877510000013/exhibit10-9.htm" TargetMode="External"/><Relationship Id="rId147" Type="http://schemas.openxmlformats.org/officeDocument/2006/relationships/hyperlink" Target="http://www.sec.gov/Archives/edgar/data/718916/000119312506205456/dex1010.htm" TargetMode="External"/><Relationship Id="rId148" Type="http://schemas.openxmlformats.org/officeDocument/2006/relationships/hyperlink" Target="http://www.sec.gov/Archives/edgar/data/718916/000119312506205456/dex1011.htm" TargetMode="External"/><Relationship Id="rId149" Type="http://schemas.openxmlformats.org/officeDocument/2006/relationships/hyperlink" Target="http://www.sec.gov/Archives/edgar/data/718916/000119312506205456/dex1012.htm" TargetMode="External"/><Relationship Id="rId150" Type="http://schemas.openxmlformats.org/officeDocument/2006/relationships/hyperlink" Target="http://www.sec.gov/Archives/edgar/data/718916/000119312506205456/dex1013.htm" TargetMode="External"/><Relationship Id="rId151" Type="http://schemas.openxmlformats.org/officeDocument/2006/relationships/hyperlink" Target="http://www.sec.gov/Archives/edgar/data/718916/000136877510000013/exhibit10-14.htm" TargetMode="External"/><Relationship Id="rId152" Type="http://schemas.openxmlformats.org/officeDocument/2006/relationships/hyperlink" Target="http://www.sec.gov/Archives/edgar/data/718916/000119312506205456/dex1015.htm" TargetMode="External"/><Relationship Id="rId153" Type="http://schemas.openxmlformats.org/officeDocument/2006/relationships/hyperlink" Target="http://www.sec.gov/Archives/edgar/data/718916/000119312506205456/dex1016.htm" TargetMode="External"/><Relationship Id="rId154" Type="http://schemas.openxmlformats.org/officeDocument/2006/relationships/hyperlink" Target="http://www.sec.gov/Archives/edgar/data/718916/000119312506205456/dex1017.htm" TargetMode="External"/><Relationship Id="rId155" Type="http://schemas.openxmlformats.org/officeDocument/2006/relationships/hyperlink" Target="http://www.sec.gov/Archives/edgar/data/718916/000119312506205456/dex1018.htm" TargetMode="External"/><Relationship Id="rId156" Type="http://schemas.openxmlformats.org/officeDocument/2006/relationships/hyperlink" Target="http://www.sec.gov/Archives/edgar/data/718916/000119312506205456/dex1019.htm" TargetMode="External"/><Relationship Id="rId157" Type="http://schemas.openxmlformats.org/officeDocument/2006/relationships/hyperlink" Target="http://www.sec.gov/Archives/edgar/data/718916/000136877510000013/exhibit10-35.htm" TargetMode="External"/><Relationship Id="rId158" Type="http://schemas.openxmlformats.org/officeDocument/2006/relationships/hyperlink" Target="http://www.sec.gov/Archives/edgar/data/718916/000136877510000013/exhibit10-35a.htm" TargetMode="External"/><Relationship Id="rId159" Type="http://schemas.openxmlformats.org/officeDocument/2006/relationships/hyperlink" Target="http://www.sec.gov/Archives/edgar/data/718916/000119312512498555/d398893dex102.htm" TargetMode="External"/><Relationship Id="rId162" Type="http://schemas.openxmlformats.org/officeDocument/2006/relationships/hyperlink" Target="http://www.sec.gov/Archives/edgar/data/718916/000136877509000011/exhibit10-2.htm" TargetMode="External"/><Relationship Id="rId163" Type="http://schemas.openxmlformats.org/officeDocument/2006/relationships/hyperlink" Target="http://www.sec.gov/Archives/edgar/data/718916/000119312512498555/d398893dex101.htm" TargetMode="External"/><Relationship Id="rId164" Type="http://schemas.openxmlformats.org/officeDocument/2006/relationships/hyperlink" Target="http://www.sec.gov/Archives/edgar/data/1579298/000119312514436994/d834807dex101.htm" TargetMode="External"/><Relationship Id="rId165" Type="http://schemas.openxmlformats.org/officeDocument/2006/relationships/hyperlink" Target="http://www.sec.gov/Archives/edgar/data/1579298/000156459015007643/burl-ex101_473.htm" TargetMode="External"/><Relationship Id="rId166" Type="http://schemas.openxmlformats.org/officeDocument/2006/relationships/hyperlink" Target="http://www.sec.gov/Archives/edgar/data/1579298/000119312515208994/d937337dex101.htm" TargetMode="External"/><Relationship Id="rId167" Type="http://schemas.openxmlformats.org/officeDocument/2006/relationships/hyperlink" Target="http://www.sec.gov/Archives/edgar/data/1579298/000119312515246777/d59816dex101.htm" TargetMode="External"/><Relationship Id="rId168" Type="http://schemas.openxmlformats.org/officeDocument/2006/relationships/hyperlink" Target="http://www.sec.gov/Archives/edgar/data/1579298/000119312517014282/d333754dex101.htm" TargetMode="External"/><Relationship Id="rId169" Type="http://schemas.openxmlformats.org/officeDocument/2006/relationships/hyperlink" Target="http://www.sec.gov/Archives/edgar/data/1579298/000119312519174208/d746822dex101.htm" TargetMode="External"/><Relationship Id="rId170" Type="http://schemas.openxmlformats.org/officeDocument/2006/relationships/hyperlink" Target="http://www.sec.gov/Archives/edgar/data/718916/000136877508000010/exhibit10-1.htm" TargetMode="External"/><Relationship Id="rId171" Type="http://schemas.openxmlformats.org/officeDocument/2006/relationships/hyperlink" Target="http://www.sec.gov/Archives/edgar/data/1579298/000119312513360117/d552507dex10201.htm" TargetMode="External"/><Relationship Id="rId172" Type="http://schemas.openxmlformats.org/officeDocument/2006/relationships/hyperlink" Target="http://www.sec.gov/Archives/edgar/data/718916/000136877508000013/exhibit10-1.htm" TargetMode="External"/><Relationship Id="rId173" Type="http://schemas.openxmlformats.org/officeDocument/2006/relationships/hyperlink" Target="http://www.sec.gov/Archives/edgar/data/1579298/000119312513360117/d552507dex10231.htm" TargetMode="External"/><Relationship Id="rId174" Type="http://schemas.openxmlformats.org/officeDocument/2006/relationships/hyperlink" Target="http://www.sec.gov/Archives/edgar/data/1579298/000156459015007643/burl-ex105_475.htm" TargetMode="External"/><Relationship Id="rId175" Type="http://schemas.openxmlformats.org/officeDocument/2006/relationships/hyperlink" Target="http://www.sec.gov/Archives/edgar/data/1579298/000156459017011460/burl-ex108_6.htm" TargetMode="External"/><Relationship Id="rId178" Type="http://schemas.openxmlformats.org/officeDocument/2006/relationships/hyperlink" Target="http://www.sec.gov/Archives/edgar/data/1579298/000119312519115061/d736850dex101.htm" TargetMode="External"/><Relationship Id="rId179" Type="http://schemas.openxmlformats.org/officeDocument/2006/relationships/hyperlink" Target="http://www.sec.gov/Archives/edgar/data/718916/000136877509000014/exhibit10-2.htm" TargetMode="External"/><Relationship Id="rId180" Type="http://schemas.openxmlformats.org/officeDocument/2006/relationships/hyperlink" Target="http://www.sec.gov/Archives/edgar/data/718916/000136877509000014/exhibit10-3.htm" TargetMode="External"/><Relationship Id="rId181" Type="http://schemas.openxmlformats.org/officeDocument/2006/relationships/hyperlink" Target="http://www.sec.gov/Archives/edgar/data/718916/000119312506205456/dex1030.htm" TargetMode="External"/><Relationship Id="rId182" Type="http://schemas.openxmlformats.org/officeDocument/2006/relationships/hyperlink" Target="http://www.sec.gov/Archives/edgar/data/1579298/000119312513362941/d552507dex1043.htm" TargetMode="External"/><Relationship Id="rId183" Type="http://schemas.openxmlformats.org/officeDocument/2006/relationships/hyperlink" Target="http://www.sec.gov/Archives/edgar/data/1579298/000156459017011460/burl-ex102_13.htm" TargetMode="External"/><Relationship Id="rId184" Type="http://schemas.openxmlformats.org/officeDocument/2006/relationships/hyperlink" Target="http://www.sec.gov/Archives/edgar/data/1579298/000119312513360117/d552507dex1046.htm" TargetMode="External"/><Relationship Id="rId185" Type="http://schemas.openxmlformats.org/officeDocument/2006/relationships/hyperlink" Target="http://www.sec.gov/Archives/edgar/data/1579298/000119312513360117/d552507dex1045.htm" TargetMode="External"/><Relationship Id="rId186" Type="http://schemas.openxmlformats.org/officeDocument/2006/relationships/hyperlink" Target="http://www.sec.gov/Archives/edgar/data/1579298/000119312513360117/d552507dex1047.htm" TargetMode="External"/><Relationship Id="rId187" Type="http://schemas.openxmlformats.org/officeDocument/2006/relationships/hyperlink" Target="http://www.sec.gov/Archives/edgar/data/1579298/000119312515105212/d846695dex1048.htm" TargetMode="External"/><Relationship Id="rId188" Type="http://schemas.openxmlformats.org/officeDocument/2006/relationships/hyperlink" Target="http://www.sec.gov/Archives/edgar/data/1579298/000156459016014854/burl-ex1045_498.htm" TargetMode="External"/><Relationship Id="rId191" Type="http://schemas.openxmlformats.org/officeDocument/2006/relationships/hyperlink" Target="http://www.sec.gov/Archives/edgar/data/1579298/000156459016014854/burl-ex1046_496.htm" TargetMode="External"/><Relationship Id="rId192" Type="http://schemas.openxmlformats.org/officeDocument/2006/relationships/hyperlink" Target="http://www.sec.gov/Archives/edgar/data/1579298/000156459016014854/burl-ex1047_497.htm" TargetMode="External"/><Relationship Id="rId193" Type="http://schemas.openxmlformats.org/officeDocument/2006/relationships/hyperlink" Target="http://www.sec.gov/Archives/edgar/data/1579298/000156459016014854/burl-ex1048_495.htm" TargetMode="External"/><Relationship Id="rId194" Type="http://schemas.openxmlformats.org/officeDocument/2006/relationships/hyperlink" Target="http://www.sec.gov/Archives/edgar/data/1579298/000156459016029618/burl-ex101_271.htm" TargetMode="External"/><Relationship Id="rId195" Type="http://schemas.openxmlformats.org/officeDocument/2006/relationships/hyperlink" Target="http://www.sec.gov/Archives/edgar/data/1579298/000156459016029618/burl-ex102_270.htm" TargetMode="External"/><Relationship Id="rId196" Type="http://schemas.openxmlformats.org/officeDocument/2006/relationships/hyperlink" Target="http://www.sec.gov/Archives/edgar/data/1579298/000156459016029618/burl-ex103_269.htm" TargetMode="External"/><Relationship Id="rId197" Type="http://schemas.openxmlformats.org/officeDocument/2006/relationships/hyperlink" Target="http://www.sec.gov/Archives/edgar/data/1579298/000156459016029618/burl-ex104_268.htm" TargetMode="External"/><Relationship Id="rId198" Type="http://schemas.openxmlformats.org/officeDocument/2006/relationships/hyperlink" Target="http://www.sec.gov/Archives/edgar/data/1579298/000156459017011460/burl-ex101_12.htm" TargetMode="External"/><Relationship Id="rId199" Type="http://schemas.openxmlformats.org/officeDocument/2006/relationships/hyperlink" Target="http://www.sec.gov/Archives/edgar/data/1579298/000156459017011460/burl-ex103_11.htm" TargetMode="External"/><Relationship Id="rId200" Type="http://schemas.openxmlformats.org/officeDocument/2006/relationships/hyperlink" Target="http://www.sec.gov/Archives/edgar/data/1579298/000156459017011460/burl-ex104_9.htm" TargetMode="External"/><Relationship Id="rId203" Type="http://schemas.openxmlformats.org/officeDocument/2006/relationships/hyperlink" Target="http://www.sec.gov/Archives/edgar/data/1579298/000156459017011460/burl-ex105_10.htm" TargetMode="External"/><Relationship Id="rId204" Type="http://schemas.openxmlformats.org/officeDocument/2006/relationships/hyperlink" Target="http://www.sec.gov/Archives/edgar/data/1579298/000156459017011460/burl-ex106_8.htm" TargetMode="External"/><Relationship Id="rId205" Type="http://schemas.openxmlformats.org/officeDocument/2006/relationships/hyperlink" Target="http://www.sec.gov/Archives/edgar/data/1579298/000156459017011460/burl-ex107_7.htm" TargetMode="External"/><Relationship Id="rId206" Type="http://schemas.openxmlformats.org/officeDocument/2006/relationships/hyperlink" Target="http://www.sec.gov/Archives/edgar/data/1579298/000156459019021449/burl-ex102_94.htm" TargetMode="External"/><Relationship Id="rId207" Type="http://schemas.openxmlformats.org/officeDocument/2006/relationships/hyperlink" Target="http://www.sec.gov/Archives/edgar/data/1579298/000156459019021449/burl-ex103_93.htm" TargetMode="External"/><Relationship Id="rId208" Type="http://schemas.openxmlformats.org/officeDocument/2006/relationships/hyperlink" Target="http://www.sec.gov/Archives/edgar/data/1579298/000156459019021449/burl-ex104_92.htm" TargetMode="External"/><Relationship Id="rId209" Type="http://schemas.openxmlformats.org/officeDocument/2006/relationships/hyperlink" Target="http://www.sec.gov/Archives/edgar/data/1579298/000156459019021449/burl-ex105_91.htm" TargetMode="External"/><Relationship Id="rId210" Type="http://schemas.openxmlformats.org/officeDocument/2006/relationships/hyperlink" Target="http://www.sec.gov/Archives/edgar/data/1579298/000156459019021449/burl-ex107_89.htm" TargetMode="External"/><Relationship Id="rId211" Type="http://schemas.openxmlformats.org/officeDocument/2006/relationships/hyperlink" Target="http://www.sec.gov/Archives/edgar/data/1579298/000156459019033591/burl-ex101_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2020-03-13T15:26:28Z</dcterms:created>
  <dcterms:modified xsi:type="dcterms:W3CDTF">2020-03-13T15:26:28Z</dcterms:modified>
</cp:coreProperties>
</file>